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EBA80" w14:textId="30A425CD" w:rsidR="00E378C0" w:rsidRDefault="003F1102" w:rsidP="008E342C">
      <w:pPr>
        <w:pStyle w:val="Standard"/>
        <w:jc w:val="center"/>
        <w:rPr>
          <w:rFonts w:ascii="Times New Roman" w:hAnsi="Times New Roman" w:cs="Times New Roman"/>
          <w:b/>
          <w:bCs/>
          <w:sz w:val="28"/>
          <w:szCs w:val="28"/>
        </w:rPr>
      </w:pPr>
      <w:r>
        <w:rPr>
          <w:rFonts w:ascii="Times New Roman" w:hAnsi="Times New Roman" w:cs="Times New Roman"/>
          <w:b/>
          <w:bCs/>
          <w:sz w:val="28"/>
          <w:szCs w:val="28"/>
        </w:rPr>
        <w:t>Supplementary Information</w:t>
      </w:r>
      <w:r w:rsidR="00F651EC">
        <w:rPr>
          <w:rFonts w:ascii="Times New Roman" w:hAnsi="Times New Roman" w:cs="Times New Roman"/>
          <w:b/>
          <w:bCs/>
          <w:sz w:val="28"/>
          <w:szCs w:val="28"/>
        </w:rPr>
        <w:t xml:space="preserve"> 2 – </w:t>
      </w:r>
      <w:bookmarkStart w:id="0" w:name="_Hlk114843445"/>
      <w:r w:rsidR="00F651EC">
        <w:rPr>
          <w:rFonts w:ascii="Times New Roman" w:hAnsi="Times New Roman" w:cs="Times New Roman"/>
          <w:b/>
          <w:bCs/>
          <w:sz w:val="28"/>
          <w:szCs w:val="28"/>
        </w:rPr>
        <w:t>Free Mg</w:t>
      </w:r>
      <w:r w:rsidR="00F651EC" w:rsidRPr="00F651EC">
        <w:rPr>
          <w:rFonts w:ascii="Times New Roman" w:hAnsi="Times New Roman" w:cs="Times New Roman"/>
          <w:b/>
          <w:bCs/>
          <w:sz w:val="28"/>
          <w:szCs w:val="28"/>
          <w:vertAlign w:val="superscript"/>
        </w:rPr>
        <w:t>2+</w:t>
      </w:r>
      <w:r w:rsidR="00F651EC">
        <w:rPr>
          <w:rFonts w:ascii="Times New Roman" w:hAnsi="Times New Roman" w:cs="Times New Roman"/>
          <w:b/>
          <w:bCs/>
          <w:sz w:val="28"/>
          <w:szCs w:val="28"/>
        </w:rPr>
        <w:t xml:space="preserve"> concentration error analysis</w:t>
      </w:r>
      <w:bookmarkEnd w:id="0"/>
    </w:p>
    <w:p w14:paraId="5425983D" w14:textId="445A7CE9" w:rsidR="00E378C0" w:rsidRDefault="003F1102" w:rsidP="00634B25">
      <w:pPr>
        <w:pStyle w:val="BATitle"/>
        <w:jc w:val="center"/>
      </w:pPr>
      <w:r>
        <w:rPr>
          <w:rFonts w:ascii="Times New Roman" w:hAnsi="Times New Roman" w:cs="Times New Roman"/>
          <w:b w:val="0"/>
          <w:sz w:val="36"/>
          <w:szCs w:val="36"/>
        </w:rPr>
        <w:t xml:space="preserve">The Metabolome </w:t>
      </w:r>
      <w:r>
        <w:rPr>
          <w:rFonts w:ascii="Times New Roman" w:eastAsia="Times New Roman" w:hAnsi="Times New Roman" w:cs="Times New Roman"/>
          <w:b w:val="0"/>
          <w:sz w:val="36"/>
          <w:szCs w:val="36"/>
        </w:rPr>
        <w:t>Weakens</w:t>
      </w:r>
      <w:r>
        <w:rPr>
          <w:rFonts w:ascii="Times New Roman" w:hAnsi="Times New Roman" w:cs="Times New Roman"/>
          <w:b w:val="0"/>
          <w:sz w:val="36"/>
          <w:szCs w:val="36"/>
        </w:rPr>
        <w:t xml:space="preserve"> RNA </w:t>
      </w:r>
      <w:r w:rsidR="00855F64">
        <w:rPr>
          <w:rFonts w:ascii="Times New Roman" w:hAnsi="Times New Roman" w:cs="Times New Roman"/>
          <w:b w:val="0"/>
          <w:sz w:val="36"/>
          <w:szCs w:val="36"/>
        </w:rPr>
        <w:t>Thermodynamic</w:t>
      </w:r>
      <w:r>
        <w:rPr>
          <w:rFonts w:ascii="Times New Roman" w:eastAsia="Times New Roman" w:hAnsi="Times New Roman" w:cs="Times New Roman"/>
          <w:b w:val="0"/>
          <w:sz w:val="36"/>
          <w:szCs w:val="36"/>
        </w:rPr>
        <w:t xml:space="preserve"> Stability</w:t>
      </w:r>
      <w:r w:rsidR="00722032">
        <w:rPr>
          <w:rFonts w:ascii="Times New Roman" w:eastAsia="Times New Roman" w:hAnsi="Times New Roman" w:cs="Times New Roman"/>
          <w:b w:val="0"/>
          <w:sz w:val="36"/>
          <w:szCs w:val="36"/>
        </w:rPr>
        <w:t xml:space="preserve"> and </w:t>
      </w:r>
      <w:r w:rsidR="00855F64">
        <w:rPr>
          <w:rFonts w:ascii="Times New Roman" w:eastAsia="Times New Roman" w:hAnsi="Times New Roman" w:cs="Times New Roman"/>
          <w:b w:val="0"/>
          <w:sz w:val="36"/>
          <w:szCs w:val="36"/>
        </w:rPr>
        <w:br/>
        <w:t>Strengthens</w:t>
      </w:r>
      <w:r w:rsidR="00722032">
        <w:rPr>
          <w:rFonts w:ascii="Times New Roman" w:eastAsia="Times New Roman" w:hAnsi="Times New Roman" w:cs="Times New Roman"/>
          <w:b w:val="0"/>
          <w:sz w:val="36"/>
          <w:szCs w:val="36"/>
        </w:rPr>
        <w:t xml:space="preserve"> RNA </w:t>
      </w:r>
      <w:r w:rsidR="006F6613">
        <w:rPr>
          <w:rFonts w:ascii="Times New Roman" w:eastAsia="Times New Roman" w:hAnsi="Times New Roman" w:cs="Times New Roman"/>
          <w:b w:val="0"/>
          <w:sz w:val="36"/>
          <w:szCs w:val="36"/>
        </w:rPr>
        <w:t>C</w:t>
      </w:r>
      <w:r w:rsidR="00722032">
        <w:rPr>
          <w:rFonts w:ascii="Times New Roman" w:eastAsia="Times New Roman" w:hAnsi="Times New Roman" w:cs="Times New Roman"/>
          <w:b w:val="0"/>
          <w:sz w:val="36"/>
          <w:szCs w:val="36"/>
        </w:rPr>
        <w:t xml:space="preserve">hemical </w:t>
      </w:r>
      <w:r w:rsidR="006F6613">
        <w:rPr>
          <w:rFonts w:ascii="Times New Roman" w:eastAsia="Times New Roman" w:hAnsi="Times New Roman" w:cs="Times New Roman"/>
          <w:b w:val="0"/>
          <w:sz w:val="36"/>
          <w:szCs w:val="36"/>
        </w:rPr>
        <w:t>S</w:t>
      </w:r>
      <w:r w:rsidR="00722032">
        <w:rPr>
          <w:rFonts w:ascii="Times New Roman" w:eastAsia="Times New Roman" w:hAnsi="Times New Roman" w:cs="Times New Roman"/>
          <w:b w:val="0"/>
          <w:sz w:val="36"/>
          <w:szCs w:val="36"/>
        </w:rPr>
        <w:t>tability</w:t>
      </w:r>
    </w:p>
    <w:p w14:paraId="414E50E6" w14:textId="44AEB3F9" w:rsidR="00E378C0" w:rsidRDefault="003F1102" w:rsidP="00634B25">
      <w:pPr>
        <w:pStyle w:val="Standard"/>
        <w:jc w:val="center"/>
      </w:pPr>
      <w:r>
        <w:rPr>
          <w:rFonts w:ascii="Times New Roman" w:hAnsi="Times New Roman" w:cs="Times New Roman"/>
          <w:sz w:val="28"/>
        </w:rPr>
        <w:t>Jacob P. Sieg</w:t>
      </w:r>
      <w:r>
        <w:rPr>
          <w:rFonts w:ascii="Times New Roman" w:hAnsi="Times New Roman" w:cs="Times New Roman"/>
          <w:sz w:val="28"/>
          <w:vertAlign w:val="superscript"/>
        </w:rPr>
        <w:t>1,2</w:t>
      </w:r>
      <w:r w:rsidR="00E03863">
        <w:rPr>
          <w:rFonts w:ascii="Times New Roman" w:hAnsi="Times New Roman" w:cs="Times New Roman"/>
          <w:sz w:val="28"/>
        </w:rPr>
        <w:t>,</w:t>
      </w:r>
      <w:r>
        <w:rPr>
          <w:rFonts w:ascii="Times New Roman" w:hAnsi="Times New Roman" w:cs="Times New Roman"/>
          <w:sz w:val="28"/>
        </w:rPr>
        <w:t xml:space="preserve"> </w:t>
      </w:r>
      <w:r w:rsidR="00E03863">
        <w:rPr>
          <w:rFonts w:ascii="Times New Roman" w:hAnsi="Times New Roman" w:cs="Times New Roman"/>
          <w:sz w:val="28"/>
        </w:rPr>
        <w:t xml:space="preserve">Lauren </w:t>
      </w:r>
      <w:r w:rsidR="00143831">
        <w:rPr>
          <w:rFonts w:ascii="Times New Roman" w:hAnsi="Times New Roman" w:cs="Times New Roman"/>
          <w:sz w:val="28"/>
        </w:rPr>
        <w:t xml:space="preserve">N. </w:t>
      </w:r>
      <w:r w:rsidR="00E03863">
        <w:rPr>
          <w:rFonts w:ascii="Times New Roman" w:hAnsi="Times New Roman" w:cs="Times New Roman"/>
          <w:sz w:val="28"/>
        </w:rPr>
        <w:t>McKinley</w:t>
      </w:r>
      <w:r w:rsidR="00BE3726">
        <w:rPr>
          <w:rFonts w:ascii="Times New Roman" w:hAnsi="Times New Roman" w:cs="Times New Roman"/>
          <w:sz w:val="28"/>
          <w:vertAlign w:val="superscript"/>
        </w:rPr>
        <w:t>1,2</w:t>
      </w:r>
      <w:r w:rsidR="00E03863">
        <w:rPr>
          <w:rFonts w:ascii="Times New Roman" w:hAnsi="Times New Roman" w:cs="Times New Roman"/>
          <w:sz w:val="28"/>
        </w:rPr>
        <w:t xml:space="preserve">, Melanie </w:t>
      </w:r>
      <w:r w:rsidR="008C7A54">
        <w:rPr>
          <w:rFonts w:ascii="Times New Roman" w:hAnsi="Times New Roman" w:cs="Times New Roman"/>
          <w:sz w:val="28"/>
        </w:rPr>
        <w:t xml:space="preserve">J. </w:t>
      </w:r>
      <w:r w:rsidR="00E03863">
        <w:rPr>
          <w:rFonts w:ascii="Times New Roman" w:hAnsi="Times New Roman" w:cs="Times New Roman"/>
          <w:sz w:val="28"/>
        </w:rPr>
        <w:t>Huot</w:t>
      </w:r>
      <w:r w:rsidR="009D1219" w:rsidRPr="009D1219">
        <w:rPr>
          <w:rFonts w:ascii="Times New Roman" w:hAnsi="Times New Roman" w:cs="Times New Roman"/>
          <w:sz w:val="28"/>
          <w:vertAlign w:val="superscript"/>
        </w:rPr>
        <w:t>3</w:t>
      </w:r>
      <w:r w:rsidR="009D1219">
        <w:rPr>
          <w:rFonts w:ascii="Times New Roman" w:hAnsi="Times New Roman" w:cs="Times New Roman"/>
          <w:sz w:val="28"/>
          <w:vertAlign w:val="superscript"/>
        </w:rPr>
        <w:t>,4</w:t>
      </w:r>
      <w:r w:rsidR="00E03863">
        <w:rPr>
          <w:rFonts w:ascii="Times New Roman" w:hAnsi="Times New Roman" w:cs="Times New Roman"/>
          <w:sz w:val="28"/>
        </w:rPr>
        <w:t>, Neela</w:t>
      </w:r>
      <w:r w:rsidR="00081307">
        <w:rPr>
          <w:rFonts w:ascii="Times New Roman" w:hAnsi="Times New Roman" w:cs="Times New Roman"/>
          <w:sz w:val="28"/>
        </w:rPr>
        <w:t xml:space="preserve"> H.</w:t>
      </w:r>
      <w:r w:rsidR="00E03863">
        <w:rPr>
          <w:rFonts w:ascii="Times New Roman" w:hAnsi="Times New Roman" w:cs="Times New Roman"/>
          <w:sz w:val="28"/>
        </w:rPr>
        <w:t xml:space="preserve"> Yennawar</w:t>
      </w:r>
      <w:r w:rsidR="009D1219">
        <w:rPr>
          <w:rFonts w:ascii="Times New Roman" w:hAnsi="Times New Roman" w:cs="Times New Roman"/>
          <w:sz w:val="28"/>
          <w:vertAlign w:val="superscript"/>
        </w:rPr>
        <w:t>5</w:t>
      </w:r>
      <w:r w:rsidR="00E03863">
        <w:rPr>
          <w:rFonts w:ascii="Times New Roman" w:hAnsi="Times New Roman" w:cs="Times New Roman"/>
          <w:sz w:val="28"/>
        </w:rPr>
        <w:t>,</w:t>
      </w:r>
      <w:r w:rsidR="00E03863">
        <w:rPr>
          <w:rFonts w:ascii="Times New Roman" w:hAnsi="Times New Roman" w:cs="Times New Roman"/>
          <w:sz w:val="28"/>
        </w:rPr>
        <w:br/>
        <w:t xml:space="preserve"> </w:t>
      </w:r>
      <w:r>
        <w:rPr>
          <w:rFonts w:ascii="Times New Roman" w:hAnsi="Times New Roman" w:cs="Times New Roman"/>
          <w:sz w:val="28"/>
        </w:rPr>
        <w:t>and Philip C. Bevilacqua*</w:t>
      </w:r>
      <w:r>
        <w:rPr>
          <w:rFonts w:ascii="Times New Roman" w:hAnsi="Times New Roman" w:cs="Times New Roman"/>
          <w:sz w:val="28"/>
          <w:vertAlign w:val="superscript"/>
        </w:rPr>
        <w:t>1,2,3</w:t>
      </w:r>
    </w:p>
    <w:p w14:paraId="7482613E" w14:textId="77777777" w:rsidR="00E378C0" w:rsidRDefault="00E378C0" w:rsidP="004D5418">
      <w:pPr>
        <w:pStyle w:val="Standard"/>
        <w:jc w:val="both"/>
        <w:rPr>
          <w:rFonts w:ascii="Times New Roman" w:hAnsi="Times New Roman" w:cs="Times New Roman"/>
        </w:rPr>
      </w:pPr>
    </w:p>
    <w:p w14:paraId="48D9719F" w14:textId="77777777" w:rsidR="00E378C0" w:rsidRDefault="003F1102" w:rsidP="004D5418">
      <w:pPr>
        <w:pStyle w:val="Standard"/>
        <w:jc w:val="both"/>
      </w:pPr>
      <w:r>
        <w:rPr>
          <w:rFonts w:ascii="Times New Roman" w:hAnsi="Times New Roman" w:cs="Times New Roman"/>
          <w:vertAlign w:val="superscript"/>
        </w:rPr>
        <w:t>1</w:t>
      </w:r>
      <w:r>
        <w:rPr>
          <w:rFonts w:ascii="Times New Roman" w:hAnsi="Times New Roman" w:cs="Times New Roman"/>
        </w:rPr>
        <w:t>Department of Chemistry, Pennsylvania State University, University Park, PA 16802.</w:t>
      </w:r>
    </w:p>
    <w:p w14:paraId="58E8C264" w14:textId="77777777" w:rsidR="00E378C0" w:rsidRDefault="003F1102" w:rsidP="004D5418">
      <w:pPr>
        <w:pStyle w:val="Standard"/>
        <w:jc w:val="both"/>
      </w:pPr>
      <w:r>
        <w:rPr>
          <w:rFonts w:ascii="Times New Roman" w:hAnsi="Times New Roman" w:cs="Times New Roman"/>
          <w:vertAlign w:val="superscript"/>
        </w:rPr>
        <w:t>2</w:t>
      </w:r>
      <w:r>
        <w:rPr>
          <w:rFonts w:ascii="Times New Roman" w:hAnsi="Times New Roman" w:cs="Times New Roman"/>
        </w:rPr>
        <w:t>Center for RNA Molecular Biology, Pennsylvania State University, University Park, PA 16802.</w:t>
      </w:r>
    </w:p>
    <w:p w14:paraId="74766A2A" w14:textId="17A6EDED" w:rsidR="00E378C0" w:rsidRDefault="003F1102" w:rsidP="004D5418">
      <w:pPr>
        <w:pStyle w:val="Standard"/>
        <w:jc w:val="both"/>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Department of Biochemistry and Molecular Biology, Pennsylvania State University, University Park, PA 16802.</w:t>
      </w:r>
    </w:p>
    <w:p w14:paraId="7A026CE5" w14:textId="6AD6C727" w:rsidR="009D1219" w:rsidRDefault="009D1219" w:rsidP="004D5418">
      <w:pPr>
        <w:pStyle w:val="Standard"/>
        <w:jc w:val="both"/>
      </w:pPr>
      <w:r w:rsidRPr="009D1219">
        <w:rPr>
          <w:rFonts w:ascii="Times New Roman" w:hAnsi="Times New Roman" w:cs="Times New Roman"/>
          <w:vertAlign w:val="superscript"/>
        </w:rPr>
        <w:t>4</w:t>
      </w:r>
      <w:r w:rsidRPr="009D1219">
        <w:rPr>
          <w:rFonts w:ascii="Times New Roman" w:hAnsi="Times New Roman" w:cs="Times New Roman"/>
        </w:rPr>
        <w:t>Department of Biology</w:t>
      </w:r>
      <w:r>
        <w:rPr>
          <w:rFonts w:ascii="Times New Roman" w:hAnsi="Times New Roman" w:cs="Times New Roman"/>
        </w:rPr>
        <w:t>, Pennsylvania State University, University Park, PA 16802.</w:t>
      </w:r>
    </w:p>
    <w:p w14:paraId="1C9FDACA" w14:textId="46494838" w:rsidR="00081307" w:rsidRPr="004664AD" w:rsidRDefault="009D1219" w:rsidP="009D1219">
      <w:pPr>
        <w:pStyle w:val="Standard"/>
        <w:jc w:val="both"/>
        <w:rPr>
          <w:rFonts w:ascii="Times New Roman" w:hAnsi="Times New Roman" w:cs="Times New Roman"/>
          <w:sz w:val="18"/>
          <w:szCs w:val="18"/>
        </w:rPr>
      </w:pPr>
      <w:r>
        <w:rPr>
          <w:rFonts w:ascii="Times New Roman" w:hAnsi="Times New Roman" w:cs="Times New Roman"/>
          <w:vertAlign w:val="superscript"/>
        </w:rPr>
        <w:t>5</w:t>
      </w:r>
      <w:r w:rsidR="00081307" w:rsidRPr="009D1219">
        <w:rPr>
          <w:rFonts w:ascii="Times New Roman" w:hAnsi="Times New Roman" w:cs="Times New Roman"/>
        </w:rPr>
        <w:t>The Huck Institutes of the Life Sciences, The Pennsylvania State University, University Park, PA 16802.</w:t>
      </w:r>
    </w:p>
    <w:p w14:paraId="7DD3C66A" w14:textId="77777777" w:rsidR="00E378C0" w:rsidRDefault="00E378C0" w:rsidP="004D5418">
      <w:pPr>
        <w:pStyle w:val="Standard"/>
        <w:jc w:val="both"/>
        <w:rPr>
          <w:rFonts w:ascii="Times New Roman" w:hAnsi="Times New Roman" w:cs="Times New Roman"/>
        </w:rPr>
      </w:pPr>
    </w:p>
    <w:p w14:paraId="406FC5C5" w14:textId="77777777" w:rsidR="00E378C0" w:rsidRDefault="003F1102" w:rsidP="004D5418">
      <w:pPr>
        <w:pStyle w:val="Standard"/>
        <w:jc w:val="both"/>
        <w:rPr>
          <w:rFonts w:ascii="Times New Roman" w:hAnsi="Times New Roman" w:cs="Times New Roman"/>
          <w:b/>
        </w:rPr>
      </w:pPr>
      <w:r>
        <w:rPr>
          <w:rFonts w:ascii="Times New Roman" w:hAnsi="Times New Roman" w:cs="Times New Roman"/>
          <w:b/>
        </w:rPr>
        <w:t>Keywords</w:t>
      </w:r>
    </w:p>
    <w:p w14:paraId="1B02FAC0" w14:textId="24BFE69B" w:rsidR="00E378C0" w:rsidRDefault="003F1102" w:rsidP="004D5418">
      <w:pPr>
        <w:pStyle w:val="Standard"/>
        <w:jc w:val="both"/>
        <w:rPr>
          <w:rFonts w:ascii="Times New Roman" w:hAnsi="Times New Roman" w:cs="Times New Roman"/>
        </w:rPr>
      </w:pPr>
      <w:r>
        <w:rPr>
          <w:rFonts w:ascii="Times New Roman" w:hAnsi="Times New Roman" w:cs="Times New Roman"/>
        </w:rPr>
        <w:t xml:space="preserve">Magnesium ion, Metabolites, Chelated magnesium, RNA folding, RNA function, </w:t>
      </w:r>
      <w:r w:rsidR="00281948">
        <w:rPr>
          <w:rFonts w:ascii="Times New Roman" w:hAnsi="Times New Roman" w:cs="Times New Roman"/>
        </w:rPr>
        <w:t>N</w:t>
      </w:r>
      <w:r>
        <w:rPr>
          <w:rFonts w:ascii="Times New Roman" w:hAnsi="Times New Roman" w:cs="Times New Roman"/>
        </w:rPr>
        <w:t>ear-cellular condition</w:t>
      </w:r>
    </w:p>
    <w:p w14:paraId="5C5A459B" w14:textId="77777777" w:rsidR="00E378C0" w:rsidRDefault="00E378C0" w:rsidP="004D5418">
      <w:pPr>
        <w:pStyle w:val="Standard"/>
        <w:jc w:val="both"/>
        <w:rPr>
          <w:rFonts w:ascii="Times New Roman" w:hAnsi="Times New Roman" w:cs="Times New Roman"/>
        </w:rPr>
      </w:pPr>
    </w:p>
    <w:p w14:paraId="0E2D2B72" w14:textId="77777777" w:rsidR="00E378C0" w:rsidRDefault="003F1102" w:rsidP="004D5418">
      <w:pPr>
        <w:pStyle w:val="Standard"/>
        <w:jc w:val="both"/>
        <w:rPr>
          <w:rFonts w:ascii="Times New Roman" w:hAnsi="Times New Roman" w:cs="Times New Roman"/>
          <w:b/>
        </w:rPr>
      </w:pPr>
      <w:r>
        <w:rPr>
          <w:rFonts w:ascii="Times New Roman" w:hAnsi="Times New Roman" w:cs="Times New Roman"/>
          <w:b/>
        </w:rPr>
        <w:t>ORCID:</w:t>
      </w:r>
    </w:p>
    <w:p w14:paraId="4A649837" w14:textId="77777777" w:rsidR="00664656" w:rsidRDefault="00664656" w:rsidP="00664656">
      <w:pPr>
        <w:pStyle w:val="Standard"/>
        <w:jc w:val="both"/>
        <w:rPr>
          <w:rFonts w:ascii="Times New Roman" w:hAnsi="Times New Roman" w:cs="Times New Roman"/>
        </w:rPr>
      </w:pPr>
      <w:r>
        <w:rPr>
          <w:rFonts w:ascii="Times New Roman" w:hAnsi="Times New Roman" w:cs="Times New Roman"/>
        </w:rPr>
        <w:t>Jacob P. Sieg: 0000-0001-5414-1667</w:t>
      </w:r>
    </w:p>
    <w:p w14:paraId="1DE3E212" w14:textId="5647B05E" w:rsidR="00664656" w:rsidRDefault="00664656" w:rsidP="004D5418">
      <w:pPr>
        <w:pStyle w:val="Standard"/>
        <w:jc w:val="both"/>
        <w:rPr>
          <w:rFonts w:ascii="Times New Roman" w:hAnsi="Times New Roman" w:cs="Times New Roman"/>
        </w:rPr>
      </w:pPr>
      <w:r>
        <w:rPr>
          <w:rFonts w:ascii="Times New Roman" w:hAnsi="Times New Roman" w:cs="Times New Roman"/>
        </w:rPr>
        <w:t xml:space="preserve">Lauren </w:t>
      </w:r>
      <w:r w:rsidR="00E13A0A">
        <w:rPr>
          <w:rFonts w:ascii="Times New Roman" w:hAnsi="Times New Roman" w:cs="Times New Roman"/>
        </w:rPr>
        <w:t xml:space="preserve">N. </w:t>
      </w:r>
      <w:r>
        <w:rPr>
          <w:rFonts w:ascii="Times New Roman" w:hAnsi="Times New Roman" w:cs="Times New Roman"/>
        </w:rPr>
        <w:t>McKinley:</w:t>
      </w:r>
      <w:r w:rsidR="00BF3DA1">
        <w:rPr>
          <w:rFonts w:ascii="Times New Roman" w:hAnsi="Times New Roman" w:cs="Times New Roman"/>
        </w:rPr>
        <w:t xml:space="preserve"> </w:t>
      </w:r>
      <w:r w:rsidR="00BF3DA1" w:rsidRPr="0046492D">
        <w:rPr>
          <w:rFonts w:ascii="Times New Roman" w:hAnsi="Times New Roman" w:cs="Times New Roman"/>
        </w:rPr>
        <w:t>0000-0002-3937-3811</w:t>
      </w:r>
    </w:p>
    <w:p w14:paraId="6F46F2F8" w14:textId="67D4EDA6" w:rsidR="00664656" w:rsidRDefault="00664656" w:rsidP="004D5418">
      <w:pPr>
        <w:pStyle w:val="Standard"/>
        <w:jc w:val="both"/>
        <w:rPr>
          <w:rFonts w:ascii="Times New Roman" w:hAnsi="Times New Roman" w:cs="Times New Roman"/>
        </w:rPr>
      </w:pPr>
      <w:r>
        <w:rPr>
          <w:rFonts w:ascii="Times New Roman" w:hAnsi="Times New Roman" w:cs="Times New Roman"/>
        </w:rPr>
        <w:t xml:space="preserve">Melanie </w:t>
      </w:r>
      <w:r w:rsidR="00E13A0A">
        <w:rPr>
          <w:rFonts w:ascii="Times New Roman" w:hAnsi="Times New Roman" w:cs="Times New Roman"/>
        </w:rPr>
        <w:t xml:space="preserve">J. </w:t>
      </w:r>
      <w:proofErr w:type="spellStart"/>
      <w:r>
        <w:rPr>
          <w:rFonts w:ascii="Times New Roman" w:hAnsi="Times New Roman" w:cs="Times New Roman"/>
        </w:rPr>
        <w:t>Huot</w:t>
      </w:r>
      <w:proofErr w:type="spellEnd"/>
      <w:r>
        <w:rPr>
          <w:rFonts w:ascii="Times New Roman" w:hAnsi="Times New Roman" w:cs="Times New Roman"/>
        </w:rPr>
        <w:t>:</w:t>
      </w:r>
      <w:r w:rsidR="009D1219">
        <w:rPr>
          <w:rFonts w:ascii="Times New Roman" w:hAnsi="Times New Roman" w:cs="Times New Roman"/>
        </w:rPr>
        <w:t xml:space="preserve"> </w:t>
      </w:r>
      <w:r w:rsidR="009D1219" w:rsidRPr="009D1219">
        <w:rPr>
          <w:rFonts w:ascii="Times New Roman" w:hAnsi="Times New Roman" w:cs="Times New Roman"/>
        </w:rPr>
        <w:t>0000-0002-6669-2244</w:t>
      </w:r>
    </w:p>
    <w:p w14:paraId="493E1391" w14:textId="15A41CB0" w:rsidR="00081307" w:rsidRPr="0046492D" w:rsidRDefault="00081307" w:rsidP="0046492D">
      <w:pPr>
        <w:pStyle w:val="Standard"/>
        <w:jc w:val="both"/>
        <w:rPr>
          <w:rFonts w:ascii="Times New Roman" w:hAnsi="Times New Roman" w:cs="Times New Roman"/>
        </w:rPr>
      </w:pPr>
      <w:r w:rsidRPr="0046492D">
        <w:rPr>
          <w:rFonts w:ascii="Times New Roman" w:hAnsi="Times New Roman" w:cs="Times New Roman"/>
        </w:rPr>
        <w:t>Neela H. Yennawar:</w:t>
      </w:r>
      <w:r w:rsidRPr="0046492D">
        <w:rPr>
          <w:b/>
        </w:rPr>
        <w:t xml:space="preserve"> </w:t>
      </w:r>
      <w:r w:rsidRPr="0046492D">
        <w:rPr>
          <w:rFonts w:ascii="Times New Roman" w:hAnsi="Times New Roman" w:cs="Times New Roman"/>
        </w:rPr>
        <w:t>0000-0001-7278-659</w:t>
      </w:r>
      <w:r w:rsidR="00634B25" w:rsidRPr="0046492D">
        <w:rPr>
          <w:rFonts w:ascii="Times New Roman" w:hAnsi="Times New Roman" w:cs="Times New Roman"/>
        </w:rPr>
        <w:t>X</w:t>
      </w:r>
    </w:p>
    <w:p w14:paraId="75E8699C" w14:textId="39A584C9" w:rsidR="00E378C0" w:rsidRDefault="003F1102" w:rsidP="004D5418">
      <w:pPr>
        <w:pStyle w:val="Standard"/>
        <w:jc w:val="both"/>
        <w:rPr>
          <w:rFonts w:ascii="Times New Roman" w:hAnsi="Times New Roman" w:cs="Times New Roman"/>
        </w:rPr>
      </w:pPr>
      <w:r>
        <w:rPr>
          <w:rFonts w:ascii="Times New Roman" w:hAnsi="Times New Roman" w:cs="Times New Roman"/>
        </w:rPr>
        <w:t>Philip C. Bevilacqua: 0000-0001-8074-3434</w:t>
      </w:r>
    </w:p>
    <w:p w14:paraId="51AB77A9" w14:textId="4EA83B2A" w:rsidR="00092C6C" w:rsidRDefault="003F1102" w:rsidP="004D5418">
      <w:pPr>
        <w:pStyle w:val="Standard"/>
        <w:jc w:val="both"/>
        <w:rPr>
          <w:rFonts w:ascii="Times New Roman" w:hAnsi="Times New Roman" w:cs="Times New Roman"/>
        </w:rPr>
      </w:pPr>
      <w:r>
        <w:rPr>
          <w:rFonts w:ascii="Times New Roman" w:hAnsi="Times New Roman" w:cs="Times New Roman"/>
        </w:rPr>
        <w:t>*Corresponding author</w:t>
      </w:r>
    </w:p>
    <w:p w14:paraId="05684083" w14:textId="77777777" w:rsidR="00092C6C" w:rsidRDefault="00092C6C" w:rsidP="004D5418">
      <w:pPr>
        <w:jc w:val="both"/>
        <w:rPr>
          <w:rFonts w:ascii="Times New Roman" w:hAnsi="Times New Roman" w:cs="Times New Roman"/>
        </w:rPr>
      </w:pPr>
      <w:r>
        <w:rPr>
          <w:rFonts w:ascii="Times New Roman" w:hAnsi="Times New Roman" w:cs="Times New Roman"/>
        </w:rPr>
        <w:br w:type="page"/>
      </w:r>
    </w:p>
    <w:p w14:paraId="67E33431" w14:textId="6512C236" w:rsidR="00AA10FF" w:rsidRPr="00401702" w:rsidRDefault="00AA10FF" w:rsidP="00E7084B">
      <w:pPr>
        <w:spacing w:after="120"/>
        <w:rPr>
          <w:rFonts w:ascii="Times New Roman" w:hAnsi="Times New Roman" w:cs="Times New Roman"/>
          <w:i/>
          <w:iCs/>
          <w:sz w:val="24"/>
          <w:szCs w:val="24"/>
        </w:rPr>
      </w:pPr>
      <w:r w:rsidRPr="00401702">
        <w:rPr>
          <w:rFonts w:ascii="Times New Roman" w:hAnsi="Times New Roman" w:cs="Times New Roman"/>
          <w:i/>
          <w:iCs/>
          <w:sz w:val="24"/>
          <w:szCs w:val="24"/>
        </w:rPr>
        <w:lastRenderedPageBreak/>
        <w:t>Free Mg</w:t>
      </w:r>
      <w:r w:rsidRPr="00401702">
        <w:rPr>
          <w:rFonts w:ascii="Times New Roman" w:hAnsi="Times New Roman" w:cs="Times New Roman"/>
          <w:i/>
          <w:iCs/>
          <w:sz w:val="24"/>
          <w:szCs w:val="24"/>
          <w:vertAlign w:val="superscript"/>
        </w:rPr>
        <w:t>2+</w:t>
      </w:r>
      <w:r w:rsidRPr="00401702">
        <w:rPr>
          <w:rFonts w:ascii="Times New Roman" w:hAnsi="Times New Roman" w:cs="Times New Roman"/>
          <w:i/>
          <w:iCs/>
          <w:sz w:val="24"/>
          <w:szCs w:val="24"/>
        </w:rPr>
        <w:t xml:space="preserve"> concentration error analysis</w:t>
      </w:r>
    </w:p>
    <w:p w14:paraId="0B7B3EA2" w14:textId="1893002C" w:rsidR="00AA10FF" w:rsidRPr="00E7084B" w:rsidRDefault="00AA10FF" w:rsidP="00A330B8">
      <w:pPr>
        <w:spacing w:after="120"/>
        <w:jc w:val="both"/>
        <w:rPr>
          <w:rFonts w:ascii="Times New Roman" w:hAnsi="Times New Roman" w:cs="Times New Roman"/>
          <w:sz w:val="24"/>
          <w:szCs w:val="24"/>
        </w:rPr>
      </w:pPr>
      <w:r w:rsidRPr="00E7084B">
        <w:rPr>
          <w:rFonts w:ascii="Times New Roman" w:hAnsi="Times New Roman" w:cs="Times New Roman"/>
          <w:sz w:val="24"/>
          <w:szCs w:val="24"/>
        </w:rPr>
        <w:t xml:space="preserve">It is </w:t>
      </w:r>
      <w:r w:rsidR="009E7F14" w:rsidRPr="00E7084B">
        <w:rPr>
          <w:rFonts w:ascii="Times New Roman" w:hAnsi="Times New Roman" w:cs="Times New Roman"/>
          <w:sz w:val="24"/>
          <w:szCs w:val="24"/>
        </w:rPr>
        <w:t xml:space="preserve">important to understand the error </w:t>
      </w:r>
      <w:r w:rsidR="00B854F9">
        <w:rPr>
          <w:rFonts w:ascii="Times New Roman" w:hAnsi="Times New Roman" w:cs="Times New Roman"/>
          <w:sz w:val="24"/>
          <w:szCs w:val="24"/>
        </w:rPr>
        <w:t>in</w:t>
      </w:r>
      <w:r w:rsidR="009E7F14" w:rsidRPr="00E7084B">
        <w:rPr>
          <w:rFonts w:ascii="Times New Roman" w:hAnsi="Times New Roman" w:cs="Times New Roman"/>
          <w:sz w:val="24"/>
          <w:szCs w:val="24"/>
        </w:rPr>
        <w:t xml:space="preserve"> the free Mg</w:t>
      </w:r>
      <w:r w:rsidR="009E7F14" w:rsidRPr="00E7084B">
        <w:rPr>
          <w:rFonts w:ascii="Times New Roman" w:hAnsi="Times New Roman" w:cs="Times New Roman"/>
          <w:sz w:val="24"/>
          <w:szCs w:val="24"/>
          <w:vertAlign w:val="superscript"/>
        </w:rPr>
        <w:t>2+</w:t>
      </w:r>
      <w:r w:rsidR="009E7F14" w:rsidRPr="00E7084B">
        <w:rPr>
          <w:rFonts w:ascii="Times New Roman" w:hAnsi="Times New Roman" w:cs="Times New Roman"/>
          <w:sz w:val="24"/>
          <w:szCs w:val="24"/>
        </w:rPr>
        <w:t xml:space="preserve"> </w:t>
      </w:r>
      <w:r w:rsidRPr="00E7084B">
        <w:rPr>
          <w:rFonts w:ascii="Times New Roman" w:hAnsi="Times New Roman" w:cs="Times New Roman"/>
          <w:sz w:val="24"/>
          <w:szCs w:val="24"/>
        </w:rPr>
        <w:t xml:space="preserve">concentration </w:t>
      </w:r>
      <w:r w:rsidR="00B854F9">
        <w:rPr>
          <w:rFonts w:ascii="Times New Roman" w:hAnsi="Times New Roman" w:cs="Times New Roman"/>
          <w:sz w:val="24"/>
          <w:szCs w:val="24"/>
        </w:rPr>
        <w:t>reported in artificial cytoplasm</w:t>
      </w:r>
      <w:r w:rsidR="00E13A0A">
        <w:rPr>
          <w:rFonts w:ascii="Times New Roman" w:hAnsi="Times New Roman" w:cs="Times New Roman"/>
          <w:sz w:val="24"/>
          <w:szCs w:val="24"/>
        </w:rPr>
        <w:t>,</w:t>
      </w:r>
      <w:r w:rsidR="00B854F9">
        <w:rPr>
          <w:rFonts w:ascii="Times New Roman" w:hAnsi="Times New Roman" w:cs="Times New Roman"/>
          <w:sz w:val="24"/>
          <w:szCs w:val="24"/>
        </w:rPr>
        <w:t xml:space="preserve"> </w:t>
      </w:r>
      <w:r w:rsidR="009E7F14" w:rsidRPr="00E7084B">
        <w:rPr>
          <w:rFonts w:ascii="Times New Roman" w:hAnsi="Times New Roman" w:cs="Times New Roman"/>
          <w:sz w:val="24"/>
          <w:szCs w:val="24"/>
        </w:rPr>
        <w:t xml:space="preserve">and the impact of such errors </w:t>
      </w:r>
      <w:r w:rsidRPr="00E7084B">
        <w:rPr>
          <w:rFonts w:ascii="Times New Roman" w:hAnsi="Times New Roman" w:cs="Times New Roman"/>
          <w:sz w:val="24"/>
          <w:szCs w:val="24"/>
        </w:rPr>
        <w:t xml:space="preserve">to </w:t>
      </w:r>
      <w:r w:rsidR="00B854F9">
        <w:rPr>
          <w:rFonts w:ascii="Times New Roman" w:hAnsi="Times New Roman" w:cs="Times New Roman"/>
          <w:sz w:val="24"/>
          <w:szCs w:val="24"/>
        </w:rPr>
        <w:t>appropriately</w:t>
      </w:r>
      <w:r w:rsidRPr="00E7084B">
        <w:rPr>
          <w:rFonts w:ascii="Times New Roman" w:hAnsi="Times New Roman" w:cs="Times New Roman"/>
          <w:sz w:val="24"/>
          <w:szCs w:val="24"/>
        </w:rPr>
        <w:t xml:space="preserve"> </w:t>
      </w:r>
      <w:r w:rsidR="00401702" w:rsidRPr="00E7084B">
        <w:rPr>
          <w:rFonts w:ascii="Times New Roman" w:hAnsi="Times New Roman" w:cs="Times New Roman"/>
          <w:sz w:val="24"/>
          <w:szCs w:val="24"/>
        </w:rPr>
        <w:t>assess</w:t>
      </w:r>
      <w:r w:rsidRPr="00E7084B">
        <w:rPr>
          <w:rFonts w:ascii="Times New Roman" w:hAnsi="Times New Roman" w:cs="Times New Roman"/>
          <w:sz w:val="24"/>
          <w:szCs w:val="24"/>
        </w:rPr>
        <w:t xml:space="preserve"> the results presented in the main text. In this </w:t>
      </w:r>
      <w:r w:rsidR="00E3034E">
        <w:rPr>
          <w:rFonts w:ascii="Times New Roman" w:hAnsi="Times New Roman" w:cs="Times New Roman"/>
          <w:sz w:val="24"/>
          <w:szCs w:val="24"/>
        </w:rPr>
        <w:t>s</w:t>
      </w:r>
      <w:r w:rsidR="00477FA1">
        <w:rPr>
          <w:rFonts w:ascii="Times New Roman" w:hAnsi="Times New Roman" w:cs="Times New Roman"/>
          <w:sz w:val="24"/>
          <w:szCs w:val="24"/>
        </w:rPr>
        <w:t>upplement</w:t>
      </w:r>
      <w:r w:rsidRPr="00E7084B">
        <w:rPr>
          <w:rFonts w:ascii="Times New Roman" w:hAnsi="Times New Roman" w:cs="Times New Roman"/>
          <w:sz w:val="24"/>
          <w:szCs w:val="24"/>
        </w:rPr>
        <w:t>, we first analyze the precision of the free Mg</w:t>
      </w:r>
      <w:r w:rsidRPr="00401702">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concentration determination using HQS, then provide a conservative estimate for the uncertainty </w:t>
      </w:r>
      <w:r w:rsidR="00477FA1">
        <w:rPr>
          <w:rFonts w:ascii="Times New Roman" w:hAnsi="Times New Roman" w:cs="Times New Roman"/>
          <w:sz w:val="24"/>
          <w:szCs w:val="24"/>
        </w:rPr>
        <w:t>in</w:t>
      </w:r>
      <w:r w:rsidRPr="00E7084B">
        <w:rPr>
          <w:rFonts w:ascii="Times New Roman" w:hAnsi="Times New Roman" w:cs="Times New Roman"/>
          <w:sz w:val="24"/>
          <w:szCs w:val="24"/>
        </w:rPr>
        <w:t xml:space="preserve"> the free Mg</w:t>
      </w:r>
      <w:r w:rsidRPr="00B854F9">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w:t>
      </w:r>
      <w:r w:rsidR="00B854F9">
        <w:rPr>
          <w:rFonts w:ascii="Times New Roman" w:hAnsi="Times New Roman" w:cs="Times New Roman"/>
          <w:sz w:val="24"/>
          <w:szCs w:val="24"/>
        </w:rPr>
        <w:t xml:space="preserve">concentration reported </w:t>
      </w:r>
      <w:r w:rsidR="00E7084B" w:rsidRPr="00E7084B">
        <w:rPr>
          <w:rFonts w:ascii="Times New Roman" w:hAnsi="Times New Roman" w:cs="Times New Roman"/>
          <w:sz w:val="24"/>
          <w:szCs w:val="24"/>
        </w:rPr>
        <w:t>in artificial cytoplasm. Lastly, we consider if errors in the free Mg</w:t>
      </w:r>
      <w:r w:rsidR="00E7084B" w:rsidRPr="00401702">
        <w:rPr>
          <w:rFonts w:ascii="Times New Roman" w:hAnsi="Times New Roman" w:cs="Times New Roman"/>
          <w:sz w:val="24"/>
          <w:szCs w:val="24"/>
          <w:vertAlign w:val="superscript"/>
        </w:rPr>
        <w:t>2+</w:t>
      </w:r>
      <w:r w:rsidR="00E7084B" w:rsidRPr="00E7084B">
        <w:rPr>
          <w:rFonts w:ascii="Times New Roman" w:hAnsi="Times New Roman" w:cs="Times New Roman"/>
          <w:sz w:val="24"/>
          <w:szCs w:val="24"/>
        </w:rPr>
        <w:t xml:space="preserve"> concentration could explain the results presented in the main text.</w:t>
      </w:r>
    </w:p>
    <w:p w14:paraId="7A8A5672" w14:textId="10A96650" w:rsidR="009E7F14" w:rsidRPr="00401702" w:rsidRDefault="009E7F14" w:rsidP="00A330B8">
      <w:pPr>
        <w:spacing w:after="120"/>
        <w:jc w:val="both"/>
        <w:rPr>
          <w:rFonts w:ascii="Times New Roman" w:hAnsi="Times New Roman" w:cs="Times New Roman"/>
          <w:sz w:val="24"/>
          <w:szCs w:val="24"/>
        </w:rPr>
      </w:pPr>
      <w:r w:rsidRPr="00E7084B">
        <w:rPr>
          <w:rFonts w:ascii="Times New Roman" w:hAnsi="Times New Roman" w:cs="Times New Roman"/>
          <w:sz w:val="24"/>
          <w:szCs w:val="24"/>
        </w:rPr>
        <w:t>The biological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concentration range of 0.5 to 3.0 mM is within the linear range of the HQS calibration curve (</w:t>
      </w:r>
      <w:r w:rsidR="00401702">
        <w:rPr>
          <w:rFonts w:ascii="Times New Roman" w:hAnsi="Times New Roman" w:cs="Times New Roman"/>
          <w:sz w:val="24"/>
          <w:szCs w:val="24"/>
        </w:rPr>
        <w:t xml:space="preserve">Figure </w:t>
      </w:r>
      <w:r w:rsidR="00E3034E">
        <w:rPr>
          <w:rFonts w:ascii="Times New Roman" w:hAnsi="Times New Roman" w:cs="Times New Roman"/>
          <w:sz w:val="24"/>
          <w:szCs w:val="24"/>
        </w:rPr>
        <w:t>S2-</w:t>
      </w:r>
      <w:r w:rsidR="00401702">
        <w:rPr>
          <w:rFonts w:ascii="Times New Roman" w:hAnsi="Times New Roman" w:cs="Times New Roman"/>
          <w:sz w:val="24"/>
          <w:szCs w:val="24"/>
        </w:rPr>
        <w:t>1A</w:t>
      </w:r>
      <w:r w:rsidRPr="00E7084B">
        <w:rPr>
          <w:rFonts w:ascii="Times New Roman" w:hAnsi="Times New Roman" w:cs="Times New Roman"/>
          <w:sz w:val="24"/>
          <w:szCs w:val="24"/>
        </w:rPr>
        <w:t>). Propagation of the errors from the calibration curve fit used to determine the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concentration indicate that errors are minimized in the biological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concentration range, less than 5% of the calculated value (</w:t>
      </w:r>
      <w:r w:rsidR="00401702">
        <w:rPr>
          <w:rFonts w:ascii="Times New Roman" w:hAnsi="Times New Roman" w:cs="Times New Roman"/>
          <w:sz w:val="24"/>
          <w:szCs w:val="24"/>
        </w:rPr>
        <w:t xml:space="preserve">Figure </w:t>
      </w:r>
      <w:r w:rsidR="00E3034E">
        <w:rPr>
          <w:rFonts w:ascii="Times New Roman" w:hAnsi="Times New Roman" w:cs="Times New Roman"/>
          <w:sz w:val="24"/>
          <w:szCs w:val="24"/>
        </w:rPr>
        <w:t>S2-</w:t>
      </w:r>
      <w:r w:rsidR="00401702">
        <w:rPr>
          <w:rFonts w:ascii="Times New Roman" w:hAnsi="Times New Roman" w:cs="Times New Roman"/>
          <w:sz w:val="24"/>
          <w:szCs w:val="24"/>
        </w:rPr>
        <w:t>1B</w:t>
      </w:r>
      <w:r w:rsidRPr="00E7084B">
        <w:rPr>
          <w:rFonts w:ascii="Times New Roman" w:hAnsi="Times New Roman" w:cs="Times New Roman"/>
          <w:sz w:val="24"/>
          <w:szCs w:val="24"/>
        </w:rPr>
        <w:t>). The HQS assay is less precise outside of this range of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concentrations because large changes in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concentrations only lead to small changes in HQS emission</w:t>
      </w:r>
      <w:r w:rsidR="00401702">
        <w:rPr>
          <w:rFonts w:ascii="Times New Roman" w:hAnsi="Times New Roman" w:cs="Times New Roman"/>
          <w:sz w:val="24"/>
          <w:szCs w:val="24"/>
        </w:rPr>
        <w:t>. For example, in the absence of chelators, 200 mM Mg</w:t>
      </w:r>
      <w:r w:rsidR="00401702" w:rsidRPr="00401702">
        <w:rPr>
          <w:rFonts w:ascii="Times New Roman" w:hAnsi="Times New Roman" w:cs="Times New Roman"/>
          <w:sz w:val="24"/>
          <w:szCs w:val="24"/>
          <w:vertAlign w:val="superscript"/>
        </w:rPr>
        <w:t>2+</w:t>
      </w:r>
      <w:r w:rsidR="00401702">
        <w:rPr>
          <w:rFonts w:ascii="Times New Roman" w:hAnsi="Times New Roman" w:cs="Times New Roman"/>
          <w:sz w:val="24"/>
          <w:szCs w:val="24"/>
        </w:rPr>
        <w:t xml:space="preserve"> produces the same fluorescence emission as 100 mM Mg</w:t>
      </w:r>
      <w:r w:rsidR="00401702" w:rsidRPr="00401702">
        <w:rPr>
          <w:rFonts w:ascii="Times New Roman" w:hAnsi="Times New Roman" w:cs="Times New Roman"/>
          <w:sz w:val="24"/>
          <w:szCs w:val="24"/>
          <w:vertAlign w:val="superscript"/>
        </w:rPr>
        <w:t>2+</w:t>
      </w:r>
      <w:r w:rsidR="00401702">
        <w:rPr>
          <w:rFonts w:ascii="Times New Roman" w:hAnsi="Times New Roman" w:cs="Times New Roman"/>
          <w:sz w:val="24"/>
          <w:szCs w:val="24"/>
        </w:rPr>
        <w:t xml:space="preserve"> </w:t>
      </w:r>
      <w:r w:rsidR="00477FA1">
        <w:rPr>
          <w:rFonts w:ascii="Times New Roman" w:hAnsi="Times New Roman" w:cs="Times New Roman"/>
          <w:sz w:val="24"/>
          <w:szCs w:val="24"/>
        </w:rPr>
        <w:t xml:space="preserve">(Figure </w:t>
      </w:r>
      <w:r w:rsidR="00E3034E">
        <w:rPr>
          <w:rFonts w:ascii="Times New Roman" w:hAnsi="Times New Roman" w:cs="Times New Roman"/>
          <w:sz w:val="24"/>
          <w:szCs w:val="24"/>
        </w:rPr>
        <w:t>S2-</w:t>
      </w:r>
      <w:r w:rsidR="00477FA1">
        <w:rPr>
          <w:rFonts w:ascii="Times New Roman" w:hAnsi="Times New Roman" w:cs="Times New Roman"/>
          <w:sz w:val="24"/>
          <w:szCs w:val="24"/>
        </w:rPr>
        <w:t xml:space="preserve">1A) </w:t>
      </w:r>
      <w:r w:rsidR="00401702">
        <w:rPr>
          <w:rFonts w:ascii="Times New Roman" w:hAnsi="Times New Roman" w:cs="Times New Roman"/>
          <w:sz w:val="24"/>
          <w:szCs w:val="24"/>
        </w:rPr>
        <w:t xml:space="preserve">because HQS is already completely bound at </w:t>
      </w:r>
      <w:r w:rsidR="005558CB">
        <w:rPr>
          <w:rFonts w:ascii="Times New Roman" w:hAnsi="Times New Roman" w:cs="Times New Roman"/>
          <w:sz w:val="24"/>
          <w:szCs w:val="24"/>
        </w:rPr>
        <w:t>1</w:t>
      </w:r>
      <w:r w:rsidR="00401702">
        <w:rPr>
          <w:rFonts w:ascii="Times New Roman" w:hAnsi="Times New Roman" w:cs="Times New Roman"/>
          <w:sz w:val="24"/>
          <w:szCs w:val="24"/>
        </w:rPr>
        <w:t>00 mM Mg</w:t>
      </w:r>
      <w:r w:rsidR="00401702" w:rsidRPr="00401702">
        <w:rPr>
          <w:rFonts w:ascii="Times New Roman" w:hAnsi="Times New Roman" w:cs="Times New Roman"/>
          <w:sz w:val="24"/>
          <w:szCs w:val="24"/>
          <w:vertAlign w:val="superscript"/>
        </w:rPr>
        <w:t>2+</w:t>
      </w:r>
      <w:r w:rsidR="00401702">
        <w:rPr>
          <w:rFonts w:ascii="Times New Roman" w:hAnsi="Times New Roman" w:cs="Times New Roman"/>
          <w:sz w:val="24"/>
          <w:szCs w:val="24"/>
        </w:rPr>
        <w:t xml:space="preserve">. Thus, the HQS assay is precise, with an uncertainty less than 5% of </w:t>
      </w:r>
      <w:r w:rsidR="005558CB">
        <w:rPr>
          <w:rFonts w:ascii="Times New Roman" w:hAnsi="Times New Roman" w:cs="Times New Roman"/>
          <w:sz w:val="24"/>
          <w:szCs w:val="24"/>
        </w:rPr>
        <w:t>th</w:t>
      </w:r>
      <w:r w:rsidR="00477FA1">
        <w:rPr>
          <w:rFonts w:ascii="Times New Roman" w:hAnsi="Times New Roman" w:cs="Times New Roman"/>
          <w:sz w:val="24"/>
          <w:szCs w:val="24"/>
        </w:rPr>
        <w:t>e</w:t>
      </w:r>
      <w:r w:rsidR="005558CB">
        <w:rPr>
          <w:rFonts w:ascii="Times New Roman" w:hAnsi="Times New Roman" w:cs="Times New Roman"/>
          <w:sz w:val="24"/>
          <w:szCs w:val="24"/>
        </w:rPr>
        <w:t xml:space="preserve"> </w:t>
      </w:r>
      <w:r w:rsidR="00401702">
        <w:rPr>
          <w:rFonts w:ascii="Times New Roman" w:hAnsi="Times New Roman" w:cs="Times New Roman"/>
          <w:sz w:val="24"/>
          <w:szCs w:val="24"/>
        </w:rPr>
        <w:t>measured free Mg</w:t>
      </w:r>
      <w:r w:rsidR="00401702" w:rsidRPr="00A330B8">
        <w:rPr>
          <w:rFonts w:ascii="Times New Roman" w:hAnsi="Times New Roman" w:cs="Times New Roman"/>
          <w:sz w:val="24"/>
          <w:szCs w:val="24"/>
          <w:vertAlign w:val="superscript"/>
        </w:rPr>
        <w:t>2+</w:t>
      </w:r>
      <w:r w:rsidR="00401702">
        <w:rPr>
          <w:rFonts w:ascii="Times New Roman" w:hAnsi="Times New Roman" w:cs="Times New Roman"/>
          <w:sz w:val="24"/>
          <w:szCs w:val="24"/>
        </w:rPr>
        <w:t xml:space="preserve"> concentration</w:t>
      </w:r>
      <w:r w:rsidR="00A330B8">
        <w:rPr>
          <w:rFonts w:ascii="Times New Roman" w:hAnsi="Times New Roman" w:cs="Times New Roman"/>
          <w:sz w:val="24"/>
          <w:szCs w:val="24"/>
        </w:rPr>
        <w:t xml:space="preserve"> </w:t>
      </w:r>
      <w:r w:rsidR="00401702">
        <w:rPr>
          <w:rFonts w:ascii="Times New Roman" w:hAnsi="Times New Roman" w:cs="Times New Roman"/>
          <w:sz w:val="24"/>
          <w:szCs w:val="24"/>
        </w:rPr>
        <w:t>within the biological free Mg</w:t>
      </w:r>
      <w:r w:rsidR="00401702" w:rsidRPr="00A330B8">
        <w:rPr>
          <w:rFonts w:ascii="Times New Roman" w:hAnsi="Times New Roman" w:cs="Times New Roman"/>
          <w:sz w:val="24"/>
          <w:szCs w:val="24"/>
          <w:vertAlign w:val="superscript"/>
        </w:rPr>
        <w:t>2+</w:t>
      </w:r>
      <w:r w:rsidR="00401702">
        <w:rPr>
          <w:rFonts w:ascii="Times New Roman" w:hAnsi="Times New Roman" w:cs="Times New Roman"/>
          <w:sz w:val="24"/>
          <w:szCs w:val="24"/>
        </w:rPr>
        <w:t xml:space="preserve"> range</w:t>
      </w:r>
      <w:r w:rsidR="005558CB">
        <w:rPr>
          <w:rFonts w:ascii="Times New Roman" w:hAnsi="Times New Roman" w:cs="Times New Roman"/>
          <w:sz w:val="24"/>
          <w:szCs w:val="24"/>
        </w:rPr>
        <w:t>,</w:t>
      </w:r>
      <w:r w:rsidR="00401702">
        <w:rPr>
          <w:rFonts w:ascii="Times New Roman" w:hAnsi="Times New Roman" w:cs="Times New Roman"/>
          <w:sz w:val="24"/>
          <w:szCs w:val="24"/>
        </w:rPr>
        <w:t xml:space="preserve"> but no</w:t>
      </w:r>
      <w:r w:rsidR="00A330B8">
        <w:rPr>
          <w:rFonts w:ascii="Times New Roman" w:hAnsi="Times New Roman" w:cs="Times New Roman"/>
          <w:sz w:val="24"/>
          <w:szCs w:val="24"/>
        </w:rPr>
        <w:t>t</w:t>
      </w:r>
      <w:r w:rsidR="005558CB">
        <w:rPr>
          <w:rFonts w:ascii="Times New Roman" w:hAnsi="Times New Roman" w:cs="Times New Roman"/>
          <w:sz w:val="24"/>
          <w:szCs w:val="24"/>
        </w:rPr>
        <w:t xml:space="preserve"> as</w:t>
      </w:r>
      <w:r w:rsidR="00A330B8">
        <w:rPr>
          <w:rFonts w:ascii="Times New Roman" w:hAnsi="Times New Roman" w:cs="Times New Roman"/>
          <w:sz w:val="24"/>
          <w:szCs w:val="24"/>
        </w:rPr>
        <w:t xml:space="preserve"> </w:t>
      </w:r>
      <w:r w:rsidR="005558CB">
        <w:rPr>
          <w:rFonts w:ascii="Times New Roman" w:hAnsi="Times New Roman" w:cs="Times New Roman"/>
          <w:sz w:val="24"/>
          <w:szCs w:val="24"/>
        </w:rPr>
        <w:t xml:space="preserve">precise </w:t>
      </w:r>
      <w:r w:rsidR="00A330B8">
        <w:rPr>
          <w:rFonts w:ascii="Times New Roman" w:hAnsi="Times New Roman" w:cs="Times New Roman"/>
          <w:sz w:val="24"/>
          <w:szCs w:val="24"/>
        </w:rPr>
        <w:t xml:space="preserve">outside of </w:t>
      </w:r>
      <w:r w:rsidR="005558CB">
        <w:rPr>
          <w:rFonts w:ascii="Times New Roman" w:hAnsi="Times New Roman" w:cs="Times New Roman"/>
          <w:sz w:val="24"/>
          <w:szCs w:val="24"/>
        </w:rPr>
        <w:t>the biological free Mg</w:t>
      </w:r>
      <w:r w:rsidR="005558CB" w:rsidRPr="00A330B8">
        <w:rPr>
          <w:rFonts w:ascii="Times New Roman" w:hAnsi="Times New Roman" w:cs="Times New Roman"/>
          <w:sz w:val="24"/>
          <w:szCs w:val="24"/>
          <w:vertAlign w:val="superscript"/>
        </w:rPr>
        <w:t>2+</w:t>
      </w:r>
      <w:r w:rsidR="005558CB">
        <w:rPr>
          <w:rFonts w:ascii="Times New Roman" w:hAnsi="Times New Roman" w:cs="Times New Roman"/>
          <w:sz w:val="24"/>
          <w:szCs w:val="24"/>
        </w:rPr>
        <w:t xml:space="preserve"> range</w:t>
      </w:r>
      <w:r w:rsidR="00A330B8">
        <w:rPr>
          <w:rFonts w:ascii="Times New Roman" w:hAnsi="Times New Roman" w:cs="Times New Roman"/>
          <w:sz w:val="24"/>
          <w:szCs w:val="24"/>
        </w:rPr>
        <w:t>.</w:t>
      </w:r>
    </w:p>
    <w:p w14:paraId="75D01B9D" w14:textId="5F64BDAD" w:rsidR="00AA10FF" w:rsidRPr="00E7084B" w:rsidRDefault="00AA10FF" w:rsidP="00A330B8">
      <w:pPr>
        <w:spacing w:after="120"/>
        <w:jc w:val="both"/>
        <w:rPr>
          <w:rFonts w:ascii="Times New Roman" w:hAnsi="Times New Roman" w:cs="Times New Roman"/>
          <w:sz w:val="24"/>
          <w:szCs w:val="24"/>
        </w:rPr>
      </w:pPr>
      <w:r w:rsidRPr="00E7084B">
        <w:rPr>
          <w:rFonts w:ascii="Times New Roman" w:hAnsi="Times New Roman" w:cs="Times New Roman"/>
          <w:sz w:val="24"/>
          <w:szCs w:val="24"/>
        </w:rPr>
        <w:t>It may appear that the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concentration is changing rapidly with the total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concentration near 2 mM free Mg</w:t>
      </w:r>
      <w:r w:rsidRPr="005558C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in Figure 1E</w:t>
      </w:r>
      <w:r w:rsidR="005558CB">
        <w:rPr>
          <w:rFonts w:ascii="Times New Roman" w:hAnsi="Times New Roman" w:cs="Times New Roman"/>
          <w:sz w:val="24"/>
          <w:szCs w:val="24"/>
        </w:rPr>
        <w:t xml:space="preserve"> in the main text</w:t>
      </w:r>
      <w:r w:rsidRPr="00E7084B">
        <w:rPr>
          <w:rFonts w:ascii="Times New Roman" w:hAnsi="Times New Roman" w:cs="Times New Roman"/>
          <w:sz w:val="24"/>
          <w:szCs w:val="24"/>
        </w:rPr>
        <w:t xml:space="preserve"> because there is almost no change at lower total concentrations and the linear y-axis/log</w:t>
      </w:r>
      <w:r w:rsidRPr="005558CB">
        <w:rPr>
          <w:rFonts w:ascii="Times New Roman" w:hAnsi="Times New Roman" w:cs="Times New Roman"/>
          <w:sz w:val="24"/>
          <w:szCs w:val="24"/>
          <w:vertAlign w:val="subscript"/>
        </w:rPr>
        <w:t>10</w:t>
      </w:r>
      <w:r w:rsidRPr="00E7084B">
        <w:rPr>
          <w:rFonts w:ascii="Times New Roman" w:hAnsi="Times New Roman" w:cs="Times New Roman"/>
          <w:sz w:val="24"/>
          <w:szCs w:val="24"/>
        </w:rPr>
        <w:t xml:space="preserve"> transformed x-axis. </w:t>
      </w:r>
      <w:r w:rsidR="00401702">
        <w:rPr>
          <w:rFonts w:ascii="Times New Roman" w:hAnsi="Times New Roman" w:cs="Times New Roman"/>
          <w:sz w:val="24"/>
          <w:szCs w:val="24"/>
        </w:rPr>
        <w:t>However, t</w:t>
      </w:r>
      <w:r w:rsidRPr="00E7084B">
        <w:rPr>
          <w:rFonts w:ascii="Times New Roman" w:hAnsi="Times New Roman" w:cs="Times New Roman"/>
          <w:sz w:val="24"/>
          <w:szCs w:val="24"/>
        </w:rPr>
        <w:t>he actual slope for this region is not large, at 0.08 mM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for each 1 mM increase in total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This buffering is evidence that the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is constant near 2 mM</w:t>
      </w:r>
      <w:r w:rsidR="00A330B8">
        <w:rPr>
          <w:rFonts w:ascii="Times New Roman" w:hAnsi="Times New Roman" w:cs="Times New Roman"/>
          <w:sz w:val="24"/>
          <w:szCs w:val="24"/>
        </w:rPr>
        <w:t xml:space="preserve"> given </w:t>
      </w:r>
      <w:r w:rsidR="005558CB">
        <w:rPr>
          <w:rFonts w:ascii="Times New Roman" w:hAnsi="Times New Roman" w:cs="Times New Roman"/>
          <w:sz w:val="24"/>
          <w:szCs w:val="24"/>
        </w:rPr>
        <w:t>errors in</w:t>
      </w:r>
      <w:r w:rsidR="00A330B8">
        <w:rPr>
          <w:rFonts w:ascii="Times New Roman" w:hAnsi="Times New Roman" w:cs="Times New Roman"/>
          <w:sz w:val="24"/>
          <w:szCs w:val="24"/>
        </w:rPr>
        <w:t xml:space="preserve"> the total Mg</w:t>
      </w:r>
      <w:r w:rsidR="00A330B8" w:rsidRPr="00A330B8">
        <w:rPr>
          <w:rFonts w:ascii="Times New Roman" w:hAnsi="Times New Roman" w:cs="Times New Roman"/>
          <w:sz w:val="24"/>
          <w:szCs w:val="24"/>
          <w:vertAlign w:val="superscript"/>
        </w:rPr>
        <w:t>2+</w:t>
      </w:r>
      <w:r w:rsidRPr="00E7084B">
        <w:rPr>
          <w:rFonts w:ascii="Times New Roman" w:hAnsi="Times New Roman" w:cs="Times New Roman"/>
          <w:sz w:val="24"/>
          <w:szCs w:val="24"/>
        </w:rPr>
        <w:t>.</w:t>
      </w:r>
    </w:p>
    <w:p w14:paraId="6B6FAA7B" w14:textId="13CFEAB9" w:rsidR="009E7F14" w:rsidRPr="00E7084B" w:rsidRDefault="009E7F14" w:rsidP="00A330B8">
      <w:pPr>
        <w:spacing w:after="120"/>
        <w:jc w:val="both"/>
        <w:rPr>
          <w:rFonts w:ascii="Times New Roman" w:hAnsi="Times New Roman" w:cs="Times New Roman"/>
          <w:sz w:val="24"/>
          <w:szCs w:val="24"/>
        </w:rPr>
      </w:pPr>
      <w:r w:rsidRPr="00E7084B">
        <w:rPr>
          <w:rFonts w:ascii="Times New Roman" w:hAnsi="Times New Roman" w:cs="Times New Roman"/>
          <w:sz w:val="24"/>
          <w:szCs w:val="24"/>
        </w:rPr>
        <w:t>The true uncertainty for the</w:t>
      </w:r>
      <w:r w:rsidR="00A330B8">
        <w:rPr>
          <w:rFonts w:ascii="Times New Roman" w:hAnsi="Times New Roman" w:cs="Times New Roman"/>
          <w:sz w:val="24"/>
          <w:szCs w:val="24"/>
        </w:rPr>
        <w:t xml:space="preserve"> free</w:t>
      </w:r>
      <w:r w:rsidRPr="00E7084B">
        <w:rPr>
          <w:rFonts w:ascii="Times New Roman" w:hAnsi="Times New Roman" w:cs="Times New Roman"/>
          <w:sz w:val="24"/>
          <w:szCs w:val="24"/>
        </w:rPr>
        <w:t xml:space="preserv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concentration in our experiments is hard to calculate, but 10%, or twice the propagated uncertainty from the fit in the biological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range (Figure </w:t>
      </w:r>
      <w:r w:rsidR="00E3034E">
        <w:rPr>
          <w:rFonts w:ascii="Times New Roman" w:hAnsi="Times New Roman" w:cs="Times New Roman"/>
          <w:sz w:val="24"/>
          <w:szCs w:val="24"/>
        </w:rPr>
        <w:t>S2-1</w:t>
      </w:r>
      <w:r w:rsidRPr="00E7084B">
        <w:rPr>
          <w:rFonts w:ascii="Times New Roman" w:hAnsi="Times New Roman" w:cs="Times New Roman"/>
          <w:sz w:val="24"/>
          <w:szCs w:val="24"/>
        </w:rPr>
        <w:t>B), is a conservative value. At 2 mM</w:t>
      </w:r>
      <w:r w:rsidR="008C173C">
        <w:rPr>
          <w:rFonts w:ascii="Times New Roman" w:hAnsi="Times New Roman" w:cs="Times New Roman"/>
          <w:sz w:val="24"/>
          <w:szCs w:val="24"/>
        </w:rPr>
        <w:t xml:space="preserve"> free Mg</w:t>
      </w:r>
      <w:r w:rsidR="008C173C" w:rsidRPr="008C173C">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this would be an uncertainty of 0.2 </w:t>
      </w:r>
      <w:proofErr w:type="spellStart"/>
      <w:r w:rsidRPr="00E7084B">
        <w:rPr>
          <w:rFonts w:ascii="Times New Roman" w:hAnsi="Times New Roman" w:cs="Times New Roman"/>
          <w:sz w:val="24"/>
          <w:szCs w:val="24"/>
        </w:rPr>
        <w:t>mM</w:t>
      </w:r>
      <w:r w:rsidR="00A330B8">
        <w:rPr>
          <w:rFonts w:ascii="Times New Roman" w:hAnsi="Times New Roman" w:cs="Times New Roman"/>
          <w:sz w:val="24"/>
          <w:szCs w:val="24"/>
        </w:rPr>
        <w:t>.</w:t>
      </w:r>
      <w:proofErr w:type="spellEnd"/>
      <w:r w:rsidR="00A330B8">
        <w:rPr>
          <w:rFonts w:ascii="Times New Roman" w:hAnsi="Times New Roman" w:cs="Times New Roman"/>
          <w:sz w:val="24"/>
          <w:szCs w:val="24"/>
        </w:rPr>
        <w:t xml:space="preserve"> A free </w:t>
      </w:r>
      <w:r w:rsidR="00A330B8" w:rsidRPr="00E7084B">
        <w:rPr>
          <w:rFonts w:ascii="Times New Roman" w:hAnsi="Times New Roman" w:cs="Times New Roman"/>
          <w:sz w:val="24"/>
          <w:szCs w:val="24"/>
        </w:rPr>
        <w:t>Mg</w:t>
      </w:r>
      <w:r w:rsidR="00A330B8" w:rsidRPr="00E7084B">
        <w:rPr>
          <w:rFonts w:ascii="Times New Roman" w:hAnsi="Times New Roman" w:cs="Times New Roman"/>
          <w:sz w:val="24"/>
          <w:szCs w:val="24"/>
          <w:vertAlign w:val="superscript"/>
        </w:rPr>
        <w:t>2+</w:t>
      </w:r>
      <w:r w:rsidR="00A330B8" w:rsidRPr="00E7084B">
        <w:rPr>
          <w:rFonts w:ascii="Times New Roman" w:hAnsi="Times New Roman" w:cs="Times New Roman"/>
          <w:sz w:val="24"/>
          <w:szCs w:val="24"/>
        </w:rPr>
        <w:t xml:space="preserve"> concentration</w:t>
      </w:r>
      <w:r w:rsidR="00A330B8">
        <w:rPr>
          <w:rFonts w:ascii="Times New Roman" w:hAnsi="Times New Roman" w:cs="Times New Roman"/>
          <w:sz w:val="24"/>
          <w:szCs w:val="24"/>
        </w:rPr>
        <w:t xml:space="preserve"> </w:t>
      </w:r>
      <w:r w:rsidR="00500455">
        <w:rPr>
          <w:rFonts w:ascii="Times New Roman" w:hAnsi="Times New Roman" w:cs="Times New Roman"/>
          <w:sz w:val="24"/>
          <w:szCs w:val="24"/>
        </w:rPr>
        <w:t xml:space="preserve">error </w:t>
      </w:r>
      <w:r w:rsidR="00A330B8">
        <w:rPr>
          <w:rFonts w:ascii="Times New Roman" w:hAnsi="Times New Roman" w:cs="Times New Roman"/>
          <w:sz w:val="24"/>
          <w:szCs w:val="24"/>
        </w:rPr>
        <w:t>of 0.2 mM</w:t>
      </w:r>
      <w:r w:rsidRPr="00E7084B">
        <w:rPr>
          <w:rFonts w:ascii="Times New Roman" w:hAnsi="Times New Roman" w:cs="Times New Roman"/>
          <w:sz w:val="24"/>
          <w:szCs w:val="24"/>
        </w:rPr>
        <w:t xml:space="preserve"> would require a</w:t>
      </w:r>
      <w:r w:rsidR="008C173C">
        <w:rPr>
          <w:rFonts w:ascii="Times New Roman" w:hAnsi="Times New Roman" w:cs="Times New Roman"/>
          <w:sz w:val="24"/>
          <w:szCs w:val="24"/>
        </w:rPr>
        <w:t>n exceptionally large</w:t>
      </w:r>
      <w:r w:rsidRPr="00E7084B">
        <w:rPr>
          <w:rFonts w:ascii="Times New Roman" w:hAnsi="Times New Roman" w:cs="Times New Roman"/>
          <w:sz w:val="24"/>
          <w:szCs w:val="24"/>
        </w:rPr>
        <w:t xml:space="preserve"> total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w:t>
      </w:r>
      <w:r w:rsidR="00644C8D">
        <w:rPr>
          <w:rFonts w:ascii="Times New Roman" w:hAnsi="Times New Roman" w:cs="Times New Roman"/>
          <w:sz w:val="24"/>
          <w:szCs w:val="24"/>
        </w:rPr>
        <w:t>error</w:t>
      </w:r>
      <w:r w:rsidRPr="00E7084B">
        <w:rPr>
          <w:rFonts w:ascii="Times New Roman" w:hAnsi="Times New Roman" w:cs="Times New Roman"/>
          <w:sz w:val="24"/>
          <w:szCs w:val="24"/>
        </w:rPr>
        <w:t xml:space="preserve"> of 2.5 mM</w:t>
      </w:r>
      <w:r w:rsidR="00A330B8">
        <w:rPr>
          <w:rFonts w:ascii="Times New Roman" w:hAnsi="Times New Roman" w:cs="Times New Roman"/>
          <w:sz w:val="24"/>
          <w:szCs w:val="24"/>
        </w:rPr>
        <w:t>,</w:t>
      </w:r>
      <w:r w:rsidRPr="00E7084B">
        <w:rPr>
          <w:rFonts w:ascii="Times New Roman" w:hAnsi="Times New Roman" w:cs="Times New Roman"/>
          <w:sz w:val="24"/>
          <w:szCs w:val="24"/>
        </w:rPr>
        <w:t xml:space="preserve"> given the buffering </w:t>
      </w:r>
      <w:r w:rsidR="002A67E3">
        <w:rPr>
          <w:rFonts w:ascii="Times New Roman" w:hAnsi="Times New Roman" w:cs="Times New Roman"/>
          <w:sz w:val="24"/>
          <w:szCs w:val="24"/>
        </w:rPr>
        <w:t>by Eco80</w:t>
      </w:r>
      <w:r w:rsidR="008C173C">
        <w:rPr>
          <w:rFonts w:ascii="Times New Roman" w:hAnsi="Times New Roman" w:cs="Times New Roman"/>
          <w:sz w:val="24"/>
          <w:szCs w:val="24"/>
        </w:rPr>
        <w:t xml:space="preserve"> of</w:t>
      </w:r>
      <w:r w:rsidRPr="00E7084B">
        <w:rPr>
          <w:rFonts w:ascii="Times New Roman" w:hAnsi="Times New Roman" w:cs="Times New Roman"/>
          <w:sz w:val="24"/>
          <w:szCs w:val="24"/>
        </w:rPr>
        <w:t xml:space="preserve"> 0.08 mM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for each 1 mM </w:t>
      </w:r>
      <w:r w:rsidR="00310E12">
        <w:rPr>
          <w:rFonts w:ascii="Times New Roman" w:hAnsi="Times New Roman" w:cs="Times New Roman"/>
          <w:sz w:val="24"/>
          <w:szCs w:val="24"/>
        </w:rPr>
        <w:t>change</w:t>
      </w:r>
      <w:r w:rsidRPr="00E7084B">
        <w:rPr>
          <w:rFonts w:ascii="Times New Roman" w:hAnsi="Times New Roman" w:cs="Times New Roman"/>
          <w:sz w:val="24"/>
          <w:szCs w:val="24"/>
        </w:rPr>
        <w:t xml:space="preserve"> in total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w:t>
      </w:r>
    </w:p>
    <w:p w14:paraId="7E9A6569" w14:textId="3BAA083B" w:rsidR="009E7F14" w:rsidRPr="00E7084B" w:rsidRDefault="009E7F14" w:rsidP="00A330B8">
      <w:pPr>
        <w:spacing w:after="120"/>
        <w:jc w:val="both"/>
        <w:rPr>
          <w:rFonts w:ascii="Times New Roman" w:hAnsi="Times New Roman" w:cs="Times New Roman"/>
          <w:sz w:val="24"/>
          <w:szCs w:val="24"/>
        </w:rPr>
      </w:pPr>
      <w:r w:rsidRPr="00E7084B">
        <w:rPr>
          <w:rFonts w:ascii="Times New Roman" w:hAnsi="Times New Roman" w:cs="Times New Roman"/>
          <w:sz w:val="24"/>
          <w:szCs w:val="24"/>
        </w:rPr>
        <w:t>A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concentration error of 0.2 mM is unlikely to impact our results. For example, we applied a tightly bound ion (TBI) theoretical model for mixed Na</w:t>
      </w:r>
      <w:r w:rsidRPr="00E7084B">
        <w:rPr>
          <w:rFonts w:ascii="Times New Roman" w:hAnsi="Times New Roman" w:cs="Times New Roman"/>
          <w:sz w:val="24"/>
          <w:szCs w:val="24"/>
          <w:vertAlign w:val="superscript"/>
        </w:rPr>
        <w:t>+</w:t>
      </w:r>
      <w:r w:rsidRPr="00E7084B">
        <w:rPr>
          <w:rFonts w:ascii="Times New Roman" w:hAnsi="Times New Roman" w:cs="Times New Roman"/>
          <w:sz w:val="24"/>
          <w:szCs w:val="24"/>
        </w:rPr>
        <w:t xml:space="preserve"> and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solutions to calculate the change in free energy</w:t>
      </w:r>
      <w:r w:rsidR="002A67E3">
        <w:rPr>
          <w:rFonts w:ascii="Times New Roman" w:hAnsi="Times New Roman" w:cs="Times New Roman"/>
          <w:sz w:val="24"/>
          <w:szCs w:val="24"/>
        </w:rPr>
        <w:t xml:space="preserve"> change</w:t>
      </w:r>
      <w:r w:rsidRPr="00E7084B">
        <w:rPr>
          <w:rFonts w:ascii="Times New Roman" w:hAnsi="Times New Roman" w:cs="Times New Roman"/>
          <w:sz w:val="24"/>
          <w:szCs w:val="24"/>
        </w:rPr>
        <w:t xml:space="preserve"> (ΔΔG°</w:t>
      </w:r>
      <w:r w:rsidRPr="00E7084B">
        <w:rPr>
          <w:rFonts w:ascii="Times New Roman" w:hAnsi="Times New Roman" w:cs="Times New Roman"/>
          <w:sz w:val="24"/>
          <w:szCs w:val="24"/>
          <w:vertAlign w:val="subscript"/>
        </w:rPr>
        <w:t>37</w:t>
      </w:r>
      <w:r w:rsidRPr="00E7084B">
        <w:rPr>
          <w:rFonts w:ascii="Times New Roman" w:hAnsi="Times New Roman" w:cs="Times New Roman"/>
          <w:sz w:val="24"/>
          <w:szCs w:val="24"/>
        </w:rPr>
        <w:t>) from a 380 mM Na</w:t>
      </w:r>
      <w:r w:rsidRPr="00E7084B">
        <w:rPr>
          <w:rFonts w:ascii="Times New Roman" w:hAnsi="Times New Roman" w:cs="Times New Roman"/>
          <w:sz w:val="24"/>
          <w:szCs w:val="24"/>
          <w:vertAlign w:val="superscript"/>
        </w:rPr>
        <w:t>+</w:t>
      </w:r>
      <w:r w:rsidRPr="00E7084B">
        <w:rPr>
          <w:rFonts w:ascii="Times New Roman" w:hAnsi="Times New Roman" w:cs="Times New Roman"/>
          <w:sz w:val="24"/>
          <w:szCs w:val="24"/>
        </w:rPr>
        <w:t xml:space="preserve"> 2 mM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reference state as a function of the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concentration </w:t>
      </w:r>
      <w:r w:rsidR="005C4786">
        <w:rPr>
          <w:rFonts w:ascii="Times New Roman" w:hAnsi="Times New Roman" w:cs="Times New Roman"/>
          <w:sz w:val="24"/>
          <w:szCs w:val="24"/>
        </w:rPr>
        <w:t>(</w:t>
      </w:r>
      <w:r w:rsidRPr="00E7084B">
        <w:rPr>
          <w:rFonts w:ascii="Times New Roman" w:hAnsi="Times New Roman" w:cs="Times New Roman"/>
          <w:sz w:val="24"/>
          <w:szCs w:val="24"/>
        </w:rPr>
        <w:t xml:space="preserve">Figure </w:t>
      </w:r>
      <w:r w:rsidR="005C4786">
        <w:rPr>
          <w:rFonts w:ascii="Times New Roman" w:hAnsi="Times New Roman" w:cs="Times New Roman"/>
          <w:sz w:val="24"/>
          <w:szCs w:val="24"/>
        </w:rPr>
        <w:t>S2-</w:t>
      </w:r>
      <w:r w:rsidR="008D15A7">
        <w:rPr>
          <w:rFonts w:ascii="Times New Roman" w:hAnsi="Times New Roman" w:cs="Times New Roman"/>
          <w:sz w:val="24"/>
          <w:szCs w:val="24"/>
        </w:rPr>
        <w:t>1C</w:t>
      </w:r>
      <w:r w:rsidRPr="00E7084B">
        <w:rPr>
          <w:rFonts w:ascii="Times New Roman" w:hAnsi="Times New Roman" w:cs="Times New Roman"/>
          <w:sz w:val="24"/>
          <w:szCs w:val="24"/>
        </w:rPr>
        <w:t>).</w:t>
      </w:r>
      <w:r w:rsidRPr="00E7084B">
        <w:rPr>
          <w:rFonts w:ascii="Times New Roman" w:hAnsi="Times New Roman" w:cs="Times New Roman"/>
          <w:sz w:val="24"/>
          <w:szCs w:val="24"/>
        </w:rPr>
        <w:fldChar w:fldCharType="begin"/>
      </w:r>
      <w:r w:rsidRPr="00E7084B">
        <w:rPr>
          <w:rFonts w:ascii="Times New Roman" w:hAnsi="Times New Roman" w:cs="Times New Roman"/>
          <w:sz w:val="24"/>
          <w:szCs w:val="24"/>
        </w:rPr>
        <w:instrText xml:space="preserve"> ADDIN ZOTERO_ITEM CSL_CITATION {"citationID":"hD4GLSB4","properties":{"formattedCitation":"\\super 1\\nosupersub{}","plainCitation":"1","noteIndex":0},"citationItems":[{"id":2298,"uris":["http://zotero.org/users/4485201/items/U7CD4XAG"],"itemData":{"id":2298,"type":"article-journal","abstract":"A recently developed tightly bound ion model can account for the correlation and fluctuation (i.e., different binding modes) of bound ions. However, the model cannot treat mixed ion solutions, which are physiologically relevant and biologically significant, and the model was based on B-DNA helices and thus cannot directly treat RNA helices. In the present study, we investigate the effects of ion correlation and fluctuation on the thermodynamic stability of finite length RNA helices immersed in a mixed solution of monovalent and divalent ions. Experimental comparisons demonstrate that the model gives improved predictions over the Poisson-Boltzmann theory, which has been found to underestimate the roles of multivalent ions such as Mg2+ in stabilizing DNA and RNA helices. The tightly bound ion model makes quantitative predictions on how the Na+-Mg2+ competition determines helix stability and its helix length-dependence. In addition, the model gives empirical formulas for the thermodynamic parameters as functions of Na+/Mg2+ concentrations and helix length. Such formulas can be quite useful for practical applications.","container-title":"Biophysical Journal","DOI":"10.1529/biophysj.106.100388","ISSN":"0006-3495","issue":"10","journalAbbreviation":"Biophys J","note":"PMID: 17325014\nPMCID: PMC1853146","page":"3615-3632","source":"PubMed Central","title":"RNA Helix Stability in Mixed Na+/Mg2+ Solution","volume":"92","author":[{"family":"Tan","given":"Zhi-Jie"},{"family":"Chen","given":"Shi-Jie"}],"issued":{"date-parts":[["2007",5,15]]}}}],"schema":"https://github.com/citation-style-language/schema/raw/master/csl-citation.json"} </w:instrText>
      </w:r>
      <w:r w:rsidRPr="00E7084B">
        <w:rPr>
          <w:rFonts w:ascii="Times New Roman" w:hAnsi="Times New Roman" w:cs="Times New Roman"/>
          <w:sz w:val="24"/>
          <w:szCs w:val="24"/>
        </w:rPr>
        <w:fldChar w:fldCharType="separate"/>
      </w:r>
      <w:r w:rsidRPr="00E7084B">
        <w:rPr>
          <w:rFonts w:ascii="Times New Roman" w:hAnsi="Times New Roman" w:cs="Times New Roman"/>
          <w:sz w:val="24"/>
          <w:szCs w:val="24"/>
          <w:vertAlign w:val="superscript"/>
        </w:rPr>
        <w:t>1</w:t>
      </w:r>
      <w:r w:rsidRPr="00E7084B">
        <w:rPr>
          <w:rFonts w:ascii="Times New Roman" w:hAnsi="Times New Roman" w:cs="Times New Roman"/>
          <w:sz w:val="24"/>
          <w:szCs w:val="24"/>
        </w:rPr>
        <w:fldChar w:fldCharType="end"/>
      </w:r>
      <w:r w:rsidRPr="00E7084B">
        <w:rPr>
          <w:rFonts w:ascii="Times New Roman" w:hAnsi="Times New Roman" w:cs="Times New Roman"/>
          <w:sz w:val="24"/>
          <w:szCs w:val="24"/>
        </w:rPr>
        <w:t xml:space="preserve"> Accordingly, errors in the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concentration are unlikely to cause the free energy changes we observed in Figure 2, </w:t>
      </w:r>
      <w:r w:rsidR="00A330B8" w:rsidRPr="00E7084B">
        <w:rPr>
          <w:rFonts w:ascii="Times New Roman" w:hAnsi="Times New Roman" w:cs="Times New Roman"/>
          <w:sz w:val="24"/>
          <w:szCs w:val="24"/>
        </w:rPr>
        <w:t>notably</w:t>
      </w:r>
      <w:r w:rsidRPr="00E7084B">
        <w:rPr>
          <w:rFonts w:ascii="Times New Roman" w:hAnsi="Times New Roman" w:cs="Times New Roman"/>
          <w:sz w:val="24"/>
          <w:szCs w:val="24"/>
        </w:rPr>
        <w:t>,</w:t>
      </w:r>
      <w:r w:rsidR="00A330B8">
        <w:rPr>
          <w:rFonts w:ascii="Times New Roman" w:hAnsi="Times New Roman" w:cs="Times New Roman"/>
          <w:sz w:val="24"/>
          <w:szCs w:val="24"/>
        </w:rPr>
        <w:t xml:space="preserve"> the</w:t>
      </w:r>
      <w:r w:rsidRPr="00E7084B">
        <w:rPr>
          <w:rFonts w:ascii="Times New Roman" w:hAnsi="Times New Roman" w:cs="Times New Roman"/>
          <w:sz w:val="24"/>
          <w:szCs w:val="24"/>
        </w:rPr>
        <w:t xml:space="preserve"> +0.69±0.12 </w:t>
      </w:r>
      <w:r w:rsidR="00FE11B2">
        <w:rPr>
          <w:rFonts w:ascii="Times New Roman" w:hAnsi="Times New Roman" w:cs="Times New Roman"/>
          <w:sz w:val="24"/>
          <w:szCs w:val="24"/>
        </w:rPr>
        <w:t xml:space="preserve">kcal/mol </w:t>
      </w:r>
      <w:r w:rsidRPr="00E7084B">
        <w:rPr>
          <w:rFonts w:ascii="Times New Roman" w:hAnsi="Times New Roman" w:cs="Times New Roman"/>
          <w:sz w:val="24"/>
          <w:szCs w:val="24"/>
        </w:rPr>
        <w:t>we observed in Eco80. Indeed, a 1 mM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concentration</w:t>
      </w:r>
      <w:r w:rsidR="007F0682">
        <w:rPr>
          <w:rFonts w:ascii="Times New Roman" w:hAnsi="Times New Roman" w:cs="Times New Roman"/>
          <w:sz w:val="24"/>
          <w:szCs w:val="24"/>
        </w:rPr>
        <w:t xml:space="preserve"> error</w:t>
      </w:r>
      <w:r w:rsidR="008C173C">
        <w:rPr>
          <w:rFonts w:ascii="Times New Roman" w:hAnsi="Times New Roman" w:cs="Times New Roman"/>
          <w:sz w:val="24"/>
          <w:szCs w:val="24"/>
        </w:rPr>
        <w:t xml:space="preserve"> (</w:t>
      </w:r>
      <w:r w:rsidR="00A330B8" w:rsidRPr="00E7084B">
        <w:rPr>
          <w:rFonts w:ascii="Times New Roman" w:hAnsi="Times New Roman" w:cs="Times New Roman"/>
          <w:sz w:val="24"/>
          <w:szCs w:val="24"/>
        </w:rPr>
        <w:t>an</w:t>
      </w:r>
      <w:r w:rsidRPr="00E7084B">
        <w:rPr>
          <w:rFonts w:ascii="Times New Roman" w:hAnsi="Times New Roman" w:cs="Times New Roman"/>
          <w:sz w:val="24"/>
          <w:szCs w:val="24"/>
        </w:rPr>
        <w:t xml:space="preserve"> error of 50%</w:t>
      </w:r>
      <w:r w:rsidR="008C173C">
        <w:rPr>
          <w:rFonts w:ascii="Times New Roman" w:hAnsi="Times New Roman" w:cs="Times New Roman"/>
          <w:sz w:val="24"/>
          <w:szCs w:val="24"/>
        </w:rPr>
        <w:t>)</w:t>
      </w:r>
      <w:r w:rsidRPr="00E7084B">
        <w:rPr>
          <w:rFonts w:ascii="Times New Roman" w:hAnsi="Times New Roman" w:cs="Times New Roman"/>
          <w:sz w:val="24"/>
          <w:szCs w:val="24"/>
        </w:rPr>
        <w:t xml:space="preserve"> would be required to cause even a 0.25 kcal/mol fluctuation in the ΔG°</w:t>
      </w:r>
      <w:r w:rsidRPr="00E7084B">
        <w:rPr>
          <w:rFonts w:ascii="Times New Roman" w:hAnsi="Times New Roman" w:cs="Times New Roman"/>
          <w:sz w:val="24"/>
          <w:szCs w:val="24"/>
          <w:vertAlign w:val="subscript"/>
        </w:rPr>
        <w:t>37</w:t>
      </w:r>
      <w:r w:rsidRPr="00E7084B">
        <w:rPr>
          <w:rFonts w:ascii="Times New Roman" w:hAnsi="Times New Roman" w:cs="Times New Roman"/>
          <w:sz w:val="24"/>
          <w:szCs w:val="24"/>
        </w:rPr>
        <w:t xml:space="preserve">. </w:t>
      </w:r>
      <w:r w:rsidR="00A330B8">
        <w:rPr>
          <w:rFonts w:ascii="Times New Roman" w:hAnsi="Times New Roman" w:cs="Times New Roman"/>
          <w:sz w:val="24"/>
          <w:szCs w:val="24"/>
        </w:rPr>
        <w:t xml:space="preserve">A </w:t>
      </w:r>
      <w:r w:rsidRPr="00E7084B">
        <w:rPr>
          <w:rFonts w:ascii="Times New Roman" w:hAnsi="Times New Roman" w:cs="Times New Roman"/>
          <w:sz w:val="24"/>
          <w:szCs w:val="24"/>
        </w:rPr>
        <w:t>1 mM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concentration error would require our estimate for the total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required to provide 2 mM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in Eco80 to </w:t>
      </w:r>
      <w:r w:rsidR="00A330B8">
        <w:rPr>
          <w:rFonts w:ascii="Times New Roman" w:hAnsi="Times New Roman" w:cs="Times New Roman"/>
          <w:sz w:val="24"/>
          <w:szCs w:val="24"/>
        </w:rPr>
        <w:t xml:space="preserve">be </w:t>
      </w:r>
      <w:r w:rsidRPr="00E7084B">
        <w:rPr>
          <w:rFonts w:ascii="Times New Roman" w:hAnsi="Times New Roman" w:cs="Times New Roman"/>
          <w:sz w:val="24"/>
          <w:szCs w:val="24"/>
        </w:rPr>
        <w:t>off by 12.5 mM</w:t>
      </w:r>
      <w:r w:rsidR="00A330B8">
        <w:rPr>
          <w:rFonts w:ascii="Times New Roman" w:hAnsi="Times New Roman" w:cs="Times New Roman"/>
          <w:sz w:val="24"/>
          <w:szCs w:val="24"/>
        </w:rPr>
        <w:t>,</w:t>
      </w:r>
      <w:r w:rsidRPr="00E7084B">
        <w:rPr>
          <w:rFonts w:ascii="Times New Roman" w:hAnsi="Times New Roman" w:cs="Times New Roman"/>
          <w:sz w:val="24"/>
          <w:szCs w:val="24"/>
        </w:rPr>
        <w:t xml:space="preserve"> given the </w:t>
      </w:r>
      <w:r w:rsidR="007F0682" w:rsidRPr="00E7084B">
        <w:rPr>
          <w:rFonts w:ascii="Times New Roman" w:hAnsi="Times New Roman" w:cs="Times New Roman"/>
          <w:sz w:val="24"/>
          <w:szCs w:val="24"/>
        </w:rPr>
        <w:t>free Mg</w:t>
      </w:r>
      <w:r w:rsidR="007F0682" w:rsidRPr="00E7084B">
        <w:rPr>
          <w:rFonts w:ascii="Times New Roman" w:hAnsi="Times New Roman" w:cs="Times New Roman"/>
          <w:sz w:val="24"/>
          <w:szCs w:val="24"/>
          <w:vertAlign w:val="superscript"/>
        </w:rPr>
        <w:t>2+</w:t>
      </w:r>
      <w:r w:rsidR="007F0682" w:rsidRPr="00E7084B">
        <w:rPr>
          <w:rFonts w:ascii="Times New Roman" w:hAnsi="Times New Roman" w:cs="Times New Roman"/>
          <w:sz w:val="24"/>
          <w:szCs w:val="24"/>
        </w:rPr>
        <w:t xml:space="preserve"> </w:t>
      </w:r>
      <w:r w:rsidRPr="00E7084B">
        <w:rPr>
          <w:rFonts w:ascii="Times New Roman" w:hAnsi="Times New Roman" w:cs="Times New Roman"/>
          <w:sz w:val="24"/>
          <w:szCs w:val="24"/>
        </w:rPr>
        <w:t>buffering capacity of Eco80. In summary, given the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buffering capacity of artificial cytoplasm and </w:t>
      </w:r>
      <w:r w:rsidR="00A330B8">
        <w:rPr>
          <w:rFonts w:ascii="Times New Roman" w:hAnsi="Times New Roman" w:cs="Times New Roman"/>
          <w:sz w:val="24"/>
          <w:szCs w:val="24"/>
        </w:rPr>
        <w:t xml:space="preserve">the </w:t>
      </w:r>
      <w:r w:rsidRPr="00E7084B">
        <w:rPr>
          <w:rFonts w:ascii="Times New Roman" w:hAnsi="Times New Roman" w:cs="Times New Roman"/>
          <w:sz w:val="24"/>
          <w:szCs w:val="24"/>
        </w:rPr>
        <w:t>precision of the HQS assay in the biological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range, </w:t>
      </w:r>
      <w:r w:rsidR="008C173C">
        <w:rPr>
          <w:rFonts w:ascii="Times New Roman" w:hAnsi="Times New Roman" w:cs="Times New Roman"/>
          <w:sz w:val="24"/>
          <w:szCs w:val="24"/>
        </w:rPr>
        <w:t>our results</w:t>
      </w:r>
      <w:r w:rsidRPr="00E7084B">
        <w:rPr>
          <w:rFonts w:ascii="Times New Roman" w:hAnsi="Times New Roman" w:cs="Times New Roman"/>
          <w:sz w:val="24"/>
          <w:szCs w:val="24"/>
        </w:rPr>
        <w:t xml:space="preserve"> cannot be explained by errors in the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concentration alone. </w:t>
      </w:r>
    </w:p>
    <w:p w14:paraId="6E2C1F14" w14:textId="4C076D0B" w:rsidR="009E7F14" w:rsidRDefault="00401702" w:rsidP="009E7F14">
      <w:pPr>
        <w:jc w:val="center"/>
        <w:rPr>
          <w:rFonts w:ascii="Times New Roman" w:hAnsi="Times New Roman" w:cs="Times New Roman"/>
          <w:color w:val="002060"/>
          <w:sz w:val="24"/>
          <w:szCs w:val="24"/>
        </w:rPr>
      </w:pPr>
      <w:r>
        <w:rPr>
          <w:rFonts w:ascii="Times New Roman" w:hAnsi="Times New Roman" w:cs="Times New Roman"/>
          <w:noProof/>
          <w:color w:val="002060"/>
          <w:sz w:val="24"/>
          <w:szCs w:val="24"/>
        </w:rPr>
        <w:lastRenderedPageBreak/>
        <w:drawing>
          <wp:inline distT="0" distB="0" distL="0" distR="0" wp14:anchorId="53EF2486" wp14:editId="122D6D64">
            <wp:extent cx="5943600" cy="2087245"/>
            <wp:effectExtent l="0" t="0" r="0" b="825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a:stretch>
                      <a:fillRect/>
                    </a:stretch>
                  </pic:blipFill>
                  <pic:spPr>
                    <a:xfrm>
                      <a:off x="0" y="0"/>
                      <a:ext cx="5943600" cy="2087245"/>
                    </a:xfrm>
                    <a:prstGeom prst="rect">
                      <a:avLst/>
                    </a:prstGeom>
                  </pic:spPr>
                </pic:pic>
              </a:graphicData>
            </a:graphic>
          </wp:inline>
        </w:drawing>
      </w:r>
    </w:p>
    <w:p w14:paraId="4CAE5013" w14:textId="69EA3D39" w:rsidR="008D15A7" w:rsidRPr="008D15A7" w:rsidRDefault="00E7084B" w:rsidP="008D15A7">
      <w:pPr>
        <w:jc w:val="both"/>
        <w:rPr>
          <w:rFonts w:cs="Arial"/>
          <w:szCs w:val="20"/>
        </w:rPr>
      </w:pPr>
      <w:r w:rsidRPr="00E7084B">
        <w:rPr>
          <w:rFonts w:cs="Arial"/>
          <w:b/>
          <w:bCs/>
          <w:szCs w:val="20"/>
        </w:rPr>
        <w:t xml:space="preserve">Figure </w:t>
      </w:r>
      <w:r w:rsidR="00A8085E">
        <w:rPr>
          <w:rFonts w:cs="Arial"/>
          <w:b/>
          <w:bCs/>
          <w:szCs w:val="20"/>
        </w:rPr>
        <w:t>S</w:t>
      </w:r>
      <w:r w:rsidR="00E3034E">
        <w:rPr>
          <w:rFonts w:cs="Arial"/>
          <w:b/>
          <w:bCs/>
          <w:szCs w:val="20"/>
        </w:rPr>
        <w:t>2-</w:t>
      </w:r>
      <w:proofErr w:type="gramStart"/>
      <w:r w:rsidRPr="00E7084B">
        <w:rPr>
          <w:rFonts w:cs="Arial"/>
          <w:b/>
          <w:bCs/>
          <w:szCs w:val="20"/>
        </w:rPr>
        <w:t>1</w:t>
      </w:r>
      <w:r w:rsidR="009E7F14" w:rsidRPr="00E7084B">
        <w:rPr>
          <w:rFonts w:cs="Arial"/>
          <w:szCs w:val="20"/>
        </w:rPr>
        <w:t xml:space="preserve">  Analysis</w:t>
      </w:r>
      <w:proofErr w:type="gramEnd"/>
      <w:r w:rsidR="009E7F14" w:rsidRPr="00E7084B">
        <w:rPr>
          <w:rFonts w:cs="Arial"/>
          <w:szCs w:val="20"/>
        </w:rPr>
        <w:t xml:space="preserve"> of free Mg</w:t>
      </w:r>
      <w:r w:rsidR="009E7F14" w:rsidRPr="00E7084B">
        <w:rPr>
          <w:rFonts w:cs="Arial"/>
          <w:szCs w:val="20"/>
          <w:vertAlign w:val="superscript"/>
        </w:rPr>
        <w:t>2+</w:t>
      </w:r>
      <w:r w:rsidR="009E7F14" w:rsidRPr="00E7084B">
        <w:rPr>
          <w:rFonts w:cs="Arial"/>
          <w:szCs w:val="20"/>
        </w:rPr>
        <w:t xml:space="preserve"> </w:t>
      </w:r>
      <w:r w:rsidR="00F55E9C">
        <w:rPr>
          <w:rFonts w:cs="Arial"/>
          <w:szCs w:val="20"/>
        </w:rPr>
        <w:t xml:space="preserve">concentration </w:t>
      </w:r>
      <w:r w:rsidR="009E7F14" w:rsidRPr="00E7084B">
        <w:rPr>
          <w:rFonts w:cs="Arial"/>
          <w:szCs w:val="20"/>
        </w:rPr>
        <w:t xml:space="preserve">errors in Eco80. </w:t>
      </w:r>
      <w:r w:rsidR="009E7F14" w:rsidRPr="00E7084B">
        <w:rPr>
          <w:rFonts w:cs="Arial"/>
          <w:b/>
          <w:bCs/>
          <w:szCs w:val="20"/>
        </w:rPr>
        <w:t>(A)</w:t>
      </w:r>
      <w:r w:rsidR="009E7F14" w:rsidRPr="00E7084B">
        <w:rPr>
          <w:rFonts w:cs="Arial"/>
          <w:szCs w:val="20"/>
        </w:rPr>
        <w:t xml:space="preserve"> Figure 1B modified with a </w:t>
      </w:r>
      <w:r w:rsidR="008C173C">
        <w:rPr>
          <w:rFonts w:cs="Arial"/>
          <w:szCs w:val="20"/>
        </w:rPr>
        <w:t xml:space="preserve">linear </w:t>
      </w:r>
      <w:r w:rsidR="009E7F14" w:rsidRPr="00E7084B">
        <w:rPr>
          <w:rFonts w:cs="Arial"/>
          <w:szCs w:val="20"/>
        </w:rPr>
        <w:t>x-axis to show that the biological free Mg</w:t>
      </w:r>
      <w:r w:rsidR="009E7F14" w:rsidRPr="00E7084B">
        <w:rPr>
          <w:rFonts w:cs="Arial"/>
          <w:szCs w:val="20"/>
          <w:vertAlign w:val="superscript"/>
        </w:rPr>
        <w:t>2+</w:t>
      </w:r>
      <w:r w:rsidR="009E7F14" w:rsidRPr="00E7084B">
        <w:rPr>
          <w:rFonts w:cs="Arial"/>
          <w:szCs w:val="20"/>
        </w:rPr>
        <w:t xml:space="preserve"> range is within the linear range of the HQS calibration curve. </w:t>
      </w:r>
      <w:r w:rsidR="009E7F14" w:rsidRPr="00E7084B">
        <w:rPr>
          <w:rFonts w:cs="Arial"/>
          <w:b/>
          <w:bCs/>
          <w:szCs w:val="20"/>
        </w:rPr>
        <w:t>(B)</w:t>
      </w:r>
      <w:r w:rsidR="008C173C">
        <w:rPr>
          <w:rFonts w:cs="Arial"/>
          <w:szCs w:val="20"/>
        </w:rPr>
        <w:t> </w:t>
      </w:r>
      <w:r w:rsidR="009E7F14" w:rsidRPr="00E7084B">
        <w:rPr>
          <w:rFonts w:cs="Arial"/>
          <w:szCs w:val="20"/>
        </w:rPr>
        <w:t>Uncertainty in the free Mg</w:t>
      </w:r>
      <w:r w:rsidR="009E7F14" w:rsidRPr="00E7084B">
        <w:rPr>
          <w:rFonts w:cs="Arial"/>
          <w:szCs w:val="20"/>
          <w:vertAlign w:val="superscript"/>
        </w:rPr>
        <w:t>2+</w:t>
      </w:r>
      <w:r w:rsidR="009E7F14" w:rsidRPr="00E7084B">
        <w:rPr>
          <w:rFonts w:cs="Arial"/>
          <w:szCs w:val="20"/>
        </w:rPr>
        <w:t xml:space="preserve"> concentration calculated from HQS emission, estimated by propagating uncertainty in the calibration fit coefficients, as a function of the free Mg</w:t>
      </w:r>
      <w:r w:rsidR="009E7F14" w:rsidRPr="00E7084B">
        <w:rPr>
          <w:rFonts w:cs="Arial"/>
          <w:szCs w:val="20"/>
          <w:vertAlign w:val="superscript"/>
        </w:rPr>
        <w:t>2+</w:t>
      </w:r>
      <w:r w:rsidR="009E7F14" w:rsidRPr="00E7084B">
        <w:rPr>
          <w:rFonts w:cs="Arial"/>
          <w:szCs w:val="20"/>
        </w:rPr>
        <w:t xml:space="preserve"> concentration calculated from HQS emission. </w:t>
      </w:r>
      <w:r w:rsidR="009E7F14" w:rsidRPr="00E7084B">
        <w:rPr>
          <w:rFonts w:cs="Arial"/>
          <w:b/>
          <w:bCs/>
          <w:szCs w:val="20"/>
        </w:rPr>
        <w:t>(C)</w:t>
      </w:r>
      <w:r w:rsidR="009E7F14" w:rsidRPr="00E7084B">
        <w:rPr>
          <w:rFonts w:cs="Arial"/>
          <w:szCs w:val="20"/>
        </w:rPr>
        <w:t xml:space="preserve"> </w:t>
      </w:r>
      <w:r w:rsidR="008D15A7" w:rsidRPr="008D15A7">
        <w:rPr>
          <w:rFonts w:cs="Arial"/>
          <w:szCs w:val="20"/>
        </w:rPr>
        <w:t>TBI theoretical model prediction of the ΔΔG°</w:t>
      </w:r>
      <w:r w:rsidR="008D15A7" w:rsidRPr="008D15A7">
        <w:rPr>
          <w:rFonts w:cs="Arial"/>
          <w:szCs w:val="20"/>
          <w:vertAlign w:val="subscript"/>
        </w:rPr>
        <w:t>37</w:t>
      </w:r>
      <w:r w:rsidR="008D15A7" w:rsidRPr="008D15A7">
        <w:rPr>
          <w:rFonts w:cs="Arial"/>
          <w:szCs w:val="20"/>
        </w:rPr>
        <w:t xml:space="preserve"> as a function of the free Mg</w:t>
      </w:r>
      <w:r w:rsidR="008D15A7" w:rsidRPr="008D15A7">
        <w:rPr>
          <w:rFonts w:cs="Arial"/>
          <w:szCs w:val="20"/>
          <w:vertAlign w:val="superscript"/>
        </w:rPr>
        <w:t>2+</w:t>
      </w:r>
      <w:r w:rsidR="008D15A7" w:rsidRPr="008D15A7">
        <w:rPr>
          <w:rFonts w:cs="Arial"/>
          <w:szCs w:val="20"/>
        </w:rPr>
        <w:t xml:space="preserve"> concentration for a</w:t>
      </w:r>
      <w:r w:rsidR="002F1D46">
        <w:rPr>
          <w:rFonts w:cs="Arial"/>
          <w:szCs w:val="20"/>
        </w:rPr>
        <w:t>n</w:t>
      </w:r>
      <w:r w:rsidR="008D15A7" w:rsidRPr="008D15A7">
        <w:rPr>
          <w:rFonts w:cs="Arial"/>
          <w:szCs w:val="20"/>
        </w:rPr>
        <w:t xml:space="preserve"> </w:t>
      </w:r>
      <w:proofErr w:type="gramStart"/>
      <w:r w:rsidR="008D15A7" w:rsidRPr="008D15A7">
        <w:rPr>
          <w:rFonts w:cs="Arial"/>
          <w:szCs w:val="20"/>
        </w:rPr>
        <w:t>8 nucleotide</w:t>
      </w:r>
      <w:proofErr w:type="gramEnd"/>
      <w:r w:rsidR="008D15A7" w:rsidRPr="008D15A7">
        <w:rPr>
          <w:rFonts w:cs="Arial"/>
          <w:szCs w:val="20"/>
        </w:rPr>
        <w:t xml:space="preserve"> helix. The reference state</w:t>
      </w:r>
      <w:r w:rsidR="001C4142">
        <w:rPr>
          <w:rFonts w:cs="Arial"/>
          <w:szCs w:val="20"/>
        </w:rPr>
        <w:t xml:space="preserve"> (</w:t>
      </w:r>
      <w:r w:rsidR="001C4142" w:rsidRPr="008D15A7">
        <w:rPr>
          <w:rFonts w:cs="Arial"/>
          <w:szCs w:val="20"/>
        </w:rPr>
        <w:t>380 mM Na</w:t>
      </w:r>
      <w:r w:rsidR="001C4142" w:rsidRPr="008D15A7">
        <w:rPr>
          <w:rFonts w:cs="Arial"/>
          <w:szCs w:val="20"/>
          <w:vertAlign w:val="superscript"/>
        </w:rPr>
        <w:t>+</w:t>
      </w:r>
      <w:r w:rsidR="001C4142" w:rsidRPr="008D15A7">
        <w:rPr>
          <w:rFonts w:cs="Arial"/>
          <w:szCs w:val="20"/>
        </w:rPr>
        <w:t xml:space="preserve"> and 2 mM Mg</w:t>
      </w:r>
      <w:r w:rsidR="001C4142" w:rsidRPr="008D15A7">
        <w:rPr>
          <w:rFonts w:cs="Arial"/>
          <w:szCs w:val="20"/>
          <w:vertAlign w:val="superscript"/>
        </w:rPr>
        <w:t>2+</w:t>
      </w:r>
      <w:r w:rsidR="001C4142" w:rsidRPr="001C4142">
        <w:rPr>
          <w:rFonts w:cs="Arial"/>
          <w:szCs w:val="20"/>
        </w:rPr>
        <w:t>)</w:t>
      </w:r>
      <w:r w:rsidR="008D15A7" w:rsidRPr="008D15A7">
        <w:rPr>
          <w:rFonts w:cs="Arial"/>
          <w:szCs w:val="20"/>
        </w:rPr>
        <w:t xml:space="preserve"> approximates the 2 mM free Mg</w:t>
      </w:r>
      <w:r w:rsidR="008D15A7" w:rsidRPr="008D15A7">
        <w:rPr>
          <w:rFonts w:cs="Arial"/>
          <w:szCs w:val="20"/>
          <w:vertAlign w:val="superscript"/>
        </w:rPr>
        <w:t>2+</w:t>
      </w:r>
      <w:r w:rsidR="008D15A7" w:rsidRPr="008D15A7">
        <w:rPr>
          <w:rFonts w:cs="Arial"/>
          <w:szCs w:val="20"/>
        </w:rPr>
        <w:t xml:space="preserve"> condition in this manuscript</w:t>
      </w:r>
      <w:r w:rsidR="001C4142">
        <w:rPr>
          <w:rFonts w:cs="Arial"/>
          <w:szCs w:val="20"/>
        </w:rPr>
        <w:t xml:space="preserve"> (240 mM Na</w:t>
      </w:r>
      <w:r w:rsidR="001C4142" w:rsidRPr="001C4142">
        <w:rPr>
          <w:rFonts w:cs="Arial"/>
          <w:szCs w:val="20"/>
          <w:vertAlign w:val="superscript"/>
        </w:rPr>
        <w:t>+</w:t>
      </w:r>
      <w:r w:rsidR="001C4142">
        <w:rPr>
          <w:rFonts w:cs="Arial"/>
          <w:szCs w:val="20"/>
        </w:rPr>
        <w:t>, 140 mM K</w:t>
      </w:r>
      <w:r w:rsidR="001C4142" w:rsidRPr="001C4142">
        <w:rPr>
          <w:rFonts w:cs="Arial"/>
          <w:szCs w:val="20"/>
          <w:vertAlign w:val="superscript"/>
        </w:rPr>
        <w:t>+</w:t>
      </w:r>
      <w:r w:rsidR="001C4142">
        <w:rPr>
          <w:rFonts w:cs="Arial"/>
          <w:szCs w:val="20"/>
        </w:rPr>
        <w:t>, and 2 mM Mg</w:t>
      </w:r>
      <w:r w:rsidR="001C4142" w:rsidRPr="001C4142">
        <w:rPr>
          <w:rFonts w:cs="Arial"/>
          <w:szCs w:val="20"/>
          <w:vertAlign w:val="superscript"/>
        </w:rPr>
        <w:t>2+</w:t>
      </w:r>
      <w:r w:rsidR="001C4142">
        <w:rPr>
          <w:rFonts w:cs="Arial"/>
          <w:szCs w:val="20"/>
        </w:rPr>
        <w:t>)</w:t>
      </w:r>
      <w:r w:rsidR="008D15A7" w:rsidRPr="008D15A7">
        <w:rPr>
          <w:rFonts w:cs="Arial"/>
          <w:szCs w:val="20"/>
        </w:rPr>
        <w:t>.</w:t>
      </w:r>
    </w:p>
    <w:p w14:paraId="4557BACF" w14:textId="441E1D3F" w:rsidR="00E378C0" w:rsidRDefault="00E378C0" w:rsidP="004D5418">
      <w:pPr>
        <w:rPr>
          <w:sz w:val="22"/>
        </w:rPr>
      </w:pPr>
    </w:p>
    <w:p w14:paraId="6FDD281C" w14:textId="77777777" w:rsidR="008C173C" w:rsidRDefault="008C173C" w:rsidP="00A330B8">
      <w:pPr>
        <w:spacing w:after="120"/>
        <w:jc w:val="both"/>
        <w:rPr>
          <w:rFonts w:ascii="Times New Roman" w:hAnsi="Times New Roman" w:cs="Times New Roman"/>
          <w:i/>
          <w:iCs/>
          <w:sz w:val="24"/>
          <w:szCs w:val="24"/>
        </w:rPr>
      </w:pPr>
    </w:p>
    <w:p w14:paraId="6DB6EBDD" w14:textId="77777777" w:rsidR="008C173C" w:rsidRDefault="008C173C" w:rsidP="00A330B8">
      <w:pPr>
        <w:spacing w:after="120"/>
        <w:jc w:val="both"/>
        <w:rPr>
          <w:rFonts w:ascii="Times New Roman" w:hAnsi="Times New Roman" w:cs="Times New Roman"/>
          <w:i/>
          <w:iCs/>
          <w:sz w:val="24"/>
          <w:szCs w:val="24"/>
        </w:rPr>
      </w:pPr>
    </w:p>
    <w:p w14:paraId="5254C484" w14:textId="1D83819C" w:rsidR="00A330B8" w:rsidRPr="00A330B8" w:rsidRDefault="00A330B8" w:rsidP="00A330B8">
      <w:pPr>
        <w:spacing w:after="120"/>
        <w:jc w:val="both"/>
        <w:rPr>
          <w:rFonts w:ascii="Times New Roman" w:hAnsi="Times New Roman" w:cs="Times New Roman"/>
          <w:i/>
          <w:iCs/>
          <w:sz w:val="24"/>
          <w:szCs w:val="24"/>
        </w:rPr>
      </w:pPr>
      <w:r w:rsidRPr="00A330B8">
        <w:rPr>
          <w:rFonts w:ascii="Times New Roman" w:hAnsi="Times New Roman" w:cs="Times New Roman"/>
          <w:i/>
          <w:iCs/>
          <w:sz w:val="24"/>
          <w:szCs w:val="24"/>
        </w:rPr>
        <w:t xml:space="preserve">Supplemental </w:t>
      </w:r>
      <w:r w:rsidR="00887E05">
        <w:rPr>
          <w:rFonts w:ascii="Times New Roman" w:hAnsi="Times New Roman" w:cs="Times New Roman"/>
          <w:i/>
          <w:iCs/>
          <w:sz w:val="24"/>
          <w:szCs w:val="24"/>
        </w:rPr>
        <w:t xml:space="preserve">information </w:t>
      </w:r>
      <w:r w:rsidR="00887E05" w:rsidRPr="00A330B8">
        <w:rPr>
          <w:rFonts w:ascii="Times New Roman" w:hAnsi="Times New Roman" w:cs="Times New Roman"/>
          <w:i/>
          <w:iCs/>
          <w:sz w:val="24"/>
          <w:szCs w:val="24"/>
        </w:rPr>
        <w:t>2</w:t>
      </w:r>
      <w:r w:rsidR="00887E05">
        <w:rPr>
          <w:rFonts w:ascii="Times New Roman" w:hAnsi="Times New Roman" w:cs="Times New Roman"/>
          <w:i/>
          <w:iCs/>
          <w:sz w:val="24"/>
          <w:szCs w:val="24"/>
        </w:rPr>
        <w:t xml:space="preserve"> </w:t>
      </w:r>
      <w:r w:rsidRPr="00A330B8">
        <w:rPr>
          <w:rFonts w:ascii="Times New Roman" w:hAnsi="Times New Roman" w:cs="Times New Roman"/>
          <w:i/>
          <w:iCs/>
          <w:sz w:val="24"/>
          <w:szCs w:val="24"/>
        </w:rPr>
        <w:t xml:space="preserve">references </w:t>
      </w:r>
    </w:p>
    <w:p w14:paraId="58805C07" w14:textId="77777777" w:rsidR="00A330B8" w:rsidRDefault="00A330B8" w:rsidP="004D5418">
      <w:pPr>
        <w:rPr>
          <w:sz w:val="22"/>
        </w:rPr>
      </w:pPr>
    </w:p>
    <w:p w14:paraId="56A0077B" w14:textId="77777777" w:rsidR="00A330B8" w:rsidRPr="00A330B8" w:rsidRDefault="00A330B8" w:rsidP="00A330B8">
      <w:pPr>
        <w:pStyle w:val="Bibliography"/>
        <w:rPr>
          <w:rFonts w:cs="Arial"/>
          <w:sz w:val="22"/>
        </w:rPr>
      </w:pPr>
      <w:r>
        <w:rPr>
          <w:sz w:val="22"/>
        </w:rPr>
        <w:fldChar w:fldCharType="begin"/>
      </w:r>
      <w:r>
        <w:rPr>
          <w:sz w:val="22"/>
        </w:rPr>
        <w:instrText xml:space="preserve"> ADDIN ZOTERO_BIBL {"uncited":[],"omitted":[],"custom":[]} CSL_BIBLIOGRAPHY </w:instrText>
      </w:r>
      <w:r>
        <w:rPr>
          <w:sz w:val="22"/>
        </w:rPr>
        <w:fldChar w:fldCharType="separate"/>
      </w:r>
      <w:r w:rsidRPr="00A330B8">
        <w:rPr>
          <w:rFonts w:cs="Arial"/>
          <w:sz w:val="22"/>
        </w:rPr>
        <w:t>(1)</w:t>
      </w:r>
      <w:r w:rsidRPr="00A330B8">
        <w:rPr>
          <w:rFonts w:cs="Arial"/>
          <w:sz w:val="22"/>
        </w:rPr>
        <w:tab/>
        <w:t>Tan, Z.-J.; Chen, S.-J. RNA Helix Stability in Mixed Na</w:t>
      </w:r>
      <w:r w:rsidRPr="001C4142">
        <w:rPr>
          <w:rFonts w:cs="Arial"/>
          <w:sz w:val="22"/>
          <w:vertAlign w:val="superscript"/>
        </w:rPr>
        <w:t>+</w:t>
      </w:r>
      <w:r w:rsidRPr="00A330B8">
        <w:rPr>
          <w:rFonts w:cs="Arial"/>
          <w:sz w:val="22"/>
        </w:rPr>
        <w:t>/Mg</w:t>
      </w:r>
      <w:r w:rsidRPr="001C4142">
        <w:rPr>
          <w:rFonts w:cs="Arial"/>
          <w:sz w:val="22"/>
          <w:vertAlign w:val="superscript"/>
        </w:rPr>
        <w:t>2+</w:t>
      </w:r>
      <w:r w:rsidRPr="00A330B8">
        <w:rPr>
          <w:rFonts w:cs="Arial"/>
          <w:sz w:val="22"/>
        </w:rPr>
        <w:t xml:space="preserve"> Solution. </w:t>
      </w:r>
      <w:r w:rsidRPr="00A330B8">
        <w:rPr>
          <w:rFonts w:cs="Arial"/>
          <w:i/>
          <w:iCs/>
          <w:sz w:val="22"/>
        </w:rPr>
        <w:t>Biophys. J.</w:t>
      </w:r>
      <w:r w:rsidRPr="00A330B8">
        <w:rPr>
          <w:rFonts w:cs="Arial"/>
          <w:sz w:val="22"/>
        </w:rPr>
        <w:t xml:space="preserve"> </w:t>
      </w:r>
      <w:r w:rsidRPr="00A330B8">
        <w:rPr>
          <w:rFonts w:cs="Arial"/>
          <w:b/>
          <w:bCs/>
          <w:sz w:val="22"/>
        </w:rPr>
        <w:t>2007</w:t>
      </w:r>
      <w:r w:rsidRPr="00A330B8">
        <w:rPr>
          <w:rFonts w:cs="Arial"/>
          <w:sz w:val="22"/>
        </w:rPr>
        <w:t xml:space="preserve">, </w:t>
      </w:r>
      <w:r w:rsidRPr="00A330B8">
        <w:rPr>
          <w:rFonts w:cs="Arial"/>
          <w:i/>
          <w:iCs/>
          <w:sz w:val="22"/>
        </w:rPr>
        <w:t>92</w:t>
      </w:r>
      <w:r w:rsidRPr="00A330B8">
        <w:rPr>
          <w:rFonts w:cs="Arial"/>
          <w:sz w:val="22"/>
        </w:rPr>
        <w:t xml:space="preserve"> (10), 3615–3632. https://doi.org/10.1529/biophysj.106.100388.</w:t>
      </w:r>
    </w:p>
    <w:p w14:paraId="54996D6A" w14:textId="39F77570" w:rsidR="00A330B8" w:rsidRPr="00E7084B" w:rsidRDefault="00A330B8" w:rsidP="004D5418">
      <w:pPr>
        <w:rPr>
          <w:sz w:val="22"/>
        </w:rPr>
      </w:pPr>
      <w:r>
        <w:rPr>
          <w:sz w:val="22"/>
        </w:rPr>
        <w:fldChar w:fldCharType="end"/>
      </w:r>
    </w:p>
    <w:sectPr w:rsidR="00A330B8" w:rsidRPr="00E7084B" w:rsidSect="00C678D6">
      <w:footerReference w:type="default" r:id="rId9"/>
      <w:headerReference w:type="first" r:id="rId10"/>
      <w:pgSz w:w="12240" w:h="15840"/>
      <w:pgMar w:top="777"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8B522" w14:textId="77777777" w:rsidR="002F549F" w:rsidRDefault="002F549F">
      <w:r>
        <w:separator/>
      </w:r>
    </w:p>
  </w:endnote>
  <w:endnote w:type="continuationSeparator" w:id="0">
    <w:p w14:paraId="288B6F87" w14:textId="77777777" w:rsidR="002F549F" w:rsidRDefault="002F549F">
      <w:r>
        <w:continuationSeparator/>
      </w:r>
    </w:p>
  </w:endnote>
  <w:endnote w:type="continuationNotice" w:id="1">
    <w:p w14:paraId="7644BE85" w14:textId="77777777" w:rsidR="002F549F" w:rsidRDefault="002F54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charset w:val="00"/>
    <w:family w:val="auto"/>
    <w:pitch w:val="variable"/>
  </w:font>
  <w:font w:name="Lohit Devanagari">
    <w:altName w:val="Cambria"/>
    <w:charset w:val="00"/>
    <w:family w:val="auto"/>
    <w:pitch w:val="variable"/>
  </w:font>
  <w:font w:name="Myriad Pro Light">
    <w:altName w:val="Cambria"/>
    <w:panose1 w:val="00000000000000000000"/>
    <w:charset w:val="00"/>
    <w:family w:val="swiss"/>
    <w:notTrueType/>
    <w:pitch w:val="variable"/>
    <w:sig w:usb0="A00002AF" w:usb1="5000204B" w:usb2="00000000" w:usb3="00000000" w:csb0="0000019F" w:csb1="00000000"/>
  </w:font>
  <w:font w:name="Arno Pro">
    <w:altName w:val="Cambria"/>
    <w:panose1 w:val="00000000000000000000"/>
    <w:charset w:val="00"/>
    <w:family w:val="roman"/>
    <w:notTrueType/>
    <w:pitch w:val="variable"/>
    <w:sig w:usb0="60000287" w:usb1="00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0A6AD" w14:textId="77777777" w:rsidR="00855F64" w:rsidRPr="00281948" w:rsidRDefault="00855F64">
    <w:pPr>
      <w:pStyle w:val="Footer"/>
      <w:jc w:val="right"/>
      <w:rPr>
        <w:rFonts w:ascii="Times New Roman" w:hAnsi="Times New Roman" w:cs="Times New Roman"/>
      </w:rPr>
    </w:pPr>
    <w:r w:rsidRPr="00281948">
      <w:rPr>
        <w:rFonts w:ascii="Times New Roman" w:hAnsi="Times New Roman" w:cs="Times New Roman"/>
      </w:rPr>
      <w:t>S</w:t>
    </w:r>
    <w:r w:rsidRPr="00281948">
      <w:rPr>
        <w:rFonts w:ascii="Times New Roman" w:hAnsi="Times New Roman" w:cs="Times New Roman"/>
      </w:rPr>
      <w:fldChar w:fldCharType="begin"/>
    </w:r>
    <w:r w:rsidRPr="00281948">
      <w:rPr>
        <w:rFonts w:ascii="Times New Roman" w:hAnsi="Times New Roman" w:cs="Times New Roman"/>
      </w:rPr>
      <w:instrText xml:space="preserve"> PAGE </w:instrText>
    </w:r>
    <w:r w:rsidRPr="00281948">
      <w:rPr>
        <w:rFonts w:ascii="Times New Roman" w:hAnsi="Times New Roman" w:cs="Times New Roman"/>
      </w:rPr>
      <w:fldChar w:fldCharType="separate"/>
    </w:r>
    <w:r w:rsidRPr="00281948">
      <w:rPr>
        <w:rFonts w:ascii="Times New Roman" w:hAnsi="Times New Roman" w:cs="Times New Roman"/>
      </w:rPr>
      <w:t>15</w:t>
    </w:r>
    <w:r w:rsidRPr="00281948">
      <w:rPr>
        <w:rFonts w:ascii="Times New Roman" w:hAnsi="Times New Roman" w:cs="Times New Roman"/>
      </w:rPr>
      <w:fldChar w:fldCharType="end"/>
    </w:r>
  </w:p>
  <w:p w14:paraId="0E47082D" w14:textId="77777777" w:rsidR="00855F64" w:rsidRDefault="00855F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A6E96" w14:textId="77777777" w:rsidR="002F549F" w:rsidRDefault="002F549F">
      <w:r>
        <w:rPr>
          <w:color w:val="000000"/>
        </w:rPr>
        <w:separator/>
      </w:r>
    </w:p>
  </w:footnote>
  <w:footnote w:type="continuationSeparator" w:id="0">
    <w:p w14:paraId="53772A07" w14:textId="77777777" w:rsidR="002F549F" w:rsidRDefault="002F549F">
      <w:r>
        <w:continuationSeparator/>
      </w:r>
    </w:p>
  </w:footnote>
  <w:footnote w:type="continuationNotice" w:id="1">
    <w:p w14:paraId="58BB5F50" w14:textId="77777777" w:rsidR="002F549F" w:rsidRDefault="002F54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AA751" w14:textId="77777777" w:rsidR="00855F64" w:rsidRDefault="00855F64">
    <w:pPr>
      <w:pStyle w:val="Header"/>
      <w:jc w:val="right"/>
    </w:pPr>
    <w:r>
      <w:rPr>
        <w:rFonts w:ascii="Times New Roman" w:hAnsi="Times New Roman" w:cs="Times New Roman"/>
        <w:i/>
        <w:iCs/>
        <w:sz w:val="24"/>
        <w:szCs w:val="24"/>
      </w:rPr>
      <w:t>Sieg</w:t>
    </w:r>
    <w:r>
      <w:rPr>
        <w:rFonts w:ascii="Times New Roman" w:hAnsi="Times New Roman" w:cs="Times New Roman"/>
        <w:sz w:val="24"/>
        <w:szCs w:val="24"/>
      </w:rPr>
      <w:t xml:space="preserve"> </w:t>
    </w:r>
    <w:r>
      <w:rPr>
        <w:rFonts w:ascii="Times New Roman" w:hAnsi="Times New Roman" w:cs="Times New Roman"/>
        <w:i/>
        <w:iCs/>
        <w:sz w:val="24"/>
        <w:szCs w:val="24"/>
      </w:rPr>
      <w:t>et al.</w:t>
    </w:r>
  </w:p>
  <w:p w14:paraId="4C01D12D" w14:textId="77777777" w:rsidR="00855F64" w:rsidRDefault="00855F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02273"/>
    <w:multiLevelType w:val="multilevel"/>
    <w:tmpl w:val="ACD01190"/>
    <w:styleLink w:val="WW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1" w15:restartNumberingAfterBreak="0">
    <w:nsid w:val="1D184DFC"/>
    <w:multiLevelType w:val="multilevel"/>
    <w:tmpl w:val="FC642162"/>
    <w:styleLink w:val="WWNum2"/>
    <w:lvl w:ilvl="0">
      <w:start w:val="1"/>
      <w:numFmt w:val="decimal"/>
      <w:lvlText w:val="%1"/>
      <w:lvlJc w:val="left"/>
      <w:pPr>
        <w:ind w:left="1080" w:hanging="72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 w15:restartNumberingAfterBreak="0">
    <w:nsid w:val="616F19D9"/>
    <w:multiLevelType w:val="multilevel"/>
    <w:tmpl w:val="B8F4073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16cid:durableId="2091467331">
    <w:abstractNumId w:val="2"/>
  </w:num>
  <w:num w:numId="2" w16cid:durableId="1439134653">
    <w:abstractNumId w:val="0"/>
  </w:num>
  <w:num w:numId="3" w16cid:durableId="1622421295">
    <w:abstractNumId w:val="1"/>
  </w:num>
  <w:num w:numId="4" w16cid:durableId="68232391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8C0"/>
    <w:rsid w:val="000007A7"/>
    <w:rsid w:val="000135B1"/>
    <w:rsid w:val="000137EA"/>
    <w:rsid w:val="000139C8"/>
    <w:rsid w:val="00020656"/>
    <w:rsid w:val="00033A18"/>
    <w:rsid w:val="00041338"/>
    <w:rsid w:val="000429D1"/>
    <w:rsid w:val="00053DDF"/>
    <w:rsid w:val="000557ED"/>
    <w:rsid w:val="000601A7"/>
    <w:rsid w:val="00066C6C"/>
    <w:rsid w:val="000727B0"/>
    <w:rsid w:val="000738DE"/>
    <w:rsid w:val="00077B2B"/>
    <w:rsid w:val="00081307"/>
    <w:rsid w:val="0008139A"/>
    <w:rsid w:val="000814C9"/>
    <w:rsid w:val="00081FEC"/>
    <w:rsid w:val="000823C2"/>
    <w:rsid w:val="00092C6C"/>
    <w:rsid w:val="0009463B"/>
    <w:rsid w:val="000A10E9"/>
    <w:rsid w:val="000A2CD0"/>
    <w:rsid w:val="000A3677"/>
    <w:rsid w:val="000A3D56"/>
    <w:rsid w:val="000B330D"/>
    <w:rsid w:val="000B38BD"/>
    <w:rsid w:val="000B446E"/>
    <w:rsid w:val="000B620F"/>
    <w:rsid w:val="000B7E3D"/>
    <w:rsid w:val="000C6E49"/>
    <w:rsid w:val="000D0095"/>
    <w:rsid w:val="000D3C65"/>
    <w:rsid w:val="000E2394"/>
    <w:rsid w:val="000E6513"/>
    <w:rsid w:val="000E67AD"/>
    <w:rsid w:val="00102470"/>
    <w:rsid w:val="00115764"/>
    <w:rsid w:val="0012031C"/>
    <w:rsid w:val="001230F8"/>
    <w:rsid w:val="00125710"/>
    <w:rsid w:val="001354CA"/>
    <w:rsid w:val="00141E38"/>
    <w:rsid w:val="00143831"/>
    <w:rsid w:val="00153660"/>
    <w:rsid w:val="00153E7A"/>
    <w:rsid w:val="00154C76"/>
    <w:rsid w:val="001554C6"/>
    <w:rsid w:val="0017292D"/>
    <w:rsid w:val="00173FA1"/>
    <w:rsid w:val="00174194"/>
    <w:rsid w:val="0017436F"/>
    <w:rsid w:val="00175204"/>
    <w:rsid w:val="0017654F"/>
    <w:rsid w:val="0018063E"/>
    <w:rsid w:val="00181DEA"/>
    <w:rsid w:val="001820FE"/>
    <w:rsid w:val="0018563B"/>
    <w:rsid w:val="00190995"/>
    <w:rsid w:val="00196353"/>
    <w:rsid w:val="001A41DE"/>
    <w:rsid w:val="001C2C90"/>
    <w:rsid w:val="001C2CC5"/>
    <w:rsid w:val="001C4142"/>
    <w:rsid w:val="001D321B"/>
    <w:rsid w:val="001D6679"/>
    <w:rsid w:val="001E3AF9"/>
    <w:rsid w:val="001E7A8D"/>
    <w:rsid w:val="001E7C2C"/>
    <w:rsid w:val="001F0B4D"/>
    <w:rsid w:val="001F28E9"/>
    <w:rsid w:val="001F575C"/>
    <w:rsid w:val="00200C7C"/>
    <w:rsid w:val="002033AF"/>
    <w:rsid w:val="002143D1"/>
    <w:rsid w:val="002169FB"/>
    <w:rsid w:val="00217136"/>
    <w:rsid w:val="00217872"/>
    <w:rsid w:val="0022711E"/>
    <w:rsid w:val="0022730D"/>
    <w:rsid w:val="00236897"/>
    <w:rsid w:val="002369D4"/>
    <w:rsid w:val="00241DB3"/>
    <w:rsid w:val="00241F4E"/>
    <w:rsid w:val="002457E2"/>
    <w:rsid w:val="002653B3"/>
    <w:rsid w:val="00265924"/>
    <w:rsid w:val="002719BA"/>
    <w:rsid w:val="0027307D"/>
    <w:rsid w:val="00273E61"/>
    <w:rsid w:val="00281948"/>
    <w:rsid w:val="00286AD2"/>
    <w:rsid w:val="0029170B"/>
    <w:rsid w:val="00294EE2"/>
    <w:rsid w:val="002A1C5A"/>
    <w:rsid w:val="002A67E3"/>
    <w:rsid w:val="002B2BBF"/>
    <w:rsid w:val="002B418E"/>
    <w:rsid w:val="002B4A67"/>
    <w:rsid w:val="002B7F99"/>
    <w:rsid w:val="002C40A6"/>
    <w:rsid w:val="002C6F12"/>
    <w:rsid w:val="002D0E2F"/>
    <w:rsid w:val="002D6E5D"/>
    <w:rsid w:val="002E23B3"/>
    <w:rsid w:val="002E5A65"/>
    <w:rsid w:val="002F1D46"/>
    <w:rsid w:val="002F3021"/>
    <w:rsid w:val="002F549F"/>
    <w:rsid w:val="002F6DE5"/>
    <w:rsid w:val="002F735C"/>
    <w:rsid w:val="00310E12"/>
    <w:rsid w:val="00320890"/>
    <w:rsid w:val="00321AD3"/>
    <w:rsid w:val="0032490B"/>
    <w:rsid w:val="00334E83"/>
    <w:rsid w:val="003368B5"/>
    <w:rsid w:val="00337D43"/>
    <w:rsid w:val="00343DA7"/>
    <w:rsid w:val="00344F20"/>
    <w:rsid w:val="003450ED"/>
    <w:rsid w:val="00353ACA"/>
    <w:rsid w:val="00356A9B"/>
    <w:rsid w:val="003612BB"/>
    <w:rsid w:val="00370672"/>
    <w:rsid w:val="0037173A"/>
    <w:rsid w:val="00377C41"/>
    <w:rsid w:val="0038307E"/>
    <w:rsid w:val="003842C7"/>
    <w:rsid w:val="00384454"/>
    <w:rsid w:val="00386B53"/>
    <w:rsid w:val="00392C67"/>
    <w:rsid w:val="00394126"/>
    <w:rsid w:val="0039549A"/>
    <w:rsid w:val="003970AE"/>
    <w:rsid w:val="003A48C7"/>
    <w:rsid w:val="003A6393"/>
    <w:rsid w:val="003A6A62"/>
    <w:rsid w:val="003B0013"/>
    <w:rsid w:val="003B11A3"/>
    <w:rsid w:val="003B53D9"/>
    <w:rsid w:val="003C0B7F"/>
    <w:rsid w:val="003C1C53"/>
    <w:rsid w:val="003E073C"/>
    <w:rsid w:val="003E426B"/>
    <w:rsid w:val="003F1102"/>
    <w:rsid w:val="00401702"/>
    <w:rsid w:val="00402666"/>
    <w:rsid w:val="00403F69"/>
    <w:rsid w:val="004115E8"/>
    <w:rsid w:val="004169F5"/>
    <w:rsid w:val="00416BD0"/>
    <w:rsid w:val="004178D0"/>
    <w:rsid w:val="0042789E"/>
    <w:rsid w:val="00435B48"/>
    <w:rsid w:val="004415DA"/>
    <w:rsid w:val="00447537"/>
    <w:rsid w:val="0044763A"/>
    <w:rsid w:val="00450E78"/>
    <w:rsid w:val="00452787"/>
    <w:rsid w:val="0046492D"/>
    <w:rsid w:val="00464E6C"/>
    <w:rsid w:val="0047652F"/>
    <w:rsid w:val="00477FA1"/>
    <w:rsid w:val="00487F66"/>
    <w:rsid w:val="004A2E44"/>
    <w:rsid w:val="004A4FE0"/>
    <w:rsid w:val="004A59D6"/>
    <w:rsid w:val="004A7C09"/>
    <w:rsid w:val="004B2798"/>
    <w:rsid w:val="004B7564"/>
    <w:rsid w:val="004B7CCE"/>
    <w:rsid w:val="004C239C"/>
    <w:rsid w:val="004C4F47"/>
    <w:rsid w:val="004D0F32"/>
    <w:rsid w:val="004D10F0"/>
    <w:rsid w:val="004D2BD8"/>
    <w:rsid w:val="004D35CC"/>
    <w:rsid w:val="004D51F3"/>
    <w:rsid w:val="004D5418"/>
    <w:rsid w:val="004D7B0E"/>
    <w:rsid w:val="004E2FB5"/>
    <w:rsid w:val="004F27ED"/>
    <w:rsid w:val="004F6594"/>
    <w:rsid w:val="00500455"/>
    <w:rsid w:val="00500E3E"/>
    <w:rsid w:val="0050144E"/>
    <w:rsid w:val="00501B56"/>
    <w:rsid w:val="00511A9D"/>
    <w:rsid w:val="00511FF6"/>
    <w:rsid w:val="00512D13"/>
    <w:rsid w:val="00512D25"/>
    <w:rsid w:val="00521248"/>
    <w:rsid w:val="005238AB"/>
    <w:rsid w:val="00524DDC"/>
    <w:rsid w:val="00525259"/>
    <w:rsid w:val="00536BE0"/>
    <w:rsid w:val="00542088"/>
    <w:rsid w:val="00542CEC"/>
    <w:rsid w:val="0054528B"/>
    <w:rsid w:val="005537E5"/>
    <w:rsid w:val="005558CB"/>
    <w:rsid w:val="005575BA"/>
    <w:rsid w:val="005602B1"/>
    <w:rsid w:val="00570BA3"/>
    <w:rsid w:val="00572709"/>
    <w:rsid w:val="00573842"/>
    <w:rsid w:val="005829CD"/>
    <w:rsid w:val="00583690"/>
    <w:rsid w:val="00584F2E"/>
    <w:rsid w:val="00586BE6"/>
    <w:rsid w:val="005A0658"/>
    <w:rsid w:val="005A47C0"/>
    <w:rsid w:val="005A47DA"/>
    <w:rsid w:val="005B064B"/>
    <w:rsid w:val="005B64B3"/>
    <w:rsid w:val="005C211F"/>
    <w:rsid w:val="005C3228"/>
    <w:rsid w:val="005C4786"/>
    <w:rsid w:val="005C5048"/>
    <w:rsid w:val="005C71FE"/>
    <w:rsid w:val="005C755C"/>
    <w:rsid w:val="005C763B"/>
    <w:rsid w:val="005D03D6"/>
    <w:rsid w:val="005D0BD3"/>
    <w:rsid w:val="005D1C03"/>
    <w:rsid w:val="005F01E7"/>
    <w:rsid w:val="005F4344"/>
    <w:rsid w:val="005F4F59"/>
    <w:rsid w:val="00607D32"/>
    <w:rsid w:val="0061577F"/>
    <w:rsid w:val="0061762B"/>
    <w:rsid w:val="006204C0"/>
    <w:rsid w:val="0062751F"/>
    <w:rsid w:val="006301E1"/>
    <w:rsid w:val="00633762"/>
    <w:rsid w:val="00634B25"/>
    <w:rsid w:val="00642B8A"/>
    <w:rsid w:val="00644C8D"/>
    <w:rsid w:val="00645DFD"/>
    <w:rsid w:val="0065258D"/>
    <w:rsid w:val="00656EBD"/>
    <w:rsid w:val="00664656"/>
    <w:rsid w:val="0066527F"/>
    <w:rsid w:val="00665CE7"/>
    <w:rsid w:val="00672226"/>
    <w:rsid w:val="00676A30"/>
    <w:rsid w:val="00676A36"/>
    <w:rsid w:val="00680BED"/>
    <w:rsid w:val="0068219C"/>
    <w:rsid w:val="006A2838"/>
    <w:rsid w:val="006A73A7"/>
    <w:rsid w:val="006A7796"/>
    <w:rsid w:val="006B005C"/>
    <w:rsid w:val="006B3ADF"/>
    <w:rsid w:val="006B4ADB"/>
    <w:rsid w:val="006B6759"/>
    <w:rsid w:val="006D20FE"/>
    <w:rsid w:val="006E00DF"/>
    <w:rsid w:val="006E3B20"/>
    <w:rsid w:val="006F32BE"/>
    <w:rsid w:val="006F6613"/>
    <w:rsid w:val="007005C1"/>
    <w:rsid w:val="00713A3C"/>
    <w:rsid w:val="00722032"/>
    <w:rsid w:val="0073367B"/>
    <w:rsid w:val="0074150B"/>
    <w:rsid w:val="00745AE3"/>
    <w:rsid w:val="00747E7B"/>
    <w:rsid w:val="00752EE4"/>
    <w:rsid w:val="007530E5"/>
    <w:rsid w:val="00755373"/>
    <w:rsid w:val="0075649D"/>
    <w:rsid w:val="00764957"/>
    <w:rsid w:val="00765317"/>
    <w:rsid w:val="00766802"/>
    <w:rsid w:val="0077420C"/>
    <w:rsid w:val="00781615"/>
    <w:rsid w:val="00782357"/>
    <w:rsid w:val="0079370C"/>
    <w:rsid w:val="00793F38"/>
    <w:rsid w:val="007A06E3"/>
    <w:rsid w:val="007A2FF1"/>
    <w:rsid w:val="007A72C7"/>
    <w:rsid w:val="007A7AC2"/>
    <w:rsid w:val="007A7B15"/>
    <w:rsid w:val="007B004E"/>
    <w:rsid w:val="007B13AE"/>
    <w:rsid w:val="007B5115"/>
    <w:rsid w:val="007B54E1"/>
    <w:rsid w:val="007D069C"/>
    <w:rsid w:val="007D2646"/>
    <w:rsid w:val="007D36E8"/>
    <w:rsid w:val="007D7466"/>
    <w:rsid w:val="007D7A26"/>
    <w:rsid w:val="007E738A"/>
    <w:rsid w:val="007F0682"/>
    <w:rsid w:val="007F5480"/>
    <w:rsid w:val="007F67A4"/>
    <w:rsid w:val="007F751F"/>
    <w:rsid w:val="008016DD"/>
    <w:rsid w:val="00811B0F"/>
    <w:rsid w:val="00813B3C"/>
    <w:rsid w:val="00820D18"/>
    <w:rsid w:val="00824AC6"/>
    <w:rsid w:val="00826D13"/>
    <w:rsid w:val="00827CE0"/>
    <w:rsid w:val="00830CEF"/>
    <w:rsid w:val="00833691"/>
    <w:rsid w:val="00834A9C"/>
    <w:rsid w:val="0083734A"/>
    <w:rsid w:val="00845A5F"/>
    <w:rsid w:val="00851054"/>
    <w:rsid w:val="0085174E"/>
    <w:rsid w:val="00854410"/>
    <w:rsid w:val="00855073"/>
    <w:rsid w:val="00855F64"/>
    <w:rsid w:val="00860195"/>
    <w:rsid w:val="008628A9"/>
    <w:rsid w:val="00864846"/>
    <w:rsid w:val="00876532"/>
    <w:rsid w:val="00882DE0"/>
    <w:rsid w:val="00887E05"/>
    <w:rsid w:val="008918E8"/>
    <w:rsid w:val="0089640B"/>
    <w:rsid w:val="008A2B46"/>
    <w:rsid w:val="008A3D6D"/>
    <w:rsid w:val="008A54B4"/>
    <w:rsid w:val="008A656B"/>
    <w:rsid w:val="008B5B79"/>
    <w:rsid w:val="008B6480"/>
    <w:rsid w:val="008C0EA5"/>
    <w:rsid w:val="008C173C"/>
    <w:rsid w:val="008C7A54"/>
    <w:rsid w:val="008D15A7"/>
    <w:rsid w:val="008D1B9B"/>
    <w:rsid w:val="008D617A"/>
    <w:rsid w:val="008E342C"/>
    <w:rsid w:val="008E407F"/>
    <w:rsid w:val="008F1809"/>
    <w:rsid w:val="008F29BD"/>
    <w:rsid w:val="008F39CB"/>
    <w:rsid w:val="009033A3"/>
    <w:rsid w:val="009076D6"/>
    <w:rsid w:val="009149BA"/>
    <w:rsid w:val="009235B6"/>
    <w:rsid w:val="00926D7D"/>
    <w:rsid w:val="00927C71"/>
    <w:rsid w:val="009364B2"/>
    <w:rsid w:val="0094236F"/>
    <w:rsid w:val="0095034C"/>
    <w:rsid w:val="00952BEB"/>
    <w:rsid w:val="00957AD7"/>
    <w:rsid w:val="009603F0"/>
    <w:rsid w:val="00960814"/>
    <w:rsid w:val="00962361"/>
    <w:rsid w:val="00962B11"/>
    <w:rsid w:val="00963F9E"/>
    <w:rsid w:val="00964BF4"/>
    <w:rsid w:val="009808B9"/>
    <w:rsid w:val="009809D2"/>
    <w:rsid w:val="0098432C"/>
    <w:rsid w:val="00987DBA"/>
    <w:rsid w:val="00992BFD"/>
    <w:rsid w:val="00996380"/>
    <w:rsid w:val="00996B92"/>
    <w:rsid w:val="009977D2"/>
    <w:rsid w:val="00997CFE"/>
    <w:rsid w:val="009A4F3C"/>
    <w:rsid w:val="009A5AEA"/>
    <w:rsid w:val="009B4320"/>
    <w:rsid w:val="009B47B8"/>
    <w:rsid w:val="009B6C16"/>
    <w:rsid w:val="009B760E"/>
    <w:rsid w:val="009C0130"/>
    <w:rsid w:val="009C05E4"/>
    <w:rsid w:val="009C10C6"/>
    <w:rsid w:val="009D0A04"/>
    <w:rsid w:val="009D1219"/>
    <w:rsid w:val="009D357B"/>
    <w:rsid w:val="009E5F7A"/>
    <w:rsid w:val="009E7F14"/>
    <w:rsid w:val="009F2B8A"/>
    <w:rsid w:val="00A01F69"/>
    <w:rsid w:val="00A11CA7"/>
    <w:rsid w:val="00A20575"/>
    <w:rsid w:val="00A2288E"/>
    <w:rsid w:val="00A25FF9"/>
    <w:rsid w:val="00A276C3"/>
    <w:rsid w:val="00A330B8"/>
    <w:rsid w:val="00A42248"/>
    <w:rsid w:val="00A42628"/>
    <w:rsid w:val="00A46915"/>
    <w:rsid w:val="00A55161"/>
    <w:rsid w:val="00A63305"/>
    <w:rsid w:val="00A7355F"/>
    <w:rsid w:val="00A8052E"/>
    <w:rsid w:val="00A8085E"/>
    <w:rsid w:val="00AA0F22"/>
    <w:rsid w:val="00AA10FF"/>
    <w:rsid w:val="00AA278F"/>
    <w:rsid w:val="00AA3BE0"/>
    <w:rsid w:val="00AB3ECE"/>
    <w:rsid w:val="00AB4600"/>
    <w:rsid w:val="00AB7438"/>
    <w:rsid w:val="00AB7C88"/>
    <w:rsid w:val="00AC08DF"/>
    <w:rsid w:val="00AC0B06"/>
    <w:rsid w:val="00AC56E1"/>
    <w:rsid w:val="00AD001F"/>
    <w:rsid w:val="00AD7240"/>
    <w:rsid w:val="00AD79A1"/>
    <w:rsid w:val="00AE0FCB"/>
    <w:rsid w:val="00AE2356"/>
    <w:rsid w:val="00AE23E2"/>
    <w:rsid w:val="00AF1C18"/>
    <w:rsid w:val="00AF5CF6"/>
    <w:rsid w:val="00B1299B"/>
    <w:rsid w:val="00B130F0"/>
    <w:rsid w:val="00B23DF9"/>
    <w:rsid w:val="00B24EC7"/>
    <w:rsid w:val="00B317A8"/>
    <w:rsid w:val="00B35D48"/>
    <w:rsid w:val="00B44322"/>
    <w:rsid w:val="00B4675D"/>
    <w:rsid w:val="00B51A14"/>
    <w:rsid w:val="00B52EC1"/>
    <w:rsid w:val="00B54378"/>
    <w:rsid w:val="00B54913"/>
    <w:rsid w:val="00B56438"/>
    <w:rsid w:val="00B57AD9"/>
    <w:rsid w:val="00B6393F"/>
    <w:rsid w:val="00B6793B"/>
    <w:rsid w:val="00B70FFC"/>
    <w:rsid w:val="00B76639"/>
    <w:rsid w:val="00B834D9"/>
    <w:rsid w:val="00B8372A"/>
    <w:rsid w:val="00B854F9"/>
    <w:rsid w:val="00B8683B"/>
    <w:rsid w:val="00B901EB"/>
    <w:rsid w:val="00B906FD"/>
    <w:rsid w:val="00B93278"/>
    <w:rsid w:val="00B976A9"/>
    <w:rsid w:val="00BA1803"/>
    <w:rsid w:val="00BA5AFD"/>
    <w:rsid w:val="00BB00DA"/>
    <w:rsid w:val="00BB4D26"/>
    <w:rsid w:val="00BB6B64"/>
    <w:rsid w:val="00BC18AA"/>
    <w:rsid w:val="00BC1D1B"/>
    <w:rsid w:val="00BC3450"/>
    <w:rsid w:val="00BD252C"/>
    <w:rsid w:val="00BE1FD2"/>
    <w:rsid w:val="00BE3726"/>
    <w:rsid w:val="00BF11D8"/>
    <w:rsid w:val="00BF3656"/>
    <w:rsid w:val="00BF3DA1"/>
    <w:rsid w:val="00C046C5"/>
    <w:rsid w:val="00C05233"/>
    <w:rsid w:val="00C07646"/>
    <w:rsid w:val="00C12CB7"/>
    <w:rsid w:val="00C12D97"/>
    <w:rsid w:val="00C16211"/>
    <w:rsid w:val="00C20850"/>
    <w:rsid w:val="00C23CBF"/>
    <w:rsid w:val="00C272F5"/>
    <w:rsid w:val="00C375FA"/>
    <w:rsid w:val="00C40799"/>
    <w:rsid w:val="00C42EA2"/>
    <w:rsid w:val="00C47E87"/>
    <w:rsid w:val="00C51EAE"/>
    <w:rsid w:val="00C57D39"/>
    <w:rsid w:val="00C6648B"/>
    <w:rsid w:val="00C678D6"/>
    <w:rsid w:val="00C70D6E"/>
    <w:rsid w:val="00C72424"/>
    <w:rsid w:val="00C77982"/>
    <w:rsid w:val="00C86360"/>
    <w:rsid w:val="00C923C0"/>
    <w:rsid w:val="00CA0495"/>
    <w:rsid w:val="00CA0A0A"/>
    <w:rsid w:val="00CA0B90"/>
    <w:rsid w:val="00CA2F43"/>
    <w:rsid w:val="00CA42B7"/>
    <w:rsid w:val="00CA49BF"/>
    <w:rsid w:val="00CA5BB0"/>
    <w:rsid w:val="00CB229E"/>
    <w:rsid w:val="00CB3FA1"/>
    <w:rsid w:val="00CB6D72"/>
    <w:rsid w:val="00CC09D7"/>
    <w:rsid w:val="00CC54CB"/>
    <w:rsid w:val="00CD7009"/>
    <w:rsid w:val="00CD7DF4"/>
    <w:rsid w:val="00CE5296"/>
    <w:rsid w:val="00CF214A"/>
    <w:rsid w:val="00CF40AE"/>
    <w:rsid w:val="00CF61B0"/>
    <w:rsid w:val="00D1064F"/>
    <w:rsid w:val="00D10BF7"/>
    <w:rsid w:val="00D12D27"/>
    <w:rsid w:val="00D23146"/>
    <w:rsid w:val="00D334F8"/>
    <w:rsid w:val="00D42881"/>
    <w:rsid w:val="00D436DE"/>
    <w:rsid w:val="00D467C9"/>
    <w:rsid w:val="00D47034"/>
    <w:rsid w:val="00D47DA6"/>
    <w:rsid w:val="00D54573"/>
    <w:rsid w:val="00D54602"/>
    <w:rsid w:val="00D54B20"/>
    <w:rsid w:val="00D55565"/>
    <w:rsid w:val="00D5633E"/>
    <w:rsid w:val="00D62A76"/>
    <w:rsid w:val="00D64A01"/>
    <w:rsid w:val="00D655E3"/>
    <w:rsid w:val="00D70540"/>
    <w:rsid w:val="00D720CD"/>
    <w:rsid w:val="00D7226D"/>
    <w:rsid w:val="00D72521"/>
    <w:rsid w:val="00D81A06"/>
    <w:rsid w:val="00D83BC1"/>
    <w:rsid w:val="00D85AE2"/>
    <w:rsid w:val="00DB3BB5"/>
    <w:rsid w:val="00DB5960"/>
    <w:rsid w:val="00DC0F9A"/>
    <w:rsid w:val="00DC520D"/>
    <w:rsid w:val="00DC7271"/>
    <w:rsid w:val="00DC75BF"/>
    <w:rsid w:val="00DD371B"/>
    <w:rsid w:val="00DE24D6"/>
    <w:rsid w:val="00DE5D66"/>
    <w:rsid w:val="00DF4FDC"/>
    <w:rsid w:val="00DF5371"/>
    <w:rsid w:val="00DF72F4"/>
    <w:rsid w:val="00E02C70"/>
    <w:rsid w:val="00E03863"/>
    <w:rsid w:val="00E114F2"/>
    <w:rsid w:val="00E13A0A"/>
    <w:rsid w:val="00E13B9B"/>
    <w:rsid w:val="00E17302"/>
    <w:rsid w:val="00E30128"/>
    <w:rsid w:val="00E3034E"/>
    <w:rsid w:val="00E311E8"/>
    <w:rsid w:val="00E322A2"/>
    <w:rsid w:val="00E378C0"/>
    <w:rsid w:val="00E4063B"/>
    <w:rsid w:val="00E46D46"/>
    <w:rsid w:val="00E50D24"/>
    <w:rsid w:val="00E529B7"/>
    <w:rsid w:val="00E5727A"/>
    <w:rsid w:val="00E57377"/>
    <w:rsid w:val="00E7084B"/>
    <w:rsid w:val="00E721BE"/>
    <w:rsid w:val="00E779FD"/>
    <w:rsid w:val="00E77DDA"/>
    <w:rsid w:val="00E837E3"/>
    <w:rsid w:val="00E95300"/>
    <w:rsid w:val="00E957CF"/>
    <w:rsid w:val="00E95D63"/>
    <w:rsid w:val="00E975A8"/>
    <w:rsid w:val="00EA1B09"/>
    <w:rsid w:val="00EA2A84"/>
    <w:rsid w:val="00EA3F80"/>
    <w:rsid w:val="00EA58ED"/>
    <w:rsid w:val="00EB00CB"/>
    <w:rsid w:val="00EB1ABA"/>
    <w:rsid w:val="00EB7FD9"/>
    <w:rsid w:val="00EC1618"/>
    <w:rsid w:val="00EC3540"/>
    <w:rsid w:val="00EC6EA0"/>
    <w:rsid w:val="00EC7632"/>
    <w:rsid w:val="00ED005A"/>
    <w:rsid w:val="00ED0205"/>
    <w:rsid w:val="00ED2DC6"/>
    <w:rsid w:val="00ED4575"/>
    <w:rsid w:val="00EE2E78"/>
    <w:rsid w:val="00EF254E"/>
    <w:rsid w:val="00EF2C28"/>
    <w:rsid w:val="00EF697E"/>
    <w:rsid w:val="00F06803"/>
    <w:rsid w:val="00F06FE5"/>
    <w:rsid w:val="00F07532"/>
    <w:rsid w:val="00F104D9"/>
    <w:rsid w:val="00F26921"/>
    <w:rsid w:val="00F27C47"/>
    <w:rsid w:val="00F31A95"/>
    <w:rsid w:val="00F34EFA"/>
    <w:rsid w:val="00F353DF"/>
    <w:rsid w:val="00F44DBF"/>
    <w:rsid w:val="00F45600"/>
    <w:rsid w:val="00F47692"/>
    <w:rsid w:val="00F52E26"/>
    <w:rsid w:val="00F55E9C"/>
    <w:rsid w:val="00F57680"/>
    <w:rsid w:val="00F578DC"/>
    <w:rsid w:val="00F62A85"/>
    <w:rsid w:val="00F64451"/>
    <w:rsid w:val="00F65047"/>
    <w:rsid w:val="00F651EC"/>
    <w:rsid w:val="00F700D0"/>
    <w:rsid w:val="00F716AA"/>
    <w:rsid w:val="00F76238"/>
    <w:rsid w:val="00F763CC"/>
    <w:rsid w:val="00F8231B"/>
    <w:rsid w:val="00F90C8A"/>
    <w:rsid w:val="00F95B68"/>
    <w:rsid w:val="00F960EE"/>
    <w:rsid w:val="00F9622F"/>
    <w:rsid w:val="00FA0363"/>
    <w:rsid w:val="00FA3907"/>
    <w:rsid w:val="00FA3935"/>
    <w:rsid w:val="00FA42F7"/>
    <w:rsid w:val="00FA4589"/>
    <w:rsid w:val="00FB4EF9"/>
    <w:rsid w:val="00FB50A9"/>
    <w:rsid w:val="00FB7500"/>
    <w:rsid w:val="00FC1079"/>
    <w:rsid w:val="00FD16D9"/>
    <w:rsid w:val="00FD181E"/>
    <w:rsid w:val="00FD3104"/>
    <w:rsid w:val="00FD6A5C"/>
    <w:rsid w:val="00FE11B2"/>
    <w:rsid w:val="00FE5E59"/>
    <w:rsid w:val="00FF133E"/>
    <w:rsid w:val="00FF21E7"/>
    <w:rsid w:val="00FF3E16"/>
    <w:rsid w:val="00FF4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39B1E4"/>
  <w14:defaultImageDpi w14:val="32767"/>
  <w15:docId w15:val="{ED0AD55B-FC0E-41BF-891C-E34C4C99A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DejaVu Sans"/>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B760E"/>
  </w:style>
  <w:style w:type="paragraph" w:styleId="Heading1">
    <w:name w:val="heading 1"/>
    <w:basedOn w:val="Normal"/>
    <w:next w:val="Normal"/>
    <w:link w:val="Heading1Char"/>
    <w:uiPriority w:val="9"/>
    <w:qFormat/>
    <w:rsid w:val="00DE24D6"/>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Heading"/>
    <w:next w:val="Textbody"/>
    <w:uiPriority w:val="9"/>
    <w:unhideWhenUsed/>
    <w:qFormat/>
    <w:rsid w:val="00092C6C"/>
    <w:pPr>
      <w:spacing w:before="200"/>
      <w:outlineLvl w:val="1"/>
    </w:pPr>
    <w:rPr>
      <w:rFonts w:ascii="Times New Roman" w:eastAsia="DejaVu Sans" w:hAnsi="Times New Roman" w:cs="DejaVu Sans"/>
      <w:bCs/>
      <w:i/>
      <w:sz w:val="24"/>
      <w:szCs w:val="36"/>
    </w:rPr>
  </w:style>
  <w:style w:type="paragraph" w:styleId="Heading3">
    <w:name w:val="heading 3"/>
    <w:basedOn w:val="Normal"/>
    <w:next w:val="Normal"/>
    <w:link w:val="Heading3Char"/>
    <w:uiPriority w:val="9"/>
    <w:unhideWhenUsed/>
    <w:qFormat/>
    <w:rsid w:val="00833691"/>
    <w:pPr>
      <w:keepNext/>
      <w:keepLines/>
      <w:spacing w:before="4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pPr>
      <w:widowControl/>
      <w:spacing w:after="160" w:line="259"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rPr>
  </w:style>
  <w:style w:type="paragraph" w:customStyle="1" w:styleId="HeaderandFooter">
    <w:name w:val="Header and Footer"/>
    <w:basedOn w:val="Standard"/>
  </w:style>
  <w:style w:type="paragraph" w:styleId="Header">
    <w:name w:val="header"/>
    <w:basedOn w:val="Standard"/>
    <w:pPr>
      <w:tabs>
        <w:tab w:val="center" w:pos="4680"/>
        <w:tab w:val="right" w:pos="9360"/>
      </w:tabs>
      <w:spacing w:after="0" w:line="240" w:lineRule="auto"/>
    </w:pPr>
  </w:style>
  <w:style w:type="paragraph" w:styleId="Footer">
    <w:name w:val="footer"/>
    <w:basedOn w:val="Standard"/>
    <w:pPr>
      <w:tabs>
        <w:tab w:val="center" w:pos="4680"/>
        <w:tab w:val="right" w:pos="9360"/>
      </w:tabs>
      <w:spacing w:after="0" w:line="240" w:lineRule="auto"/>
    </w:pPr>
  </w:style>
  <w:style w:type="paragraph" w:styleId="ListParagraph">
    <w:name w:val="List Paragraph"/>
    <w:basedOn w:val="Standard"/>
    <w:pPr>
      <w:ind w:left="720"/>
    </w:pPr>
  </w:style>
  <w:style w:type="paragraph" w:styleId="Bibliography">
    <w:name w:val="Bibliography"/>
    <w:basedOn w:val="Standard"/>
    <w:next w:val="Standard"/>
    <w:pPr>
      <w:tabs>
        <w:tab w:val="left" w:pos="1008"/>
      </w:tabs>
      <w:spacing w:after="0" w:line="240" w:lineRule="auto"/>
      <w:ind w:left="504" w:hanging="504"/>
    </w:pPr>
  </w:style>
  <w:style w:type="paragraph" w:customStyle="1" w:styleId="msonormal0">
    <w:name w:val="msonormal"/>
    <w:basedOn w:val="Standard"/>
    <w:pPr>
      <w:suppressAutoHyphens w:val="0"/>
      <w:spacing w:before="280" w:after="280" w:line="240" w:lineRule="auto"/>
    </w:pPr>
    <w:rPr>
      <w:rFonts w:ascii="Times New Roman" w:eastAsia="Times New Roman" w:hAnsi="Times New Roman" w:cs="Times New Roman"/>
      <w:sz w:val="24"/>
      <w:szCs w:val="24"/>
    </w:rPr>
  </w:style>
  <w:style w:type="paragraph" w:styleId="CommentText">
    <w:name w:val="annotation text"/>
    <w:basedOn w:val="Standard"/>
    <w:pPr>
      <w:spacing w:line="240" w:lineRule="auto"/>
    </w:pPr>
    <w:rPr>
      <w:szCs w:val="20"/>
    </w:rPr>
  </w:style>
  <w:style w:type="paragraph" w:styleId="CommentSubject">
    <w:name w:val="annotation subject"/>
    <w:basedOn w:val="CommentText"/>
    <w:next w:val="CommentText"/>
    <w:rPr>
      <w:b/>
      <w:bCs/>
    </w:rPr>
  </w:style>
  <w:style w:type="paragraph" w:styleId="BalloonText">
    <w:name w:val="Balloon Text"/>
    <w:basedOn w:val="Standard"/>
    <w:pPr>
      <w:spacing w:after="0" w:line="240" w:lineRule="auto"/>
    </w:pPr>
    <w:rPr>
      <w:rFonts w:ascii="Times New Roman" w:eastAsia="Times New Roman" w:hAnsi="Times New Roman" w:cs="Times New Roman"/>
      <w:sz w:val="18"/>
      <w:szCs w:val="18"/>
    </w:rPr>
  </w:style>
  <w:style w:type="paragraph" w:customStyle="1" w:styleId="BATitle">
    <w:name w:val="BA_Title"/>
    <w:basedOn w:val="Standard"/>
    <w:next w:val="BBAuthorName"/>
    <w:pPr>
      <w:spacing w:before="1400" w:after="180"/>
    </w:pPr>
    <w:rPr>
      <w:rFonts w:ascii="Myriad Pro Light" w:eastAsia="Myriad Pro Light" w:hAnsi="Myriad Pro Light" w:cs="Myriad Pro Light"/>
      <w:b/>
      <w:kern w:val="3"/>
      <w:sz w:val="34"/>
    </w:rPr>
  </w:style>
  <w:style w:type="paragraph" w:customStyle="1" w:styleId="BBAuthorName">
    <w:name w:val="BB_Author_Name"/>
    <w:basedOn w:val="Standard"/>
    <w:next w:val="BCAuthorAddress"/>
    <w:pPr>
      <w:spacing w:after="180"/>
    </w:pPr>
    <w:rPr>
      <w:rFonts w:ascii="Arno Pro" w:eastAsia="Arno Pro" w:hAnsi="Arno Pro" w:cs="Arno Pro"/>
      <w:kern w:val="3"/>
    </w:rPr>
  </w:style>
  <w:style w:type="paragraph" w:customStyle="1" w:styleId="BCAuthorAddress">
    <w:name w:val="BC_Author_Address"/>
    <w:basedOn w:val="Standard"/>
    <w:next w:val="BIEmailAddress"/>
    <w:pPr>
      <w:spacing w:after="60"/>
    </w:pPr>
    <w:rPr>
      <w:rFonts w:ascii="Arno Pro" w:eastAsia="Arno Pro" w:hAnsi="Arno Pro" w:cs="Arno Pro"/>
      <w:kern w:val="3"/>
    </w:rPr>
  </w:style>
  <w:style w:type="paragraph" w:customStyle="1" w:styleId="BIEmailAddress">
    <w:name w:val="BI_Email_Address"/>
    <w:basedOn w:val="Standard"/>
    <w:next w:val="AIReceivedDate"/>
    <w:pPr>
      <w:spacing w:after="100"/>
    </w:pPr>
    <w:rPr>
      <w:rFonts w:ascii="Arno Pro" w:eastAsia="Arno Pro" w:hAnsi="Arno Pro" w:cs="Arno Pro"/>
      <w:sz w:val="18"/>
    </w:rPr>
  </w:style>
  <w:style w:type="paragraph" w:customStyle="1" w:styleId="AIReceivedDate">
    <w:name w:val="AI_Received_Date"/>
    <w:basedOn w:val="Standard"/>
    <w:next w:val="Standard"/>
    <w:pPr>
      <w:spacing w:after="100"/>
    </w:pPr>
    <w:rPr>
      <w:rFonts w:ascii="Arno Pro" w:eastAsia="Arno Pro" w:hAnsi="Arno Pro" w:cs="Arno Pro"/>
      <w:sz w:val="18"/>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character" w:styleId="HTMLSample">
    <w:name w:val="HTML Sample"/>
    <w:basedOn w:val="DefaultParagraphFont"/>
    <w:rPr>
      <w:rFonts w:ascii="Courier New" w:eastAsia="Times New Roman" w:hAnsi="Courier New" w:cs="Courier New"/>
    </w:rPr>
  </w:style>
  <w:style w:type="character" w:styleId="PlaceholderText">
    <w:name w:val="Placeholder Text"/>
    <w:basedOn w:val="DefaultParagraphFont"/>
    <w:rPr>
      <w:color w:val="808080"/>
    </w:rPr>
  </w:style>
  <w:style w:type="character" w:customStyle="1" w:styleId="VisitedInternetLink">
    <w:name w:val="Visited Internet Link"/>
    <w:basedOn w:val="DefaultParagraphFont"/>
    <w:rPr>
      <w:color w:val="954F72"/>
      <w:u w:val="single"/>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Times New Roman" w:eastAsia="Times New Roman" w:hAnsi="Times New Roman" w:cs="Times New Roman"/>
      <w:sz w:val="18"/>
      <w:szCs w:val="18"/>
    </w:rPr>
  </w:style>
  <w:style w:type="character" w:customStyle="1" w:styleId="StrongEmphasis">
    <w:name w:val="Strong Emphasis"/>
    <w:rPr>
      <w:b/>
      <w:bCs/>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paragraph" w:styleId="NormalWeb">
    <w:name w:val="Normal (Web)"/>
    <w:basedOn w:val="Normal"/>
    <w:uiPriority w:val="99"/>
    <w:semiHidden/>
    <w:unhideWhenUsed/>
    <w:rsid w:val="00B44322"/>
    <w:rPr>
      <w:rFonts w:ascii="Times New Roman" w:hAnsi="Times New Roman" w:cs="Times New Roman"/>
      <w:sz w:val="24"/>
      <w:szCs w:val="24"/>
    </w:rPr>
  </w:style>
  <w:style w:type="paragraph" w:customStyle="1" w:styleId="Chapter">
    <w:name w:val="Chapter"/>
    <w:basedOn w:val="Standard"/>
    <w:link w:val="ChapterChar"/>
    <w:rsid w:val="00DE24D6"/>
    <w:pPr>
      <w:pageBreakBefore/>
    </w:pPr>
    <w:rPr>
      <w:rFonts w:ascii="Times New Roman" w:hAnsi="Times New Roman" w:cs="Times New Roman"/>
      <w:b/>
      <w:bCs/>
      <w:sz w:val="28"/>
      <w:szCs w:val="28"/>
    </w:rPr>
  </w:style>
  <w:style w:type="character" w:customStyle="1" w:styleId="Heading1Char">
    <w:name w:val="Heading 1 Char"/>
    <w:basedOn w:val="DefaultParagraphFont"/>
    <w:link w:val="Heading1"/>
    <w:uiPriority w:val="9"/>
    <w:rsid w:val="00DE24D6"/>
    <w:rPr>
      <w:rFonts w:ascii="Times New Roman" w:eastAsiaTheme="majorEastAsia" w:hAnsi="Times New Roman" w:cstheme="majorBidi"/>
      <w:b/>
      <w:color w:val="000000" w:themeColor="text1"/>
      <w:sz w:val="32"/>
      <w:szCs w:val="32"/>
    </w:rPr>
  </w:style>
  <w:style w:type="character" w:customStyle="1" w:styleId="StandardChar">
    <w:name w:val="Standard Char"/>
    <w:basedOn w:val="DefaultParagraphFont"/>
    <w:link w:val="Standard"/>
    <w:rsid w:val="00DE24D6"/>
  </w:style>
  <w:style w:type="character" w:customStyle="1" w:styleId="ChapterChar">
    <w:name w:val="Chapter Char"/>
    <w:basedOn w:val="StandardChar"/>
    <w:link w:val="Chapter"/>
    <w:rsid w:val="00DE24D6"/>
    <w:rPr>
      <w:rFonts w:ascii="Times New Roman" w:hAnsi="Times New Roman" w:cs="Times New Roman"/>
      <w:b/>
      <w:bCs/>
      <w:sz w:val="28"/>
      <w:szCs w:val="28"/>
    </w:rPr>
  </w:style>
  <w:style w:type="paragraph" w:styleId="TOC1">
    <w:name w:val="toc 1"/>
    <w:basedOn w:val="Normal"/>
    <w:next w:val="Normal"/>
    <w:autoRedefine/>
    <w:uiPriority w:val="39"/>
    <w:unhideWhenUsed/>
    <w:rsid w:val="00B24EC7"/>
    <w:pPr>
      <w:tabs>
        <w:tab w:val="right" w:leader="dot" w:pos="9350"/>
      </w:tabs>
      <w:spacing w:after="100"/>
    </w:pPr>
  </w:style>
  <w:style w:type="paragraph" w:styleId="TOCHeading">
    <w:name w:val="TOC Heading"/>
    <w:basedOn w:val="Heading1"/>
    <w:next w:val="Normal"/>
    <w:uiPriority w:val="39"/>
    <w:unhideWhenUsed/>
    <w:rsid w:val="00DE24D6"/>
    <w:pPr>
      <w:widowControl/>
      <w:suppressAutoHyphens w:val="0"/>
      <w:autoSpaceDN/>
      <w:spacing w:line="259" w:lineRule="auto"/>
      <w:textAlignment w:val="auto"/>
      <w:outlineLvl w:val="9"/>
    </w:pPr>
  </w:style>
  <w:style w:type="character" w:styleId="Hyperlink">
    <w:name w:val="Hyperlink"/>
    <w:basedOn w:val="DefaultParagraphFont"/>
    <w:uiPriority w:val="99"/>
    <w:unhideWhenUsed/>
    <w:rsid w:val="00DE24D6"/>
    <w:rPr>
      <w:color w:val="0563C1" w:themeColor="hyperlink"/>
      <w:u w:val="single"/>
    </w:rPr>
  </w:style>
  <w:style w:type="paragraph" w:styleId="TOC2">
    <w:name w:val="toc 2"/>
    <w:basedOn w:val="Normal"/>
    <w:next w:val="Normal"/>
    <w:autoRedefine/>
    <w:uiPriority w:val="39"/>
    <w:unhideWhenUsed/>
    <w:rsid w:val="00DD371B"/>
    <w:pPr>
      <w:spacing w:after="100"/>
      <w:ind w:left="220"/>
    </w:pPr>
  </w:style>
  <w:style w:type="character" w:customStyle="1" w:styleId="NumberingSymbols">
    <w:name w:val="Numbering Symbols"/>
    <w:rsid w:val="00C16211"/>
  </w:style>
  <w:style w:type="paragraph" w:customStyle="1" w:styleId="VDTableTitle">
    <w:name w:val="VD_Table_Title"/>
    <w:basedOn w:val="Normal"/>
    <w:next w:val="Normal"/>
    <w:rsid w:val="00C16211"/>
    <w:pPr>
      <w:widowControl/>
      <w:suppressAutoHyphens w:val="0"/>
      <w:autoSpaceDN/>
      <w:textAlignment w:val="auto"/>
    </w:pPr>
    <w:rPr>
      <w:rFonts w:ascii="Arno Pro" w:eastAsia="Arno Pro" w:hAnsi="Arno Pro" w:cs="Arno Pro"/>
      <w:b/>
      <w:kern w:val="2"/>
      <w:sz w:val="16"/>
      <w:szCs w:val="16"/>
      <w:lang w:eastAsia="zh-CN" w:bidi="hi-IN"/>
    </w:rPr>
  </w:style>
  <w:style w:type="paragraph" w:customStyle="1" w:styleId="Style1">
    <w:name w:val="Style1"/>
    <w:basedOn w:val="Standard"/>
    <w:link w:val="Style1Char"/>
    <w:rsid w:val="00833691"/>
    <w:rPr>
      <w:noProof/>
    </w:rPr>
  </w:style>
  <w:style w:type="character" w:customStyle="1" w:styleId="Heading3Char">
    <w:name w:val="Heading 3 Char"/>
    <w:basedOn w:val="DefaultParagraphFont"/>
    <w:link w:val="Heading3"/>
    <w:uiPriority w:val="9"/>
    <w:rsid w:val="00833691"/>
    <w:rPr>
      <w:rFonts w:ascii="Arial" w:eastAsiaTheme="majorEastAsia" w:hAnsi="Arial" w:cstheme="majorBidi"/>
      <w:b/>
      <w:color w:val="000000" w:themeColor="text1"/>
      <w:sz w:val="20"/>
      <w:szCs w:val="24"/>
    </w:rPr>
  </w:style>
  <w:style w:type="character" w:customStyle="1" w:styleId="Style1Char">
    <w:name w:val="Style1 Char"/>
    <w:basedOn w:val="StandardChar"/>
    <w:link w:val="Style1"/>
    <w:rsid w:val="00833691"/>
    <w:rPr>
      <w:noProof/>
    </w:rPr>
  </w:style>
  <w:style w:type="paragraph" w:styleId="TOC3">
    <w:name w:val="toc 3"/>
    <w:basedOn w:val="Normal"/>
    <w:next w:val="Normal"/>
    <w:autoRedefine/>
    <w:uiPriority w:val="39"/>
    <w:unhideWhenUsed/>
    <w:rsid w:val="00634B25"/>
    <w:pPr>
      <w:tabs>
        <w:tab w:val="right" w:leader="dot" w:pos="9350"/>
      </w:tabs>
      <w:spacing w:after="100"/>
      <w:ind w:left="440"/>
    </w:pPr>
  </w:style>
  <w:style w:type="character" w:styleId="SubtleEmphasis">
    <w:name w:val="Subtle Emphasis"/>
    <w:basedOn w:val="DefaultParagraphFont"/>
    <w:uiPriority w:val="19"/>
    <w:rsid w:val="00D54573"/>
    <w:rPr>
      <w:i/>
      <w:iCs/>
      <w:color w:val="404040" w:themeColor="text1" w:themeTint="BF"/>
    </w:rPr>
  </w:style>
  <w:style w:type="paragraph" w:styleId="Revision">
    <w:name w:val="Revision"/>
    <w:hidden/>
    <w:uiPriority w:val="99"/>
    <w:semiHidden/>
    <w:rsid w:val="004D5418"/>
    <w:pPr>
      <w:widowControl/>
      <w:suppressAutoHyphens w:val="0"/>
      <w:autoSpaceDN/>
      <w:textAlignment w:val="auto"/>
    </w:pPr>
  </w:style>
  <w:style w:type="character" w:customStyle="1" w:styleId="html-italic">
    <w:name w:val="html-italic"/>
    <w:basedOn w:val="DefaultParagraphFont"/>
    <w:rsid w:val="004D5418"/>
  </w:style>
  <w:style w:type="character" w:customStyle="1" w:styleId="mn">
    <w:name w:val="mn"/>
    <w:basedOn w:val="DefaultParagraphFont"/>
    <w:rsid w:val="004D5418"/>
  </w:style>
  <w:style w:type="character" w:customStyle="1" w:styleId="mtext">
    <w:name w:val="mtext"/>
    <w:basedOn w:val="DefaultParagraphFont"/>
    <w:rsid w:val="004D5418"/>
  </w:style>
  <w:style w:type="character" w:customStyle="1" w:styleId="mo">
    <w:name w:val="mo"/>
    <w:basedOn w:val="DefaultParagraphFont"/>
    <w:rsid w:val="004D5418"/>
  </w:style>
  <w:style w:type="character" w:customStyle="1" w:styleId="mi">
    <w:name w:val="mi"/>
    <w:basedOn w:val="DefaultParagraphFont"/>
    <w:rsid w:val="004D5418"/>
  </w:style>
  <w:style w:type="character" w:customStyle="1" w:styleId="docsum-authors">
    <w:name w:val="docsum-authors"/>
    <w:basedOn w:val="DefaultParagraphFont"/>
    <w:rsid w:val="00DF5371"/>
  </w:style>
  <w:style w:type="character" w:customStyle="1" w:styleId="docsum-journal-citation">
    <w:name w:val="docsum-journal-citation"/>
    <w:basedOn w:val="DefaultParagraphFont"/>
    <w:rsid w:val="00DF5371"/>
  </w:style>
  <w:style w:type="character" w:customStyle="1" w:styleId="BDAbstractTitleChar">
    <w:name w:val="BD_Abstract_Title Char"/>
    <w:qFormat/>
    <w:rsid w:val="00081307"/>
    <w:rPr>
      <w:rFonts w:ascii="Arno Pro" w:eastAsia="Arno Pro" w:hAnsi="Arno Pro" w:cs="Arno Pro"/>
      <w:b/>
      <w:kern w:val="2"/>
      <w:sz w:val="19"/>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30201">
      <w:bodyDiv w:val="1"/>
      <w:marLeft w:val="0"/>
      <w:marRight w:val="0"/>
      <w:marTop w:val="0"/>
      <w:marBottom w:val="0"/>
      <w:divBdr>
        <w:top w:val="none" w:sz="0" w:space="0" w:color="auto"/>
        <w:left w:val="none" w:sz="0" w:space="0" w:color="auto"/>
        <w:bottom w:val="none" w:sz="0" w:space="0" w:color="auto"/>
        <w:right w:val="none" w:sz="0" w:space="0" w:color="auto"/>
      </w:divBdr>
    </w:div>
    <w:div w:id="320931645">
      <w:bodyDiv w:val="1"/>
      <w:marLeft w:val="0"/>
      <w:marRight w:val="0"/>
      <w:marTop w:val="0"/>
      <w:marBottom w:val="0"/>
      <w:divBdr>
        <w:top w:val="none" w:sz="0" w:space="0" w:color="auto"/>
        <w:left w:val="none" w:sz="0" w:space="0" w:color="auto"/>
        <w:bottom w:val="none" w:sz="0" w:space="0" w:color="auto"/>
        <w:right w:val="none" w:sz="0" w:space="0" w:color="auto"/>
      </w:divBdr>
    </w:div>
    <w:div w:id="659890962">
      <w:bodyDiv w:val="1"/>
      <w:marLeft w:val="0"/>
      <w:marRight w:val="0"/>
      <w:marTop w:val="0"/>
      <w:marBottom w:val="0"/>
      <w:divBdr>
        <w:top w:val="none" w:sz="0" w:space="0" w:color="auto"/>
        <w:left w:val="none" w:sz="0" w:space="0" w:color="auto"/>
        <w:bottom w:val="none" w:sz="0" w:space="0" w:color="auto"/>
        <w:right w:val="none" w:sz="0" w:space="0" w:color="auto"/>
      </w:divBdr>
    </w:div>
    <w:div w:id="754285571">
      <w:bodyDiv w:val="1"/>
      <w:marLeft w:val="0"/>
      <w:marRight w:val="0"/>
      <w:marTop w:val="0"/>
      <w:marBottom w:val="0"/>
      <w:divBdr>
        <w:top w:val="none" w:sz="0" w:space="0" w:color="auto"/>
        <w:left w:val="none" w:sz="0" w:space="0" w:color="auto"/>
        <w:bottom w:val="none" w:sz="0" w:space="0" w:color="auto"/>
        <w:right w:val="none" w:sz="0" w:space="0" w:color="auto"/>
      </w:divBdr>
    </w:div>
    <w:div w:id="1452630822">
      <w:bodyDiv w:val="1"/>
      <w:marLeft w:val="0"/>
      <w:marRight w:val="0"/>
      <w:marTop w:val="0"/>
      <w:marBottom w:val="0"/>
      <w:divBdr>
        <w:top w:val="none" w:sz="0" w:space="0" w:color="auto"/>
        <w:left w:val="none" w:sz="0" w:space="0" w:color="auto"/>
        <w:bottom w:val="none" w:sz="0" w:space="0" w:color="auto"/>
        <w:right w:val="none" w:sz="0" w:space="0" w:color="auto"/>
      </w:divBdr>
      <w:divsChild>
        <w:div w:id="1302155705">
          <w:marLeft w:val="0"/>
          <w:marRight w:val="0"/>
          <w:marTop w:val="0"/>
          <w:marBottom w:val="0"/>
          <w:divBdr>
            <w:top w:val="none" w:sz="0" w:space="0" w:color="auto"/>
            <w:left w:val="none" w:sz="0" w:space="0" w:color="auto"/>
            <w:bottom w:val="none" w:sz="0" w:space="0" w:color="auto"/>
            <w:right w:val="none" w:sz="0" w:space="0" w:color="auto"/>
          </w:divBdr>
        </w:div>
      </w:divsChild>
    </w:div>
    <w:div w:id="1729763748">
      <w:bodyDiv w:val="1"/>
      <w:marLeft w:val="0"/>
      <w:marRight w:val="0"/>
      <w:marTop w:val="0"/>
      <w:marBottom w:val="0"/>
      <w:divBdr>
        <w:top w:val="none" w:sz="0" w:space="0" w:color="auto"/>
        <w:left w:val="none" w:sz="0" w:space="0" w:color="auto"/>
        <w:bottom w:val="none" w:sz="0" w:space="0" w:color="auto"/>
        <w:right w:val="none" w:sz="0" w:space="0" w:color="auto"/>
      </w:divBdr>
    </w:div>
    <w:div w:id="1801263444">
      <w:bodyDiv w:val="1"/>
      <w:marLeft w:val="0"/>
      <w:marRight w:val="0"/>
      <w:marTop w:val="0"/>
      <w:marBottom w:val="0"/>
      <w:divBdr>
        <w:top w:val="none" w:sz="0" w:space="0" w:color="auto"/>
        <w:left w:val="none" w:sz="0" w:space="0" w:color="auto"/>
        <w:bottom w:val="none" w:sz="0" w:space="0" w:color="auto"/>
        <w:right w:val="none" w:sz="0" w:space="0" w:color="auto"/>
      </w:divBdr>
    </w:div>
    <w:div w:id="1858619647">
      <w:bodyDiv w:val="1"/>
      <w:marLeft w:val="0"/>
      <w:marRight w:val="0"/>
      <w:marTop w:val="0"/>
      <w:marBottom w:val="0"/>
      <w:divBdr>
        <w:top w:val="none" w:sz="0" w:space="0" w:color="auto"/>
        <w:left w:val="none" w:sz="0" w:space="0" w:color="auto"/>
        <w:bottom w:val="none" w:sz="0" w:space="0" w:color="auto"/>
        <w:right w:val="none" w:sz="0" w:space="0" w:color="auto"/>
      </w:divBdr>
    </w:div>
    <w:div w:id="1955820243">
      <w:bodyDiv w:val="1"/>
      <w:marLeft w:val="0"/>
      <w:marRight w:val="0"/>
      <w:marTop w:val="0"/>
      <w:marBottom w:val="0"/>
      <w:divBdr>
        <w:top w:val="none" w:sz="0" w:space="0" w:color="auto"/>
        <w:left w:val="none" w:sz="0" w:space="0" w:color="auto"/>
        <w:bottom w:val="none" w:sz="0" w:space="0" w:color="auto"/>
        <w:right w:val="none" w:sz="0" w:space="0" w:color="auto"/>
      </w:divBdr>
    </w:div>
    <w:div w:id="20403557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D49F2-CE97-BD42-9917-DFAF52EC2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 Jacob Philip</dc:creator>
  <cp:keywords/>
  <dc:description/>
  <cp:lastModifiedBy>Sieg, Jacob Philip</cp:lastModifiedBy>
  <cp:revision>2</cp:revision>
  <cp:lastPrinted>2022-09-23T21:19:00Z</cp:lastPrinted>
  <dcterms:created xsi:type="dcterms:W3CDTF">2022-10-18T19:42:00Z</dcterms:created>
  <dcterms:modified xsi:type="dcterms:W3CDTF">2022-10-18T19:42:00Z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zotero-version="6.0.13"&gt;&lt;session id="HFQM1685"/&gt;&lt;style id="http://www.zotero.org/styles/american-chemical-society" hasBibliography="1" bibliographyStyleHasBeenSet="1"/&gt;&lt;prefs&gt;&lt;pref name="fieldType" value="Field"/&gt;&lt;pref name="automat</vt:lpwstr>
  </property>
  <property fmtid="{D5CDD505-2E9C-101B-9397-08002B2CF9AE}" pid="9" name="ZOTERO_PREF_2">
    <vt:lpwstr>icJournalAbbreviations" value="true"/&gt;&lt;pref name="dontAskDelayCitationUpdates" value="true"/&gt;&lt;/prefs&gt;&lt;/data&gt;</vt:lpwstr>
  </property>
</Properties>
</file>