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777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F</w:t>
      </w:r>
      <w:r>
        <w:rPr>
          <w:rFonts w:ascii="arial" w:hAnsi="arial"/>
          <w:b/>
          <w:bCs/>
        </w:rPr>
        <w:t>igure 1</w:t>
      </w:r>
      <w:r>
        <w:rPr>
          <w:rFonts w:ascii="arial" w:hAnsi="arial"/>
          <w:b w:val="false"/>
          <w:bCs w:val="false"/>
        </w:rPr>
        <w:t xml:space="preserve">  </w:t>
      </w:r>
      <w:r>
        <w:rPr>
          <w:rFonts w:eastAsia="Noto Serif CJK SC" w:cs="Lohit Devanagari" w:ascii="arial" w:hAnsi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E. coli</w:t>
      </w:r>
      <w:r>
        <w:rPr>
          <w:rFonts w:ascii="arial" w:hAnsi="arial"/>
          <w:b w:val="false"/>
          <w:bCs w:val="false"/>
          <w:i/>
          <w:iCs/>
        </w:rPr>
        <w:t xml:space="preserve"> </w:t>
      </w:r>
      <w:r>
        <w:rPr>
          <w:rFonts w:ascii="arial" w:hAnsi="arial"/>
          <w:b w:val="false"/>
          <w:bCs w:val="false"/>
        </w:rPr>
        <w:t>metabolite and Mg</w:t>
      </w:r>
      <w:r>
        <w:rPr>
          <w:rFonts w:ascii="arial" w:hAnsi="arial"/>
          <w:b w:val="false"/>
          <w:bCs w:val="false"/>
          <w:vertAlign w:val="superscript"/>
        </w:rPr>
        <w:t xml:space="preserve">2+  </w:t>
      </w:r>
      <w:r>
        <w:rPr>
          <w:rFonts w:ascii="arial" w:hAnsi="arial"/>
          <w:b w:val="false"/>
          <w:bCs w:val="false"/>
          <w:position w:val="0"/>
          <w:sz w:val="24"/>
          <w:vertAlign w:val="baseline"/>
        </w:rPr>
        <w:t>mixtures approximate single site binding near 2 mM free Mg</w:t>
      </w:r>
      <w:r>
        <w:rPr>
          <w:rFonts w:ascii="arial" w:hAnsi="arial"/>
          <w:b w:val="false"/>
          <w:bCs w:val="false"/>
          <w:vertAlign w:val="superscript"/>
        </w:rPr>
        <w:t>2+</w:t>
      </w:r>
      <w:r>
        <w:rPr>
          <w:rFonts w:ascii="arial" w:hAnsi="arial"/>
          <w:b w:val="false"/>
          <w:bCs w:val="false"/>
          <w:position w:val="0"/>
          <w:sz w:val="24"/>
          <w:vertAlign w:val="baseline"/>
        </w:rPr>
        <w:t>.</w:t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Figure 2</w:t>
      </w:r>
      <w:r>
        <w:rPr>
          <w:rFonts w:ascii="arial" w:hAnsi="arial"/>
          <w:b w:val="false"/>
          <w:bCs w:val="false"/>
        </w:rPr>
        <w:t xml:space="preserve">  </w:t>
      </w:r>
      <w:r>
        <w:rPr>
          <w:rFonts w:ascii="arial" w:hAnsi="arial"/>
          <w:b w:val="false"/>
          <w:bCs w:val="false"/>
          <w:i/>
          <w:iCs/>
        </w:rPr>
        <w:t xml:space="preserve">E. coli </w:t>
      </w:r>
      <w:r>
        <w:rPr>
          <w:rFonts w:ascii="arial" w:hAnsi="arial"/>
          <w:b w:val="false"/>
          <w:bCs w:val="false"/>
          <w:i w:val="false"/>
          <w:iCs w:val="false"/>
        </w:rPr>
        <w:t>metabolite and Mg</w:t>
      </w:r>
      <w:r>
        <w:rPr>
          <w:rFonts w:ascii="arial" w:hAnsi="arial"/>
          <w:b w:val="false"/>
          <w:bCs w:val="false"/>
          <w:i w:val="false"/>
          <w:iCs w:val="false"/>
          <w:vertAlign w:val="superscript"/>
        </w:rPr>
        <w:t xml:space="preserve">2+  </w:t>
      </w:r>
      <w:r>
        <w:rPr>
          <w:rFonts w:ascii="arial" w:hAnsi="arial"/>
          <w:b w:val="false"/>
          <w:bCs w:val="false"/>
          <w:i w:val="false"/>
          <w:iCs w:val="false"/>
          <w:position w:val="0"/>
          <w:sz w:val="24"/>
          <w:vertAlign w:val="baseline"/>
        </w:rPr>
        <w:t>mixtures stabilize the chemical structure of RNA.</w:t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322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F</w:t>
      </w:r>
      <w:r>
        <w:rPr>
          <w:rFonts w:ascii="arial" w:hAnsi="arial"/>
          <w:b/>
          <w:bCs/>
        </w:rPr>
        <w:t>igure 3</w:t>
      </w:r>
      <w:r>
        <w:rPr>
          <w:rFonts w:ascii="arial" w:hAnsi="arial"/>
          <w:b w:val="false"/>
          <w:bCs w:val="false"/>
        </w:rPr>
        <w:t xml:space="preserve">  </w:t>
      </w:r>
      <w:r>
        <w:rPr>
          <w:rFonts w:ascii="arial" w:hAnsi="arial"/>
          <w:b w:val="false"/>
          <w:bCs w:val="false"/>
          <w:i/>
          <w:iCs/>
        </w:rPr>
        <w:t xml:space="preserve">E. coli </w:t>
      </w:r>
      <w:r>
        <w:rPr>
          <w:rFonts w:ascii="arial" w:hAnsi="arial"/>
          <w:b w:val="false"/>
          <w:bCs w:val="false"/>
          <w:i w:val="false"/>
          <w:iCs w:val="false"/>
        </w:rPr>
        <w:t>metabolite and Mg</w:t>
      </w:r>
      <w:r>
        <w:rPr>
          <w:rFonts w:ascii="arial" w:hAnsi="arial"/>
          <w:b w:val="false"/>
          <w:bCs w:val="false"/>
          <w:i w:val="false"/>
          <w:iCs w:val="false"/>
          <w:vertAlign w:val="superscript"/>
        </w:rPr>
        <w:t xml:space="preserve">2+  </w:t>
      </w:r>
      <w:r>
        <w:rPr>
          <w:rFonts w:ascii="arial" w:hAnsi="arial"/>
          <w:b w:val="false"/>
          <w:bCs w:val="false"/>
          <w:i w:val="false"/>
          <w:iCs w:val="false"/>
          <w:position w:val="0"/>
          <w:sz w:val="24"/>
          <w:vertAlign w:val="baseline"/>
        </w:rPr>
        <w:t>mixtures destabilize RNA secondary structure.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i w:val="false"/>
          <w:iCs w:val="false"/>
          <w:position w:val="0"/>
          <w:sz w:val="24"/>
          <w:vertAlign w:val="baseline"/>
        </w:rPr>
        <w:t xml:space="preserve">Figure 4  </w:t>
      </w:r>
      <w:r>
        <w:rPr>
          <w:rFonts w:ascii="arial" w:hAnsi="arial"/>
          <w:b w:val="false"/>
          <w:bCs w:val="false"/>
          <w:i/>
          <w:iCs/>
          <w:position w:val="0"/>
          <w:sz w:val="24"/>
          <w:vertAlign w:val="baseline"/>
        </w:rPr>
        <w:t xml:space="preserve">E. coli </w:t>
      </w:r>
      <w:r>
        <w:rPr>
          <w:rFonts w:ascii="arial" w:hAnsi="arial"/>
          <w:b w:val="false"/>
          <w:bCs w:val="false"/>
          <w:i w:val="false"/>
          <w:iCs w:val="false"/>
          <w:position w:val="0"/>
          <w:sz w:val="24"/>
          <w:vertAlign w:val="baseline"/>
        </w:rPr>
        <w:t>metabolite and Mg</w:t>
      </w:r>
      <w:r>
        <w:rPr>
          <w:rFonts w:ascii="arial" w:hAnsi="arial"/>
          <w:b w:val="false"/>
          <w:bCs w:val="false"/>
          <w:i w:val="false"/>
          <w:iCs w:val="false"/>
          <w:vertAlign w:val="superscript"/>
        </w:rPr>
        <w:t xml:space="preserve">2+  </w:t>
      </w:r>
      <w:r>
        <w:rPr>
          <w:rFonts w:ascii="arial" w:hAnsi="arial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mixtures </w:t>
      </w:r>
      <w:r>
        <w:rPr>
          <w:rFonts w:eastAsia="Noto Serif CJK SC" w:cs="Lohit Devanagari" w:ascii="arial" w:hAnsi="arial"/>
          <w:b w:val="false"/>
          <w:bCs w:val="false"/>
          <w:i w:val="false"/>
          <w:iCs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>increase functional RNA compactness</w:t>
      </w:r>
      <w:r>
        <w:rPr>
          <w:rFonts w:ascii="arial" w:hAnsi="arial"/>
          <w:b w:val="false"/>
          <w:bCs w:val="false"/>
          <w:i w:val="false"/>
          <w:iCs w:val="false"/>
          <w:position w:val="0"/>
          <w:sz w:val="24"/>
          <w:vertAlign w:val="baseline"/>
        </w:rPr>
        <w:t>.</w:t>
      </w:r>
      <w:r>
        <w:br w:type="page"/>
      </w:r>
    </w:p>
    <w:p>
      <w:pPr>
        <w:pStyle w:val="VDTableTitle"/>
        <w:bidi w:val="0"/>
        <w:jc w:val="left"/>
        <w:rPr>
          <w:rFonts w:eastAsia="Times New Roman" w:cs="Times New Roman"/>
          <w:bCs/>
        </w:rPr>
      </w:pPr>
      <w:r>
        <w:rPr>
          <w:rFonts w:eastAsia="Times New Roman" w:cs="Times New Roman"/>
          <w:bCs/>
        </w:rPr>
        <w:t>Table 1. The top 14 most abundant metabolites that comprise 80% of the E. coli metabolome.</w:t>
      </w:r>
    </w:p>
    <w:tbl>
      <w:tblPr>
        <w:tblW w:w="9253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0"/>
        <w:gridCol w:w="998"/>
        <w:gridCol w:w="3057"/>
        <w:gridCol w:w="2888"/>
      </w:tblGrid>
      <w:tr>
        <w:trPr/>
        <w:tc>
          <w:tcPr>
            <w:tcW w:w="23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Metabolite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Conc.</w:t>
              <w:br/>
              <w:t>(mM)</w:t>
            </w:r>
          </w:p>
        </w:tc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K’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  <w:vertAlign w:val="subscript"/>
              </w:rPr>
              <w:t>D</w:t>
            </w:r>
            <w:r>
              <w:rPr>
                <w:rStyle w:val="DefaultParagraphFont"/>
                <w:rFonts w:ascii="Arial" w:hAnsi="Arial"/>
                <w:bCs/>
                <w:position w:val="-1"/>
                <w:sz w:val="16"/>
                <w:szCs w:val="16"/>
              </w:rPr>
              <w:t xml:space="preserve"> </w:t>
            </w:r>
            <w:r>
              <w:rPr>
                <w:rStyle w:val="DefaultParagraphFont"/>
                <w:rFonts w:ascii="Arial" w:hAnsi="Arial"/>
                <w:bCs/>
                <w:position w:val="-1"/>
                <w:sz w:val="16"/>
                <w:szCs w:val="16"/>
              </w:rPr>
              <w:t>and 95% CI</w:t>
            </w:r>
            <w:r>
              <w:rPr>
                <w:rStyle w:val="DefaultParagraphFont"/>
                <w:rFonts w:ascii="Arial" w:hAnsi="Arial"/>
                <w:bCs/>
                <w:position w:val="-1"/>
                <w:sz w:val="16"/>
                <w:szCs w:val="16"/>
              </w:rPr>
              <w:br/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(mM)</w:t>
            </w:r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Chelation</w:t>
              <w:br/>
              <w:t>stength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top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ATP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9.63</w:t>
            </w:r>
          </w:p>
        </w:tc>
        <w:tc>
          <w:tcPr>
            <w:tcW w:w="30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0.2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 xml:space="preserve">76 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(0.272 to 0.279)</w:t>
            </w:r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Strong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UTP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8.29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0.2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 xml:space="preserve">38 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(0.2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30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 xml:space="preserve"> to 0.2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45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)</w:t>
            </w:r>
          </w:p>
        </w:tc>
        <w:tc>
          <w:tcPr>
            <w:tcW w:w="2888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Strong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GTP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4.87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0.201 (0.195 to 0.208)</w:t>
            </w:r>
          </w:p>
        </w:tc>
        <w:tc>
          <w:tcPr>
            <w:tcW w:w="2888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Strong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dTTP</w:t>
            </w:r>
          </w:p>
        </w:tc>
        <w:tc>
          <w:tcPr>
            <w:tcW w:w="9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4.62</w:t>
            </w:r>
          </w:p>
        </w:tc>
        <w:tc>
          <w:tcPr>
            <w:tcW w:w="30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0.16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0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 xml:space="preserve"> 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(0.153 to 0.166)</w:t>
            </w:r>
          </w:p>
        </w:tc>
        <w:tc>
          <w:tcPr>
            <w:tcW w:w="288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Strong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L-Glutamic acid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96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2888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Glutathione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16.6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2888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Fructose 1,6-BP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15.2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5.</w:t>
            </w:r>
            <w:r>
              <w:rPr>
                <w:rFonts w:ascii="Arial" w:hAnsi="Arial"/>
                <w:bCs/>
                <w:sz w:val="16"/>
                <w:szCs w:val="16"/>
              </w:rPr>
              <w:t>9</w:t>
            </w:r>
            <w:r>
              <w:rPr>
                <w:rFonts w:ascii="Arial" w:hAnsi="Arial"/>
                <w:bCs/>
                <w:sz w:val="16"/>
                <w:szCs w:val="16"/>
              </w:rPr>
              <w:t xml:space="preserve"> 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(5.6 to 6.2)</w:t>
            </w:r>
          </w:p>
        </w:tc>
        <w:tc>
          <w:tcPr>
            <w:tcW w:w="2888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UDP-GlcNAC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9.24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29.0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 xml:space="preserve"> (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28.4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 xml:space="preserve"> to 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29.6</w:t>
            </w: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)</w:t>
            </w:r>
          </w:p>
        </w:tc>
        <w:tc>
          <w:tcPr>
            <w:tcW w:w="2888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Glucose 6-P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7.88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17.3 (16.8 to 17.7)</w:t>
            </w:r>
          </w:p>
        </w:tc>
        <w:tc>
          <w:tcPr>
            <w:tcW w:w="2888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L-Aspartic acid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4.23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2888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L-Valine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4.02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2888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L-Glutamine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3.81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2888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6-P-gluconic acid</w:t>
            </w:r>
          </w:p>
        </w:tc>
        <w:tc>
          <w:tcPr>
            <w:tcW w:w="998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3.77</w:t>
            </w:r>
          </w:p>
        </w:tc>
        <w:tc>
          <w:tcPr>
            <w:tcW w:w="305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14.4 (5.6 to 6.2)</w:t>
            </w:r>
          </w:p>
        </w:tc>
        <w:tc>
          <w:tcPr>
            <w:tcW w:w="2888" w:type="dxa"/>
            <w:tcBorders>
              <w:left w:val="single" w:sz="4" w:space="0" w:color="000000"/>
            </w:tcBorders>
            <w:shd w:fill="A9A9A9" w:val="clear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Pyruvic acid</w:t>
            </w:r>
          </w:p>
        </w:tc>
        <w:tc>
          <w:tcPr>
            <w:tcW w:w="998" w:type="dxa"/>
            <w:tcBorders>
              <w:lef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3.66</w:t>
            </w:r>
          </w:p>
        </w:tc>
        <w:tc>
          <w:tcPr>
            <w:tcW w:w="3057" w:type="dxa"/>
            <w:tcBorders>
              <w:lef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2888" w:type="dxa"/>
            <w:tcBorders>
              <w:lef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644" w:hRule="atLeast"/>
        </w:trPr>
        <w:tc>
          <w:tcPr>
            <w:tcW w:w="2310" w:type="dxa"/>
            <w:tcBorders>
              <w:bottom w:val="single" w:sz="4" w:space="0" w:color="000000"/>
            </w:tcBorders>
            <w:shd w:fill="A9A9A9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Dihydroxyacetone phosphate</w:t>
            </w:r>
          </w:p>
        </w:tc>
        <w:tc>
          <w:tcPr>
            <w:tcW w:w="998" w:type="dxa"/>
            <w:tcBorders>
              <w:left w:val="single" w:sz="4" w:space="0" w:color="000000"/>
              <w:bottom w:val="single" w:sz="4" w:space="0" w:color="000000"/>
            </w:tcBorders>
            <w:shd w:fill="A9A9A9" w:val="clear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3.06</w:t>
            </w:r>
          </w:p>
        </w:tc>
        <w:tc>
          <w:tcPr>
            <w:tcW w:w="3057" w:type="dxa"/>
            <w:tcBorders>
              <w:left w:val="single" w:sz="4" w:space="0" w:color="000000"/>
              <w:bottom w:val="single" w:sz="4" w:space="0" w:color="000000"/>
            </w:tcBorders>
            <w:shd w:fill="A9A9A9" w:val="clear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Style w:val="DefaultParagraphFont"/>
                <w:rFonts w:eastAsia="Noto Serif CJK SC" w:cs="Lohit Devanagari" w:ascii="Arial" w:hAnsi="Arial"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19.7 (19.2 to 20.2)</w:t>
            </w:r>
          </w:p>
        </w:tc>
        <w:tc>
          <w:tcPr>
            <w:tcW w:w="2888" w:type="dxa"/>
            <w:tcBorders>
              <w:left w:val="single" w:sz="4" w:space="0" w:color="000000"/>
              <w:bottom w:val="single" w:sz="4" w:space="0" w:color="000000"/>
            </w:tcBorders>
            <w:shd w:fill="A9A9A9" w:val="clear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</w:tbl>
    <w:p>
      <w:pPr>
        <w:pStyle w:val="VDTableTitle"/>
        <w:bidi w:val="0"/>
        <w:jc w:val="left"/>
        <w:rPr/>
      </w:pPr>
      <w:r>
        <w:rPr>
          <w:rStyle w:val="DefaultParagraphFont"/>
          <w:rFonts w:eastAsia="Times New Roman" w:cs="Times New Roman"/>
          <w:b w:val="false"/>
          <w:position w:val="5"/>
          <w:sz w:val="10"/>
        </w:rPr>
        <w:t>a</w:t>
      </w:r>
      <w:r>
        <w:rPr>
          <w:rStyle w:val="DefaultParagraphFont"/>
          <w:rFonts w:eastAsia="Times New Roman" w:cs="Times New Roman"/>
          <w:b w:val="false"/>
        </w:rPr>
        <w:t xml:space="preserve">Determined at 37 </w:t>
      </w:r>
      <w:r>
        <w:rPr>
          <w:rStyle w:val="DefaultParagraphFont"/>
          <w:rFonts w:eastAsia="Times New Roman" w:cs="Times New Roman" w:ascii="DejaVu Serif" w:hAnsi="DejaVu Serif"/>
          <w:b w:val="false"/>
        </w:rPr>
        <w:t>°</w:t>
      </w:r>
      <w:r>
        <w:rPr>
          <w:rStyle w:val="DefaultParagraphFont"/>
          <w:rFonts w:eastAsia="Times New Roman" w:cs="Times New Roman"/>
          <w:b w:val="false"/>
        </w:rPr>
        <w:t>C with Isothermal titration calorimetry. Error is the propagated standard error in the fit parameter.</w:t>
      </w:r>
    </w:p>
    <w:p>
      <w:pPr>
        <w:pStyle w:val="Normal"/>
        <w:bidi w:val="0"/>
        <w:spacing w:before="0" w:after="0"/>
        <w:jc w:val="left"/>
        <w:rPr/>
      </w:pPr>
      <w:r>
        <w:rPr>
          <w:rStyle w:val="DefaultParagraphFont"/>
          <w:rFonts w:ascii="Arno Pro" w:hAnsi="Arno Pro"/>
          <w:kern w:val="2"/>
          <w:position w:val="5"/>
          <w:sz w:val="16"/>
          <w:szCs w:val="16"/>
        </w:rPr>
        <w:t>b</w:t>
      </w:r>
      <w:r>
        <w:rPr>
          <w:rStyle w:val="DefaultParagraphFont"/>
          <w:rFonts w:ascii="Arno Pro" w:hAnsi="Arno Pro"/>
          <w:kern w:val="2"/>
          <w:sz w:val="16"/>
          <w:szCs w:val="16"/>
        </w:rPr>
        <w:t>Determined by correcting absolute binding constants from the liturature for pH and ionic strength.</w:t>
      </w:r>
    </w:p>
    <w:p>
      <w:pPr>
        <w:pStyle w:val="Normal"/>
        <w:bidi w:val="0"/>
        <w:spacing w:before="0" w:after="72"/>
        <w:jc w:val="left"/>
        <w:rPr/>
      </w:pPr>
      <w:r>
        <w:rPr>
          <w:rStyle w:val="DefaultParagraphFont"/>
          <w:rFonts w:ascii="Arno Pro" w:hAnsi="Arno Pro"/>
          <w:kern w:val="2"/>
          <w:position w:val="5"/>
          <w:sz w:val="16"/>
          <w:szCs w:val="16"/>
        </w:rPr>
        <w:t>c</w:t>
      </w:r>
      <w:r>
        <w:rPr>
          <w:rStyle w:val="DefaultParagraphFont"/>
          <w:rFonts w:ascii="Arno Pro" w:hAnsi="Arno Pro"/>
          <w:kern w:val="2"/>
          <w:sz w:val="16"/>
          <w:szCs w:val="16"/>
        </w:rPr>
        <w:t>metabolites with K</w:t>
      </w:r>
      <w:r>
        <w:rPr>
          <w:rStyle w:val="DefaultParagraphFont"/>
          <w:rFonts w:ascii="Arno Pro" w:hAnsi="Arno Pro"/>
          <w:kern w:val="2"/>
          <w:position w:val="-1"/>
          <w:sz w:val="16"/>
          <w:szCs w:val="16"/>
        </w:rPr>
        <w:t>D</w:t>
      </w:r>
      <w:r>
        <w:rPr>
          <w:rStyle w:val="DefaultParagraphFont"/>
          <w:rFonts w:ascii="Arno Pro" w:hAnsi="Arno Pro"/>
          <w:kern w:val="2"/>
          <w:sz w:val="16"/>
          <w:szCs w:val="16"/>
        </w:rPr>
        <w:t>s for Mg</w:t>
      </w:r>
      <w:r>
        <w:rPr>
          <w:rStyle w:val="DefaultParagraphFont"/>
          <w:rFonts w:ascii="Arno Pro" w:hAnsi="Arno Pro"/>
          <w:kern w:val="2"/>
          <w:position w:val="5"/>
          <w:sz w:val="16"/>
          <w:szCs w:val="16"/>
        </w:rPr>
        <w:t>2+</w:t>
      </w:r>
      <w:r>
        <w:rPr>
          <w:rStyle w:val="DefaultParagraphFont"/>
          <w:rFonts w:ascii="Arno Pro" w:hAnsi="Arno Pro"/>
          <w:kern w:val="2"/>
          <w:sz w:val="16"/>
          <w:szCs w:val="16"/>
        </w:rPr>
        <w:t xml:space="preserve"> less than 2 mM are considered strong Mg</w:t>
      </w:r>
      <w:r>
        <w:rPr>
          <w:rStyle w:val="DefaultParagraphFont"/>
          <w:rFonts w:ascii="Arno Pro" w:hAnsi="Arno Pro"/>
          <w:kern w:val="2"/>
          <w:position w:val="5"/>
          <w:sz w:val="16"/>
          <w:szCs w:val="16"/>
        </w:rPr>
        <w:t>2+</w:t>
      </w:r>
      <w:r>
        <w:rPr>
          <w:rStyle w:val="DefaultParagraphFont"/>
          <w:rFonts w:ascii="Arno Pro" w:hAnsi="Arno Pro"/>
          <w:kern w:val="2"/>
          <w:sz w:val="16"/>
          <w:szCs w:val="16"/>
        </w:rPr>
        <w:t xml:space="preserve"> chelators.</w:t>
      </w:r>
      <w:r>
        <w:br w:type="page"/>
      </w:r>
    </w:p>
    <w:p>
      <w:pPr>
        <w:pStyle w:val="VDTableTitle"/>
        <w:bidi w:val="0"/>
        <w:rPr/>
      </w:pPr>
      <w:r>
        <w:rPr>
          <w:rStyle w:val="DefaultParagraphFont"/>
          <w:rFonts w:eastAsia="Times New Roman" w:cs="Times New Roman"/>
          <w:bCs/>
          <w:sz w:val="19"/>
          <w:szCs w:val="19"/>
        </w:rPr>
        <w:t xml:space="preserve">Table 2. </w:t>
      </w:r>
      <w:r>
        <w:rPr>
          <w:rStyle w:val="DefaultParagraphFont"/>
          <w:rFonts w:eastAsia="Times New Roman" w:cs="Times New Roman"/>
          <w:bCs/>
          <w:sz w:val="19"/>
          <w:szCs w:val="19"/>
        </w:rPr>
        <w:t xml:space="preserve">Stability of RNA helices in </w:t>
      </w:r>
      <w:r>
        <w:rPr>
          <w:rStyle w:val="DefaultParagraphFont"/>
          <w:rFonts w:eastAsia="Times New Roman" w:cs="Times New Roman"/>
          <w:bCs/>
          <w:i/>
          <w:iCs/>
          <w:sz w:val="19"/>
          <w:szCs w:val="19"/>
        </w:rPr>
        <w:t xml:space="preserve">E. coli </w:t>
      </w:r>
      <w:r>
        <w:rPr>
          <w:rStyle w:val="DefaultParagraphFont"/>
          <w:rFonts w:eastAsia="Times New Roman" w:cs="Times New Roman"/>
          <w:b/>
          <w:bCs/>
          <w:i w:val="false"/>
          <w:iCs w:val="false"/>
          <w:color w:val="auto"/>
          <w:kern w:val="2"/>
          <w:sz w:val="19"/>
          <w:szCs w:val="19"/>
          <w:lang w:val="en-US" w:eastAsia="zh-CN" w:bidi="hi-IN"/>
        </w:rPr>
        <w:t>metabolite mixtures.</w:t>
      </w:r>
    </w:p>
    <w:tbl>
      <w:tblPr>
        <w:tblW w:w="999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9"/>
        <w:gridCol w:w="1243"/>
        <w:gridCol w:w="755"/>
        <w:gridCol w:w="999"/>
        <w:gridCol w:w="999"/>
        <w:gridCol w:w="999"/>
        <w:gridCol w:w="999"/>
        <w:gridCol w:w="999"/>
        <w:gridCol w:w="999"/>
        <w:gridCol w:w="1004"/>
      </w:tblGrid>
      <w:tr>
        <w:trPr/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Helix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Sequence (5'-FAM/</w:t>
              <w:br/>
              <w:t>BHQ1-3')</w:t>
            </w:r>
          </w:p>
        </w:tc>
        <w:tc>
          <w:tcPr>
            <w:tcW w:w="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AU</w:t>
            </w:r>
          </w:p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content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Condition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dH (</w:t>
            </w:r>
            <w:r>
              <w:rPr>
                <w:rFonts w:ascii="Arial" w:hAnsi="Arial"/>
                <w:bCs/>
                <w:sz w:val="14"/>
                <w:szCs w:val="14"/>
              </w:rPr>
              <w:t>kcal/mol)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dS </w:t>
            </w:r>
            <w:r>
              <w:rPr>
                <w:rFonts w:ascii="Arial" w:hAnsi="Arial"/>
                <w:bCs/>
                <w:sz w:val="14"/>
                <w:szCs w:val="14"/>
              </w:rPr>
              <w:t>(cal/mol/K)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dG </w:t>
            </w:r>
            <w:r>
              <w:rPr>
                <w:rFonts w:ascii="Arial" w:hAnsi="Arial"/>
                <w:bCs/>
                <w:sz w:val="14"/>
                <w:szCs w:val="14"/>
              </w:rPr>
              <w:t>(kcal/mol)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ddH (</w:t>
            </w:r>
            <w:r>
              <w:rPr>
                <w:rFonts w:ascii="Arial" w:hAnsi="Arial"/>
                <w:bCs/>
                <w:sz w:val="14"/>
                <w:szCs w:val="14"/>
              </w:rPr>
              <w:t>kcal/mol)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ddS </w:t>
            </w:r>
            <w:r>
              <w:rPr>
                <w:rFonts w:ascii="Arial" w:hAnsi="Arial"/>
                <w:bCs/>
                <w:sz w:val="14"/>
                <w:szCs w:val="14"/>
              </w:rPr>
              <w:t>(cal/mol/K)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ddG </w:t>
            </w:r>
            <w:r>
              <w:rPr>
                <w:rFonts w:ascii="Arial" w:hAnsi="Arial"/>
                <w:bCs/>
                <w:sz w:val="14"/>
                <w:szCs w:val="14"/>
              </w:rPr>
              <w:t>(kcal/mol)</w:t>
            </w:r>
          </w:p>
        </w:tc>
      </w:tr>
      <w:tr>
        <w:trPr/>
        <w:tc>
          <w:tcPr>
            <w:tcW w:w="999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F</w:t>
            </w:r>
          </w:p>
        </w:tc>
        <w:tc>
          <w:tcPr>
            <w:tcW w:w="124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CGCAUCCU/AGGAUGCG</w:t>
            </w:r>
          </w:p>
        </w:tc>
        <w:tc>
          <w:tcPr>
            <w:tcW w:w="75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0.38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999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999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G</w:t>
            </w:r>
          </w:p>
        </w:tc>
        <w:tc>
          <w:tcPr>
            <w:tcW w:w="124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CCAUAUCA/UGAUAUGG</w:t>
            </w:r>
          </w:p>
        </w:tc>
        <w:tc>
          <w:tcPr>
            <w:tcW w:w="75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0.63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999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999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H</w:t>
            </w:r>
          </w:p>
        </w:tc>
        <w:tc>
          <w:tcPr>
            <w:tcW w:w="124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CCAUAUUA/UAAUAUGG</w:t>
            </w:r>
          </w:p>
        </w:tc>
        <w:tc>
          <w:tcPr>
            <w:tcW w:w="75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0.75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I</w:t>
            </w:r>
          </w:p>
        </w:tc>
        <w:tc>
          <w:tcPr>
            <w:tcW w:w="124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CGGAUGGC/GCCAUCCG</w:t>
            </w:r>
          </w:p>
        </w:tc>
        <w:tc>
          <w:tcPr>
            <w:tcW w:w="75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0.25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J</w:t>
            </w:r>
          </w:p>
        </w:tc>
        <w:tc>
          <w:tcPr>
            <w:tcW w:w="124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Fonts w:ascii="Arial" w:hAnsi="Arial"/>
                <w:bCs/>
                <w:sz w:val="16"/>
                <w:szCs w:val="16"/>
              </w:rPr>
              <w:t>CGUAUGUA/UACAUACG</w:t>
            </w:r>
          </w:p>
        </w:tc>
        <w:tc>
          <w:tcPr>
            <w:tcW w:w="75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0.63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999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999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4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/>
            </w:r>
          </w:p>
        </w:tc>
        <w:tc>
          <w:tcPr>
            <w:tcW w:w="75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00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</w:tbl>
    <w:p>
      <w:pPr>
        <w:pStyle w:val="Normal"/>
        <w:bidi w:val="0"/>
        <w:spacing w:before="0" w:after="72"/>
        <w:jc w:val="left"/>
        <w:rPr>
          <w:rFonts w:ascii="Arno Pro" w:hAnsi="Arno Pro"/>
          <w:kern w:val="2"/>
          <w:sz w:val="18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no Pro">
    <w:charset w:val="01"/>
    <w:family w:val="roman"/>
    <w:pitch w:val="variable"/>
  </w:font>
  <w:font w:name="arial">
    <w:charset w:val="01"/>
    <w:family w:val="swiss"/>
    <w:pitch w:val="default"/>
  </w:font>
  <w:font w:name="Arial">
    <w:charset w:val="01"/>
    <w:family w:val="roman"/>
    <w:pitch w:val="variable"/>
  </w:font>
  <w:font w:name="DejaVu Serif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VDTableTitle">
    <w:name w:val="VD_Table_Title"/>
    <w:basedOn w:val="Normal"/>
    <w:next w:val="Normal"/>
    <w:qFormat/>
    <w:pPr>
      <w:suppressAutoHyphens w:val="false"/>
      <w:spacing w:before="0" w:after="0"/>
    </w:pPr>
    <w:rPr>
      <w:rFonts w:ascii="Arno Pro" w:hAnsi="Arno Pro" w:eastAsia="Arno Pro" w:cs="Arno Pro"/>
      <w:b/>
      <w:kern w:val="2"/>
      <w:sz w:val="16"/>
      <w:szCs w:val="1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219</TotalTime>
  <Application>LibreOffice/6.4.7.2$Linux_X86_64 LibreOffice_project/40$Build-2</Application>
  <Pages>5</Pages>
  <Words>289</Words>
  <Characters>1515</Characters>
  <CharactersWithSpaces>1700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2022-02-15T13:01:43Z</dcterms:created>
  <dc:creator/>
  <dc:description/>
  <dc:language>en-US</dc:language>
  <cp:lastModifiedBy/>
  <dcterms:modified xsi:type="dcterms:W3CDTF">2022-02-18T15:16:24Z</dcterms:modified>
  <cp:revision>6</cp:revision>
  <dc:subject/>
  <dc:title/>
</cp:coreProperties>
</file>