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MainText"/>
        <w:ind w:left="0" w:right="0" w:hanging="0"/>
        <w:rPr/>
      </w:pPr>
      <w:r>
        <w:rPr/>
        <w:t>Impact</w:t>
      </w:r>
    </w:p>
    <w:p>
      <w:pPr>
        <w:pStyle w:val="TAMainText"/>
        <w:ind w:left="0" w:right="0" w:hanging="0"/>
        <w:rPr/>
      </w:pPr>
      <w:r>
        <w:rPr/>
      </w:r>
    </w:p>
    <w:p>
      <w:pPr>
        <w:pStyle w:val="TAMainText"/>
        <w:ind w:left="0" w:right="0" w:hanging="0"/>
        <w:rPr/>
      </w:pPr>
      <w:r>
        <w:rPr/>
        <w:tab/>
        <w:t xml:space="preserve">1. </w:t>
      </w:r>
      <w:r>
        <w:rPr>
          <w:rStyle w:val="DefaultParagraphFont"/>
          <w:rFonts w:eastAsia="Times New Roman" w:cs="Times New Roman"/>
        </w:rPr>
        <w:t xml:space="preserve">Provide the field with in </w:t>
      </w:r>
      <w:r>
        <w:rPr>
          <w:rStyle w:val="DefaultParagraphFont"/>
          <w:rFonts w:eastAsia="Times New Roman" w:cs="Times New Roman"/>
          <w:i/>
          <w:iCs/>
        </w:rPr>
        <w:t>vivo-like</w:t>
      </w:r>
      <w:r>
        <w:rPr>
          <w:rStyle w:val="DefaultParagraphFont"/>
          <w:rFonts w:eastAsia="Times New Roman" w:cs="Times New Roman"/>
        </w:rPr>
        <w:t xml:space="preserve"> MCM conditions to help understand how RNA folds</w:t>
      </w:r>
      <w:r>
        <w:rPr>
          <w:rStyle w:val="DefaultParagraphFont"/>
          <w:rFonts w:eastAsia="Times New Roman" w:cs="Times New Roman"/>
          <w:i/>
          <w:iCs/>
        </w:rPr>
        <w:t xml:space="preserve"> in vivo</w:t>
      </w:r>
    </w:p>
    <w:p>
      <w:pPr>
        <w:pStyle w:val="TAMainText"/>
        <w:ind w:left="0" w:right="0" w:hanging="0"/>
        <w:rPr/>
      </w:pPr>
      <w:r>
        <w:rPr>
          <w:rStyle w:val="DefaultParagraphFont"/>
          <w:rFonts w:eastAsia="Times New Roman" w:cs="Times New Roman"/>
          <w:i/>
          <w:iCs/>
        </w:rPr>
        <w:tab/>
      </w:r>
      <w:r>
        <w:rPr>
          <w:rStyle w:val="DefaultParagraphFont"/>
          <w:rFonts w:eastAsia="Times New Roman" w:cs="Times New Roman"/>
        </w:rPr>
        <w:t>2. Show changes in global RNA secondary structure stability</w:t>
      </w:r>
    </w:p>
    <w:p>
      <w:pPr>
        <w:pStyle w:val="TAMainText"/>
        <w:rPr/>
      </w:pPr>
      <w:r>
        <w:rPr/>
      </w:r>
    </w:p>
    <w:p>
      <w:pPr>
        <w:pStyle w:val="TAMainText"/>
        <w:ind w:left="0" w:right="0" w:hanging="0"/>
        <w:rPr/>
      </w:pPr>
      <w:r>
        <w:rPr/>
        <w:t>Experiments</w:t>
      </w:r>
    </w:p>
    <w:p>
      <w:pPr>
        <w:pStyle w:val="TAMainText"/>
        <w:ind w:left="0" w:right="0" w:hanging="0"/>
        <w:rPr/>
      </w:pPr>
      <w:r>
        <w:rPr/>
      </w:r>
    </w:p>
    <w:p>
      <w:pPr>
        <w:pStyle w:val="TAMainText"/>
        <w:ind w:left="0" w:right="0" w:hanging="0"/>
        <w:rPr/>
      </w:pPr>
      <w:r>
        <w:rPr/>
        <w:tab/>
        <w:t>1. Model metabolome/metalome</w:t>
      </w:r>
    </w:p>
    <w:p>
      <w:pPr>
        <w:pStyle w:val="TAMainText"/>
        <w:ind w:left="0" w:right="0" w:hanging="0"/>
        <w:rPr/>
      </w:pPr>
      <w:r>
        <w:rPr/>
        <w:tab/>
        <w:t xml:space="preserve">2. Use ITC to determine exact </w:t>
      </w:r>
      <w:r>
        <w:rPr>
          <w:rStyle w:val="DefaultParagraphFont"/>
          <w:rFonts w:eastAsia="Times New Roman" w:cs="Times New Roman"/>
        </w:rPr>
        <w:t>Kds at pH 7 and relevant ionic strength - Temperature</w:t>
      </w:r>
    </w:p>
    <w:p>
      <w:pPr>
        <w:pStyle w:val="TAMainText"/>
        <w:ind w:left="0" w:right="0" w:hanging="0"/>
        <w:rPr/>
      </w:pPr>
      <w:r>
        <w:rPr/>
        <w:tab/>
        <w:t>3. Use Draper dye (8-hydroxyquinoline-5-sulfonic acid) to confirm free and chelated Mg concen</w:t>
        <w:tab/>
        <w:t>trations</w:t>
      </w:r>
    </w:p>
    <w:p>
      <w:pPr>
        <w:pStyle w:val="TAMainText"/>
        <w:rPr/>
      </w:pPr>
      <w:r>
        <w:rPr/>
        <w:t>4. Use fluorescence Tms to show changes in global RNA secondary structure stability + configurational stability</w:t>
      </w:r>
    </w:p>
    <w:p>
      <w:pPr>
        <w:pStyle w:val="TAMainText"/>
        <w:ind w:left="0" w:right="0" w:hanging="0"/>
        <w:rPr/>
      </w:pPr>
      <w:r>
        <w:rPr/>
      </w:r>
    </w:p>
    <w:p>
      <w:pPr>
        <w:pStyle w:val="TAMainText"/>
        <w:ind w:left="0" w:right="0" w:hanging="0"/>
        <w:rPr/>
      </w:pPr>
      <w:r>
        <w:rPr/>
        <w:t>Side notes for discussion</w:t>
      </w:r>
    </w:p>
    <w:p>
      <w:pPr>
        <w:pStyle w:val="TAMainText"/>
        <w:ind w:left="0" w:right="0" w:hanging="0"/>
        <w:rPr/>
      </w:pPr>
      <w:r>
        <w:rPr/>
      </w:r>
    </w:p>
    <w:p>
      <w:pPr>
        <w:pStyle w:val="TAMainText"/>
        <w:rPr/>
      </w:pPr>
      <w:r>
        <w:rPr/>
        <w:t>1. Rouskin Nat. Commun. ~2014 How much energy would the helicase secondary structure weakening cost?</w:t>
      </w:r>
    </w:p>
    <w:p>
      <w:pPr>
        <w:pStyle w:val="TAMainText"/>
        <w:rPr/>
      </w:pPr>
      <w:r>
        <w:rPr/>
        <w:t xml:space="preserve">2. Swap single stranded and double stranded state in </w:t>
      </w:r>
      <w:r>
        <w:rPr>
          <w:rStyle w:val="DefaultParagraphFont"/>
          <w:rFonts w:eastAsia="Times New Roman" w:cs="Times New Roman"/>
        </w:rPr>
        <w:t>fluorescence layout</w:t>
      </w:r>
    </w:p>
    <w:p>
      <w:pPr>
        <w:pStyle w:val="TAMainText"/>
        <w:rPr/>
      </w:pPr>
      <w:r>
        <w:rPr/>
        <w:t>3. Write abstract – Wait on the intro</w:t>
      </w:r>
    </w:p>
    <w:p>
      <w:pPr>
        <w:pStyle w:val="TAMainText"/>
        <w:rPr/>
      </w:pPr>
      <w:r>
        <w:rPr>
          <w:rStyle w:val="DefaultParagraphFont"/>
          <w:rFonts w:eastAsia="Times New Roman" w:cs="Times New Roman"/>
        </w:rPr>
        <w:t>4</w:t>
      </w:r>
      <w:r>
        <w:rPr/>
        <w:t>. Martin Grueblee JACS communications</w:t>
      </w:r>
    </w:p>
    <w:p>
      <w:pPr>
        <w:pStyle w:val="TAMainText"/>
        <w:rPr/>
      </w:pPr>
      <w:r>
        <w:rPr/>
        <w:t>5. Mathew’s JACS communication</w:t>
      </w:r>
    </w:p>
    <w:p>
      <w:pPr>
        <w:pStyle w:val="TAMainText"/>
        <w:rPr/>
      </w:pPr>
      <w:r>
        <w:rPr/>
        <w:t xml:space="preserve">6. Figure 1 </w:t>
      </w:r>
      <w:r>
        <w:rPr>
          <w:rStyle w:val="DefaultParagraphFont"/>
          <w:rFonts w:eastAsia="Times New Roman" w:cs="Times New Roman"/>
        </w:rPr>
        <w:t>Change A to C and Show MCM</w:t>
      </w:r>
    </w:p>
    <w:p>
      <w:pPr>
        <w:pStyle w:val="TAMainText"/>
        <w:rPr/>
      </w:pPr>
      <w:r>
        <w:rPr/>
        <w:t xml:space="preserve">7. </w:t>
      </w:r>
      <w:r>
        <w:rPr>
          <w:rStyle w:val="DefaultParagraphFont"/>
          <w:rFonts w:eastAsia="Times New Roman" w:cs="Times New Roman"/>
        </w:rPr>
        <w:t>Add a cut off line Table 1</w:t>
      </w:r>
    </w:p>
    <w:p>
      <w:pPr>
        <w:pStyle w:val="TAMainText"/>
        <w:rPr/>
      </w:pPr>
      <w:r>
        <w:rPr>
          <w:rStyle w:val="DefaultParagraphFont"/>
          <w:rFonts w:eastAsia="Times New Roman" w:cs="Times New Roman"/>
        </w:rPr>
        <w:t>8. Commas SE, sig figs, MCM into Table 1</w:t>
      </w:r>
    </w:p>
    <w:p>
      <w:pPr>
        <w:pStyle w:val="TAMainText"/>
        <w:rPr/>
      </w:pPr>
      <w:r>
        <w:rPr>
          <w:rStyle w:val="DefaultParagraphFont"/>
          <w:rFonts w:eastAsia="Times New Roman" w:cs="Times New Roman"/>
        </w:rPr>
        <w:t>9. Intro, Pilak and coworkers begin with cell extracts. However, we will take a bottom up approach to complexity, with the intention of understanding speciation and molecular contribution.</w:t>
      </w:r>
    </w:p>
    <w:p>
      <w:pPr>
        <w:pStyle w:val="TAMainText"/>
        <w:rPr>
          <w:rFonts w:eastAsia="Times New Roman" w:cs="Times New Roman"/>
        </w:rPr>
      </w:pPr>
      <w:r>
        <w:rPr>
          <w:rFonts w:eastAsia="Times New Roman" w:cs="Times New Roman"/>
        </w:rPr>
        <w:t>10. Try 1B as a van’t hoff plot</w:t>
      </w:r>
    </w:p>
    <w:p>
      <w:pPr>
        <w:pStyle w:val="TAMainText"/>
        <w:rPr>
          <w:rFonts w:eastAsia="Times New Roman" w:cs="Times New Roman"/>
        </w:rPr>
      </w:pPr>
      <w:r>
        <w:rPr>
          <w:rFonts w:eastAsia="Times New Roman" w:cs="Times New Roman"/>
        </w:rPr>
      </w:r>
    </w:p>
    <w:p>
      <w:pPr>
        <w:pStyle w:val="TAMainText"/>
        <w:ind w:left="0" w:right="0" w:hanging="0"/>
        <w:rPr/>
      </w:pPr>
      <w:r>
        <w:rPr/>
      </w:r>
    </w:p>
    <w:p>
      <w:pPr>
        <w:pStyle w:val="TAMainText"/>
        <w:ind w:left="0" w:right="0" w:hanging="0"/>
        <w:rPr/>
      </w:pPr>
      <w:r>
        <w:rPr/>
      </w:r>
    </w:p>
    <w:p>
      <w:pPr>
        <w:pStyle w:val="TAMainText"/>
        <w:ind w:left="0" w:right="0" w:hanging="0"/>
        <w:rPr/>
      </w:pPr>
      <w:r>
        <w:rPr/>
      </w:r>
      <w:r>
        <w:br w:type="page"/>
      </w:r>
    </w:p>
    <w:p>
      <w:pPr>
        <w:pStyle w:val="TextBody"/>
        <w:rPr>
          <w:sz w:val="36"/>
        </w:rPr>
      </w:pPr>
      <w:r>
        <w:rPr>
          <w:sz w:val="36"/>
        </w:rPr>
        <w:t>Template for Submission of Manuscripts to American Chemical Society Journals</w:t>
      </w:r>
    </w:p>
    <w:p>
      <w:pPr>
        <w:pStyle w:val="Normal"/>
        <w:jc w:val="center"/>
        <w:rPr>
          <w:b/>
          <w:b/>
        </w:rPr>
      </w:pPr>
      <w:r>
        <w:rPr>
          <w:b/>
        </w:rPr>
        <w:t>Word 2010, Page Wide Abstract Version</w:t>
      </w:r>
    </w:p>
    <w:p>
      <w:pPr>
        <w:pStyle w:val="Normal"/>
        <w:rPr>
          <w:sz w:val="22"/>
        </w:rPr>
      </w:pPr>
      <w:r>
        <w:rPr>
          <w:sz w:val="22"/>
        </w:rPr>
        <w:t>This template is a guide to be used to prepare manuscripts for submission. Please consult the Instructions to Authors or a recent issue of the journal for detailed guidelines and procedures for submission. This template is intended to benefit to the author in that the entire manuscript (text, tables, and graphics) may be submitted in one file. Inserting graphics and tables close to the point at which they are discussed in the text of the manuscript can also be a benefit for the reviewer.</w:t>
      </w:r>
    </w:p>
    <w:p>
      <w:pPr>
        <w:pStyle w:val="Normal"/>
        <w:rPr/>
      </w:pPr>
      <w:r>
        <w:rPr>
          <w:rStyle w:val="DefaultParagraphFont"/>
          <w:sz w:val="22"/>
        </w:rPr>
        <w:t>When you submit a manuscript using this template, you will not actually see the page formatting that appears in the printed journal. This will occur as part of the editorial production process.</w:t>
      </w:r>
      <w:r>
        <w:rPr>
          <w:rStyle w:val="DefaultParagraphFont"/>
          <w:sz w:val="21"/>
        </w:rPr>
        <w:t xml:space="preserve"> Abbreviated instructions for using the template follow. Consult the documentation for your specific application and version for more information. Additional instructions can be found in the readme file at the web page where you downloaded this template.</w:t>
      </w:r>
    </w:p>
    <w:p>
      <w:pPr>
        <w:pStyle w:val="Normal"/>
        <w:rPr>
          <w:b/>
          <w:b/>
        </w:rPr>
      </w:pPr>
      <w:r>
        <w:rPr>
          <w:b/>
        </w:rPr>
        <w:t>Using the template</w:t>
      </w:r>
    </w:p>
    <w:p>
      <w:pPr>
        <w:pStyle w:val="Normal"/>
        <w:rPr>
          <w:sz w:val="21"/>
        </w:rPr>
      </w:pPr>
      <w:r>
        <w:rPr>
          <w:sz w:val="21"/>
        </w:rPr>
        <w:t>In ACS publications there are many different components of a manuscript (i.e., title, abstract, main text, figure captions, etc.) that are represented in the template.  See the Guide, Notes, Notice, or Instructions for Authors on the journal’s homepage to determine which parts should be included for the manuscript that you are preparing</w:t>
      </w:r>
    </w:p>
    <w:p>
      <w:pPr>
        <w:pStyle w:val="Normal"/>
        <w:numPr>
          <w:ilvl w:val="0"/>
          <w:numId w:val="4"/>
        </w:numPr>
        <w:spacing w:before="0" w:after="100"/>
        <w:rPr>
          <w:sz w:val="21"/>
        </w:rPr>
      </w:pPr>
      <w:r>
        <w:rPr>
          <w:sz w:val="21"/>
        </w:rPr>
        <w:t>If typing your manuscript directly into the template, select (highlight) the text of the template that you want to replace and begin typing your manuscript (i.e., select the Title section for typing in your title).</w:t>
      </w:r>
    </w:p>
    <w:p>
      <w:pPr>
        <w:pStyle w:val="Normal"/>
        <w:numPr>
          <w:ilvl w:val="0"/>
          <w:numId w:val="2"/>
        </w:numPr>
        <w:spacing w:before="0" w:after="100"/>
        <w:rPr>
          <w:sz w:val="21"/>
        </w:rPr>
      </w:pPr>
      <w:r>
        <w:rPr>
          <w:sz w:val="21"/>
        </w:rPr>
        <w:t>If you have already prepared your document in a Word file, you will need to attach the template to your working document in order to apply the Word Style tags. Further instructions can be found in the readme file at the web page where you downloaded this template.</w:t>
      </w:r>
    </w:p>
    <w:p>
      <w:pPr>
        <w:pStyle w:val="Normal"/>
        <w:numPr>
          <w:ilvl w:val="0"/>
          <w:numId w:val="5"/>
        </w:numPr>
        <w:spacing w:before="0" w:after="100"/>
        <w:rPr/>
      </w:pPr>
      <w:r>
        <w:rPr>
          <w:rStyle w:val="DefaultParagraphFont"/>
          <w:sz w:val="21"/>
        </w:rPr>
        <w:t xml:space="preserve">Go to the Word Style list on the formatting toolbar and you will see all the Word Styles from the template that has now been imported into the current document. A Styles toolbar has been generated that will display the different Styles for you to choose from. If this is not present, select </w:t>
      </w:r>
      <w:r>
        <w:rPr>
          <w:rStyle w:val="DefaultParagraphFont"/>
          <w:b/>
          <w:sz w:val="21"/>
        </w:rPr>
        <w:t>View</w:t>
      </w:r>
      <w:r>
        <w:rPr>
          <w:rStyle w:val="DefaultParagraphFont"/>
          <w:sz w:val="21"/>
        </w:rPr>
        <w:t xml:space="preserve">, </w:t>
      </w:r>
      <w:r>
        <w:rPr>
          <w:rStyle w:val="DefaultParagraphFont"/>
          <w:b/>
          <w:sz w:val="21"/>
        </w:rPr>
        <w:t>Toolbars</w:t>
      </w:r>
      <w:r>
        <w:rPr>
          <w:rStyle w:val="DefaultParagraphFont"/>
          <w:sz w:val="21"/>
        </w:rPr>
        <w:t xml:space="preserve">, and then select </w:t>
      </w:r>
      <w:r>
        <w:rPr>
          <w:rStyle w:val="DefaultParagraphFont"/>
          <w:b/>
          <w:sz w:val="21"/>
        </w:rPr>
        <w:t>Styles</w:t>
      </w:r>
      <w:r>
        <w:rPr>
          <w:rStyle w:val="DefaultParagraphFont"/>
          <w:sz w:val="21"/>
        </w:rPr>
        <w:t xml:space="preserve"> and it should appear. You can close this at any time and then reopen it when needed.</w:t>
      </w:r>
    </w:p>
    <w:p>
      <w:pPr>
        <w:pStyle w:val="Normal"/>
        <w:numPr>
          <w:ilvl w:val="0"/>
          <w:numId w:val="3"/>
        </w:numPr>
        <w:spacing w:before="0" w:after="100"/>
        <w:rPr>
          <w:sz w:val="21"/>
        </w:rPr>
      </w:pPr>
      <w:r>
        <w:rPr>
          <w:sz w:val="21"/>
        </w:rPr>
        <w:t>Click in the sentence or paragraph and then go to the Word Style menu on the toolbar and select the relevant Word Style.  This will apply the Word Style to the entire text (sentence or paragraph). Do this for all sections of the manuscript.</w:t>
      </w:r>
    </w:p>
    <w:p>
      <w:pPr>
        <w:pStyle w:val="Normal"/>
        <w:numPr>
          <w:ilvl w:val="0"/>
          <w:numId w:val="6"/>
        </w:numPr>
        <w:spacing w:before="0" w:after="100"/>
        <w:rPr/>
      </w:pPr>
      <w:r>
        <w:rPr>
          <w:rStyle w:val="DefaultParagraphFont"/>
          <w:sz w:val="21"/>
        </w:rPr>
        <w:t xml:space="preserve">To insert graphics within the text or as a figure, chart, scheme, or table, create a new line and insert the graphic where desired. If your graphic is not visible, ensure that the Word Style is “Normal” with an automatic height adjustment. If the size of the artwork needs to be adjusted, re-size the artwork in your graphics program and re-paste the artwork into the template (maximum width for single-column artwork, 3.3 in. (8.5 cm); maximum width for double-column artwork, 7 in. (17.8 cm)). </w:t>
      </w:r>
      <w:r>
        <w:rPr>
          <w:rStyle w:val="DefaultParagraphFont"/>
          <w:b/>
          <w:sz w:val="21"/>
        </w:rPr>
        <w:t>NOTE</w:t>
      </w:r>
      <w:r>
        <w:rPr>
          <w:rStyle w:val="DefaultParagraphFont"/>
          <w:sz w:val="21"/>
        </w:rPr>
        <w:t>: If you are submitting a Table of Contents graphic, please insert the graphic at the end of the file.</w:t>
      </w:r>
    </w:p>
    <w:p>
      <w:pPr>
        <w:pStyle w:val="Normal"/>
        <w:numPr>
          <w:ilvl w:val="0"/>
          <w:numId w:val="6"/>
        </w:numPr>
        <w:spacing w:before="0" w:after="100"/>
        <w:rPr>
          <w:sz w:val="21"/>
        </w:rPr>
      </w:pPr>
      <w:r>
        <w:rPr>
          <w:sz w:val="21"/>
        </w:rPr>
        <w:t>Ensure that page numbers are present on all pages before submitting your manuscript.</w:t>
      </w:r>
    </w:p>
    <w:p>
      <w:pPr>
        <w:pStyle w:val="Normal"/>
        <w:numPr>
          <w:ilvl w:val="0"/>
          <w:numId w:val="6"/>
        </w:numPr>
        <w:spacing w:before="0" w:after="100"/>
        <w:rPr>
          <w:sz w:val="21"/>
        </w:rPr>
      </w:pPr>
      <w:r>
        <w:rPr>
          <w:sz w:val="21"/>
        </w:rPr>
        <w:t>Delete these instructions and any sections that are not needed.</w:t>
      </w:r>
    </w:p>
    <w:p>
      <w:pPr>
        <w:pStyle w:val="Normal"/>
        <w:numPr>
          <w:ilvl w:val="0"/>
          <w:numId w:val="6"/>
        </w:numPr>
        <w:spacing w:before="0" w:after="100"/>
        <w:rPr/>
      </w:pPr>
      <w:r>
        <w:rPr>
          <w:rStyle w:val="DefaultParagraphFont"/>
          <w:sz w:val="21"/>
        </w:rPr>
        <w:t xml:space="preserve">Save the file with the graphics in place: select </w:t>
      </w:r>
      <w:r>
        <w:rPr>
          <w:rStyle w:val="DefaultParagraphFont"/>
          <w:b/>
          <w:sz w:val="21"/>
        </w:rPr>
        <w:t>Save As</w:t>
      </w:r>
      <w:r>
        <w:rPr>
          <w:rStyle w:val="DefaultParagraphFont"/>
          <w:sz w:val="21"/>
        </w:rPr>
        <w:t xml:space="preserve"> (</w:t>
      </w:r>
      <w:r>
        <w:rPr>
          <w:rStyle w:val="DefaultParagraphFont"/>
          <w:b/>
          <w:sz w:val="21"/>
        </w:rPr>
        <w:t>File</w:t>
      </w:r>
      <w:r>
        <w:rPr>
          <w:rStyle w:val="DefaultParagraphFont"/>
          <w:sz w:val="21"/>
        </w:rPr>
        <w:t xml:space="preserve"> menu) and save it as a document file (not a .dot template file).</w:t>
      </w:r>
    </w:p>
    <w:p>
      <w:pPr>
        <w:pStyle w:val="Normal"/>
        <w:numPr>
          <w:ilvl w:val="0"/>
          <w:numId w:val="6"/>
        </w:numPr>
        <w:spacing w:before="0" w:after="100"/>
        <w:rPr>
          <w:sz w:val="21"/>
        </w:rPr>
      </w:pPr>
      <w:r>
        <w:rPr>
          <w:sz w:val="21"/>
        </w:rPr>
        <w:t>Proof the manuscript to ensure that all parts of the manuscript are present and clearly legible.</w:t>
      </w:r>
    </w:p>
    <w:p>
      <w:pPr>
        <w:pStyle w:val="BATitle"/>
        <w:rPr/>
      </w:pPr>
      <w:r>
        <w:rPr/>
      </w:r>
      <w:r>
        <w:br w:type="page"/>
      </w:r>
    </w:p>
    <w:p>
      <w:pPr>
        <w:pStyle w:val="BATitle"/>
        <w:rPr/>
      </w:pPr>
      <w:r>
        <w:rPr/>
        <w:t xml:space="preserve">The Bacterial Metabolome and Metalome </w:t>
      </w:r>
      <w:r>
        <w:rPr>
          <w:rStyle w:val="DefaultParagraphFont"/>
          <w:rFonts w:eastAsia="Times New Roman" w:cs="Times New Roman"/>
        </w:rPr>
        <w:t>Weakens</w:t>
      </w:r>
      <w:r>
        <w:rPr/>
        <w:t xml:space="preserve"> Global RNA S</w:t>
      </w:r>
      <w:r>
        <w:rPr>
          <w:rStyle w:val="DefaultParagraphFont"/>
          <w:rFonts w:eastAsia="Times New Roman" w:cs="Times New Roman"/>
        </w:rPr>
        <w:t>econdary Structure Stability and Protects RNA from Degredation</w:t>
      </w:r>
    </w:p>
    <w:p>
      <w:pPr>
        <w:pStyle w:val="BBAuthorName"/>
        <w:rPr/>
      </w:pPr>
      <w:r>
        <w:rPr/>
        <w:t>Jacob P. Sieg</w:t>
      </w:r>
      <w:r>
        <w:rPr>
          <w:rStyle w:val="DefaultParagraphFont"/>
          <w:position w:val="6"/>
          <w:sz w:val="16"/>
        </w:rPr>
        <w:t>1,2</w:t>
      </w:r>
      <w:r>
        <w:rPr/>
        <w:t>, Philip C. Bevilacqua</w:t>
      </w:r>
      <w:r>
        <w:rPr>
          <w:rStyle w:val="DefaultParagraphFont"/>
          <w:position w:val="6"/>
          <w:sz w:val="16"/>
        </w:rPr>
        <w:t>1,2,3</w:t>
      </w:r>
      <w:r>
        <w:rPr/>
        <w:t>*</w:t>
      </w:r>
    </w:p>
    <w:p>
      <w:pPr>
        <w:pStyle w:val="BCAuthorAddress"/>
        <w:rPr/>
      </w:pPr>
      <w:r>
        <w:rPr>
          <w:rStyle w:val="DefaultParagraphFont"/>
          <w:position w:val="6"/>
          <w:sz w:val="13"/>
        </w:rPr>
        <w:t>1</w:t>
      </w:r>
      <w:r>
        <w:rPr/>
        <w:t>Department of Chemistry, Pennsylvania State University, University Park, PA 16868</w:t>
      </w:r>
    </w:p>
    <w:p>
      <w:pPr>
        <w:pStyle w:val="BCAuthorAddress"/>
        <w:rPr/>
      </w:pPr>
      <w:r>
        <w:rPr>
          <w:rStyle w:val="DefaultParagraphFont"/>
          <w:position w:val="6"/>
          <w:sz w:val="13"/>
        </w:rPr>
        <w:t>2</w:t>
      </w:r>
      <w:r>
        <w:rPr/>
        <w:t>Center for RNA Molecular Biology, Pennsylvania State University, University Park, PA, 16868</w:t>
      </w:r>
    </w:p>
    <w:p>
      <w:pPr>
        <w:pStyle w:val="BCAuthorAddress"/>
        <w:rPr/>
      </w:pPr>
      <w:r>
        <w:rPr>
          <w:rStyle w:val="DefaultParagraphFont"/>
          <w:position w:val="6"/>
          <w:sz w:val="13"/>
        </w:rPr>
        <w:t>3</w:t>
      </w:r>
      <w:r>
        <w:rPr/>
        <w:t>Department of Biochemistry and Molecular Biology, Pennsylvania State University, University Park,</w:t>
      </w:r>
    </w:p>
    <w:p>
      <w:pPr>
        <w:pStyle w:val="BIEmailAddress"/>
        <w:rPr/>
      </w:pPr>
      <w:r>
        <w:rPr/>
        <w:t>PA, 16802</w:t>
      </w:r>
    </w:p>
    <w:p>
      <w:pPr>
        <w:pStyle w:val="AIReceivedDate"/>
        <w:rPr/>
      </w:pPr>
      <w:r>
        <w:rPr/>
        <w:t xml:space="preserve">*Corresponding author. E-mail: </w:t>
      </w:r>
      <w:hyperlink r:id="rId2" w:tgtFrame="_top">
        <w:r>
          <w:rPr>
            <w:rStyle w:val="InternetLink"/>
          </w:rPr>
          <w:t>pcb5@psu.edu</w:t>
        </w:r>
      </w:hyperlink>
      <w:r>
        <w:rPr/>
        <w:t>. Phone: (814)863-3812</w:t>
      </w:r>
    </w:p>
    <w:p>
      <w:pPr>
        <w:pStyle w:val="BCAuthorAddress"/>
        <w:rPr/>
      </w:pPr>
      <w:r>
        <w:rPr/>
      </w:r>
    </w:p>
    <w:p>
      <w:pPr>
        <w:pStyle w:val="BCAuthorAddress"/>
        <w:rPr/>
      </w:pPr>
      <w:r>
        <w:rPr/>
        <w:t>KEYWORDS</w:t>
      </w:r>
    </w:p>
    <w:p>
      <w:pPr>
        <w:pStyle w:val="BCAuthorAddress"/>
        <w:rPr/>
      </w:pPr>
      <w:r>
        <w:rPr/>
        <w:t>Magnesium ion, Chelated magnesium, RNA folding, secondary structure, metabolites</w:t>
      </w:r>
    </w:p>
    <w:p>
      <w:pPr>
        <w:pStyle w:val="AIReceivedDate"/>
        <w:rPr/>
      </w:pPr>
      <w:r>
        <w:rPr/>
      </w:r>
    </w:p>
    <w:p>
      <w:pPr>
        <w:pStyle w:val="BCAuthorAddress"/>
        <w:rPr/>
      </w:pPr>
      <w:r>
        <w:rPr/>
        <w:t>ORCID</w:t>
      </w:r>
    </w:p>
    <w:p>
      <w:pPr>
        <w:pStyle w:val="BIEmailAddress"/>
        <w:rPr/>
      </w:pPr>
      <w:r>
        <w:rPr/>
        <w:t>Ryota Yamagami: 0000-0002-06947-1906</w:t>
      </w:r>
    </w:p>
    <w:p>
      <w:pPr>
        <w:pStyle w:val="AIReceivedDate"/>
        <w:rPr/>
      </w:pPr>
      <w:r>
        <w:rPr/>
        <w:t>Jacob P. Sieg: 0000-0001-5414-1667</w:t>
      </w:r>
    </w:p>
    <w:p>
      <w:pPr>
        <w:pStyle w:val="AIReceivedDate"/>
        <w:rPr/>
      </w:pPr>
      <w:r>
        <w:rPr/>
        <w:t>Philip C. Bevilacqua: 0000-0001-8074-3434</w:t>
      </w:r>
    </w:p>
    <w:p>
      <w:pPr>
        <w:pStyle w:val="StyleBIEmailAddress95pt"/>
        <w:rPr/>
      </w:pPr>
      <w:r>
        <w:rPr/>
        <w:t xml:space="preserve"> </w:t>
      </w:r>
    </w:p>
    <w:p>
      <w:pPr>
        <w:sectPr>
          <w:footerReference w:type="default" r:id="rId3"/>
          <w:type w:val="nextPage"/>
          <w:pgSz w:w="12240" w:h="15840"/>
          <w:pgMar w:left="1094" w:right="1094" w:header="0" w:top="720" w:footer="720" w:bottom="720" w:gutter="0"/>
          <w:pgNumType w:fmt="decimal"/>
          <w:formProt w:val="false"/>
          <w:textDirection w:val="lrTb"/>
          <w:docGrid w:type="default" w:linePitch="600" w:charSpace="32768"/>
        </w:sectPr>
      </w:pPr>
    </w:p>
    <w:p>
      <w:pPr>
        <w:pStyle w:val="BDAbstract"/>
        <w:rPr/>
      </w:pPr>
      <w:r>
        <w:rPr>
          <w:rStyle w:val="BDAbstractTitleChar"/>
        </w:rPr>
        <w:t>ABSTRACT:</w:t>
      </w:r>
      <w:r>
        <w:rPr/>
        <w:t xml:space="preserve"> </w:t>
      </w:r>
      <w:r>
        <w:rPr>
          <w:rStyle w:val="DefaultParagraphFont"/>
          <w:rFonts w:eastAsia="Times New Roman" w:cs="Times New Roman"/>
        </w:rPr>
        <w:t xml:space="preserve">Herein, we examine the complicated network of interactions among RNA, the metabolome, and the metalome in </w:t>
      </w:r>
      <w:r>
        <w:rPr>
          <w:rStyle w:val="DefaultParagraphFont"/>
          <w:rFonts w:eastAsia="Times New Roman" w:cs="Times New Roman"/>
          <w:i/>
          <w:iCs/>
        </w:rPr>
        <w:t>E. coli</w:t>
      </w:r>
      <w:r>
        <w:rPr>
          <w:rStyle w:val="DefaultParagraphFont"/>
          <w:rFonts w:eastAsia="Times New Roman" w:cs="Times New Roman"/>
        </w:rPr>
        <w:t xml:space="preserve">. First, we examine the effects of temperature on the binding affinity of the top 14 </w:t>
      </w:r>
      <w:r>
        <w:rPr>
          <w:rStyle w:val="DefaultParagraphFont"/>
          <w:rFonts w:eastAsia="Times New Roman" w:cs="Times New Roman"/>
          <w:i/>
          <w:iCs/>
        </w:rPr>
        <w:t xml:space="preserve">E. coli </w:t>
      </w:r>
      <w:r>
        <w:rPr>
          <w:rStyle w:val="DefaultParagraphFont"/>
          <w:rFonts w:eastAsia="Times New Roman" w:cs="Times New Roman"/>
        </w:rPr>
        <w:t xml:space="preserve">metabolites, comprising 80% of the total metabolome, at physiological pH and monovalent ion concentrations using ITC and HQS fluorescence titrations. Then, we use this information to inform creation of artificial cytoplasms that mimic </w:t>
      </w:r>
      <w:r>
        <w:rPr>
          <w:rStyle w:val="DefaultParagraphFont"/>
          <w:rFonts w:eastAsia="Times New Roman" w:cs="Times New Roman"/>
          <w:i/>
          <w:iCs/>
        </w:rPr>
        <w:t xml:space="preserve">in vivo </w:t>
      </w:r>
      <w:r>
        <w:rPr>
          <w:rStyle w:val="DefaultParagraphFont"/>
          <w:rFonts w:eastAsia="Times New Roman" w:cs="Times New Roman"/>
        </w:rPr>
        <w:t>E. coli conditions. We then examine the effects of the</w:t>
      </w:r>
      <w:r>
        <w:rPr>
          <w:rStyle w:val="DefaultParagraphFont"/>
          <w:rFonts w:eastAsia="Times New Roman" w:cs="Times New Roman"/>
          <w:i/>
          <w:iCs/>
        </w:rPr>
        <w:t xml:space="preserve"> </w:t>
      </w:r>
      <w:r>
        <w:rPr>
          <w:rStyle w:val="DefaultParagraphFont"/>
          <w:rFonts w:eastAsia="Times New Roman" w:cs="Times New Roman"/>
        </w:rPr>
        <w:t>these</w:t>
      </w:r>
      <w:r>
        <w:rPr>
          <w:rStyle w:val="DefaultParagraphFont"/>
          <w:rFonts w:eastAsia="Times New Roman" w:cs="Times New Roman"/>
          <w:i/>
          <w:iCs/>
        </w:rPr>
        <w:t xml:space="preserve"> in vivo-like </w:t>
      </w:r>
      <w:r>
        <w:rPr>
          <w:rStyle w:val="DefaultParagraphFont"/>
          <w:rFonts w:eastAsia="Times New Roman" w:cs="Times New Roman"/>
        </w:rPr>
        <w:t xml:space="preserve">conditions on RNA thermodynamic stability and RNA chemical stability. We find that these </w:t>
      </w:r>
      <w:r>
        <w:rPr>
          <w:rStyle w:val="DefaultParagraphFont"/>
          <w:rFonts w:eastAsia="Times New Roman" w:cs="Times New Roman"/>
          <w:i/>
          <w:iCs/>
        </w:rPr>
        <w:t xml:space="preserve">in vivo-like </w:t>
      </w:r>
      <w:r>
        <w:rPr>
          <w:rStyle w:val="DefaultParagraphFont"/>
          <w:rFonts w:eastAsia="Times New Roman" w:cs="Times New Roman"/>
        </w:rPr>
        <w:t>conditions lead to opposing effects, wherein thermodynamic stability is weakened but chemical stability is strengthened.</w:t>
      </w:r>
    </w:p>
    <w:p>
      <w:pPr>
        <w:sectPr>
          <w:type w:val="continuous"/>
          <w:pgSz w:w="12240" w:h="15840"/>
          <w:pgMar w:left="1094" w:right="1094" w:header="0" w:top="720" w:footer="720" w:bottom="720" w:gutter="0"/>
          <w:formProt w:val="false"/>
          <w:textDirection w:val="lrTb"/>
          <w:docGrid w:type="default" w:linePitch="600" w:charSpace="32768"/>
        </w:sectPr>
      </w:pPr>
    </w:p>
    <w:p>
      <w:pPr>
        <w:pStyle w:val="VAFigureCaption"/>
        <w:rPr>
          <w:rFonts w:eastAsia="Times New Roman" w:cs="Times New Roman"/>
        </w:rPr>
      </w:pPr>
      <w:r>
        <w:rPr>
          <w:rFonts w:eastAsia="Times New Roman" w:cs="Times New Roman"/>
        </w:rPr>
      </w:r>
      <w:r>
        <w:br w:type="page"/>
      </w:r>
    </w:p>
    <w:p>
      <w:pPr>
        <w:pStyle w:val="VAFigureCaption"/>
        <w:rPr/>
      </w:pPr>
      <w:r>
        <w:rPr>
          <w:rStyle w:val="DefaultParagraphFont"/>
          <w:rFonts w:eastAsia="Times New Roman" w:cs="Times New Roman"/>
        </w:rPr>
        <w:t xml:space="preserve">Summary of progress on </w:t>
      </w:r>
      <w:r>
        <w:rPr>
          <w:rStyle w:val="DefaultParagraphFont"/>
          <w:rFonts w:eastAsia="Times New Roman" w:cs="Times New Roman"/>
          <w:i/>
          <w:iCs/>
        </w:rPr>
        <w:t>in vivo-</w:t>
      </w:r>
      <w:r>
        <w:rPr>
          <w:rStyle w:val="DefaultParagraphFont"/>
          <w:rFonts w:eastAsia="Times New Roman" w:cs="Times New Roman"/>
        </w:rPr>
        <w:t xml:space="preserve">like conditions. Studies that consider cellular components one at a time. Studies that consider cellular components together in artificial cytoplasm. In contrast, we take a bottom up, “aufbau”, approach that builds up complexity, in artificial cytoplasms. This aufbau approach allows us to understand the effects of most of the metabolite and metal ions species that compose the network of interactions that RNA experiences in </w:t>
      </w:r>
      <w:r>
        <w:rPr>
          <w:rStyle w:val="DefaultParagraphFont"/>
          <w:rFonts w:eastAsia="Times New Roman" w:cs="Times New Roman"/>
          <w:i/>
          <w:iCs/>
        </w:rPr>
        <w:t xml:space="preserve">E. coli </w:t>
      </w:r>
      <w:r>
        <w:rPr>
          <w:rStyle w:val="DefaultParagraphFont"/>
          <w:rFonts w:eastAsia="Times New Roman" w:cs="Times New Roman"/>
        </w:rPr>
        <w:t>cells.</w:t>
      </w:r>
    </w:p>
    <w:p>
      <w:pPr>
        <w:pStyle w:val="VAFigureCaption"/>
        <w:rPr/>
      </w:pPr>
      <w:r>
        <w:rPr>
          <w:rStyle w:val="DefaultParagraphFont"/>
          <w:rFonts w:eastAsia="Times New Roman" w:cs="Times New Roman"/>
        </w:rPr>
        <w:t xml:space="preserve">First, we considered metabolites. </w:t>
      </w:r>
      <w:r>
        <w:rPr>
          <w:rStyle w:val="DefaultParagraphFont"/>
          <w:rFonts w:eastAsia="Times New Roman" w:cs="Times New Roman"/>
          <w:i/>
          <w:iCs/>
        </w:rPr>
        <w:t xml:space="preserve">E. coli </w:t>
      </w:r>
      <w:r>
        <w:rPr>
          <w:rStyle w:val="DefaultParagraphFont"/>
          <w:rFonts w:eastAsia="Times New Roman" w:cs="Times New Roman"/>
        </w:rPr>
        <w:t>cells contain  hundreds of metabolites for a total metabolite concentration of about 243 mM, too many metabolites to test systematically . However, 15 abundant metabolites comprise 80% (194 mM) of total metabolites, and 15 metabolites is an experimentally manageable number (Figure 1A).</w:t>
      </w:r>
    </w:p>
    <w:p>
      <w:pPr>
        <w:pStyle w:val="Normal"/>
        <w:rPr/>
      </w:pPr>
      <w:r>
        <w:rPr>
          <w:rStyle w:val="DefaultParagraphFont"/>
          <w:rFonts w:ascii="Arno Pro" w:hAnsi="Arno Pro"/>
          <w:kern w:val="2"/>
          <w:sz w:val="18"/>
        </w:rPr>
        <w:t>Next, we considered the metalome. As a negatively charged polymer, RNA folding and function is highly dependent on positively charged metal ion concentrations, especially divalent magnesium ions (Mg</w:t>
      </w:r>
      <w:r>
        <w:rPr>
          <w:rStyle w:val="DefaultParagraphFont"/>
          <w:rFonts w:ascii="Arno Pro" w:hAnsi="Arno Pro"/>
          <w:kern w:val="2"/>
          <w:position w:val="5"/>
          <w:sz w:val="12"/>
          <w:sz w:val="18"/>
        </w:rPr>
        <w:t>2+</w:t>
      </w:r>
      <w:r>
        <w:rPr>
          <w:rStyle w:val="DefaultParagraphFont"/>
          <w:rFonts w:ascii="Arno Pro" w:hAnsi="Arno Pro"/>
          <w:kern w:val="2"/>
          <w:sz w:val="18"/>
        </w:rPr>
        <w:t xml:space="preserve">), as thousands of studies show. </w:t>
      </w:r>
      <w:r>
        <w:rPr>
          <w:rStyle w:val="DefaultParagraphFont"/>
          <w:rFonts w:ascii="Arno Pro" w:hAnsi="Arno Pro"/>
          <w:i/>
          <w:iCs/>
          <w:kern w:val="2"/>
          <w:sz w:val="18"/>
        </w:rPr>
        <w:t xml:space="preserve">E. coli </w:t>
      </w:r>
      <w:r>
        <w:rPr>
          <w:rStyle w:val="DefaultParagraphFont"/>
          <w:rFonts w:ascii="Arno Pro" w:hAnsi="Arno Pro"/>
          <w:kern w:val="2"/>
          <w:sz w:val="18"/>
        </w:rPr>
        <w:t>cells contain about 240 mM monvalent sodium (Na</w:t>
      </w:r>
      <w:r>
        <w:rPr>
          <w:rStyle w:val="DefaultParagraphFont"/>
          <w:rFonts w:ascii="Arno Pro" w:hAnsi="Arno Pro"/>
          <w:kern w:val="2"/>
          <w:position w:val="5"/>
          <w:sz w:val="12"/>
          <w:sz w:val="18"/>
        </w:rPr>
        <w:t>+</w:t>
      </w:r>
      <w:r>
        <w:rPr>
          <w:rStyle w:val="DefaultParagraphFont"/>
          <w:rFonts w:ascii="Arno Pro" w:hAnsi="Arno Pro"/>
          <w:kern w:val="2"/>
          <w:sz w:val="18"/>
        </w:rPr>
        <w:t>), 140 mM divalent potassium (K</w:t>
      </w:r>
      <w:r>
        <w:rPr>
          <w:rStyle w:val="DefaultParagraphFont"/>
          <w:rFonts w:ascii="Arno Pro" w:hAnsi="Arno Pro"/>
          <w:kern w:val="2"/>
          <w:position w:val="5"/>
          <w:sz w:val="12"/>
          <w:sz w:val="18"/>
        </w:rPr>
        <w:t>+</w:t>
      </w:r>
      <w:r>
        <w:rPr>
          <w:rStyle w:val="DefaultParagraphFont"/>
          <w:rFonts w:ascii="Arno Pro" w:hAnsi="Arno Pro"/>
          <w:kern w:val="2"/>
          <w:sz w:val="18"/>
        </w:rPr>
        <w:t>), and 54 mM Mg</w:t>
      </w:r>
      <w:r>
        <w:rPr>
          <w:rStyle w:val="DefaultParagraphFont"/>
          <w:rFonts w:ascii="Arno Pro" w:hAnsi="Arno Pro"/>
          <w:kern w:val="2"/>
          <w:position w:val="5"/>
          <w:sz w:val="12"/>
          <w:sz w:val="18"/>
        </w:rPr>
        <w:t>2+</w:t>
      </w:r>
      <w:r>
        <w:rPr>
          <w:rStyle w:val="DefaultParagraphFont"/>
          <w:rFonts w:ascii="Arno Pro" w:hAnsi="Arno Pro"/>
          <w:kern w:val="2"/>
          <w:sz w:val="18"/>
        </w:rPr>
        <w:t>. Most Mg</w:t>
      </w:r>
      <w:r>
        <w:rPr>
          <w:rStyle w:val="DefaultParagraphFont"/>
          <w:rFonts w:ascii="Arno Pro" w:hAnsi="Arno Pro"/>
          <w:kern w:val="2"/>
          <w:position w:val="5"/>
          <w:sz w:val="12"/>
          <w:sz w:val="18"/>
        </w:rPr>
        <w:t>2+</w:t>
      </w:r>
      <w:r>
        <w:rPr>
          <w:rStyle w:val="DefaultParagraphFont"/>
          <w:rFonts w:ascii="Arno Pro" w:hAnsi="Arno Pro"/>
          <w:kern w:val="2"/>
          <w:sz w:val="18"/>
        </w:rPr>
        <w:t xml:space="preserve"> in the cell is chelated, were Mg</w:t>
      </w:r>
      <w:r>
        <w:rPr>
          <w:rStyle w:val="DefaultParagraphFont"/>
          <w:rFonts w:ascii="Arno Pro" w:hAnsi="Arno Pro"/>
          <w:kern w:val="2"/>
          <w:position w:val="5"/>
          <w:sz w:val="12"/>
          <w:sz w:val="18"/>
        </w:rPr>
        <w:t xml:space="preserve">2+ </w:t>
      </w:r>
      <w:r>
        <w:rPr>
          <w:rStyle w:val="DefaultParagraphFont"/>
          <w:rFonts w:ascii="Arno Pro" w:hAnsi="Arno Pro"/>
          <w:kern w:val="2"/>
          <w:sz w:val="18"/>
        </w:rPr>
        <w:t>is</w:t>
      </w:r>
      <w:r>
        <w:rPr>
          <w:rStyle w:val="DefaultParagraphFont"/>
          <w:rFonts w:ascii="Arno Pro" w:hAnsi="Arno Pro"/>
          <w:kern w:val="2"/>
          <w:position w:val="5"/>
          <w:sz w:val="12"/>
          <w:sz w:val="18"/>
        </w:rPr>
        <w:t xml:space="preserve"> </w:t>
      </w:r>
      <w:r>
        <w:rPr>
          <w:rStyle w:val="DefaultParagraphFont"/>
          <w:rFonts w:ascii="Arno Pro" w:hAnsi="Arno Pro"/>
          <w:kern w:val="2"/>
          <w:sz w:val="18"/>
        </w:rPr>
        <w:t>coordinated with only an estimated 0.5 to 3.0 fully hydrated, so called “free”, Mg</w:t>
      </w:r>
      <w:r>
        <w:rPr>
          <w:rStyle w:val="DefaultParagraphFont"/>
          <w:rFonts w:ascii="Arno Pro" w:hAnsi="Arno Pro"/>
          <w:kern w:val="2"/>
          <w:position w:val="5"/>
          <w:sz w:val="12"/>
          <w:sz w:val="18"/>
        </w:rPr>
        <w:t>2+</w:t>
      </w:r>
      <w:r>
        <w:rPr>
          <w:rStyle w:val="DefaultParagraphFont"/>
          <w:rFonts w:ascii="Arno Pro" w:hAnsi="Arno Pro"/>
          <w:kern w:val="2"/>
          <w:sz w:val="18"/>
        </w:rPr>
        <w:t xml:space="preserve"> in </w:t>
      </w:r>
      <w:r>
        <w:rPr>
          <w:rStyle w:val="DefaultParagraphFont"/>
          <w:rFonts w:ascii="Arno Pro" w:hAnsi="Arno Pro"/>
          <w:i/>
          <w:iCs/>
          <w:kern w:val="2"/>
          <w:sz w:val="18"/>
        </w:rPr>
        <w:t>E. coli</w:t>
      </w:r>
      <w:r>
        <w:rPr>
          <w:rStyle w:val="DefaultParagraphFont"/>
          <w:rFonts w:ascii="Arno Pro" w:hAnsi="Arno Pro"/>
          <w:kern w:val="2"/>
          <w:sz w:val="18"/>
        </w:rPr>
        <w:t>.</w:t>
      </w:r>
    </w:p>
    <w:p>
      <w:pPr>
        <w:pStyle w:val="Normal"/>
        <w:rPr/>
      </w:pPr>
      <w:r>
        <w:rPr>
          <w:rStyle w:val="DefaultParagraphFont"/>
          <w:rFonts w:ascii="Arno Pro" w:hAnsi="Arno Pro"/>
          <w:kern w:val="2"/>
          <w:sz w:val="18"/>
        </w:rPr>
        <w:t>Lasly, we considered how metabolites effect the speciation of free and chelated Mg</w:t>
      </w:r>
      <w:r>
        <w:rPr>
          <w:rStyle w:val="DefaultParagraphFont"/>
          <w:rFonts w:ascii="Arno Pro" w:hAnsi="Arno Pro"/>
          <w:kern w:val="2"/>
          <w:position w:val="5"/>
          <w:sz w:val="12"/>
          <w:sz w:val="18"/>
        </w:rPr>
        <w:t>2+</w:t>
      </w:r>
      <w:r>
        <w:rPr>
          <w:rStyle w:val="DefaultParagraphFont"/>
          <w:rFonts w:ascii="Arno Pro" w:hAnsi="Arno Pro"/>
          <w:kern w:val="2"/>
          <w:sz w:val="18"/>
        </w:rPr>
        <w:t>.</w:t>
      </w:r>
      <w:r>
        <w:rPr>
          <w:rStyle w:val="DefaultParagraphFont"/>
          <w:rFonts w:ascii="Arno Pro" w:hAnsi="Arno Pro"/>
          <w:kern w:val="2"/>
          <w:position w:val="5"/>
          <w:sz w:val="12"/>
          <w:sz w:val="18"/>
        </w:rPr>
        <w:t xml:space="preserve"> </w:t>
      </w:r>
      <w:r>
        <w:rPr>
          <w:rStyle w:val="DefaultParagraphFont"/>
          <w:rFonts w:ascii="Arno Pro" w:hAnsi="Arno Pro"/>
          <w:kern w:val="2"/>
          <w:sz w:val="18"/>
        </w:rPr>
        <w:t>All 15 of the most abundant metabolites have functional groups, carboxylates and phosphates, that drive chelating interactions with divalent Mg</w:t>
      </w:r>
      <w:r>
        <w:rPr>
          <w:rStyle w:val="DefaultParagraphFont"/>
          <w:rFonts w:ascii="Arno Pro" w:hAnsi="Arno Pro"/>
          <w:kern w:val="2"/>
          <w:position w:val="5"/>
          <w:sz w:val="12"/>
          <w:sz w:val="18"/>
        </w:rPr>
        <w:t>2+</w:t>
      </w:r>
      <w:r>
        <w:rPr>
          <w:rStyle w:val="DefaultParagraphFont"/>
          <w:rFonts w:ascii="Arno Pro" w:hAnsi="Arno Pro"/>
          <w:kern w:val="2"/>
          <w:sz w:val="18"/>
        </w:rPr>
        <w:t xml:space="preserve"> ions (Table 1), and we have previously estimated that</w:t>
      </w:r>
      <w:r>
        <w:rPr>
          <w:rStyle w:val="DefaultParagraphFont"/>
          <w:rFonts w:ascii="Arno Pro" w:hAnsi="Arno Pro"/>
          <w:i/>
          <w:iCs/>
          <w:kern w:val="2"/>
          <w:sz w:val="18"/>
        </w:rPr>
        <w:t xml:space="preserve"> </w:t>
      </w:r>
      <w:r>
        <w:rPr>
          <w:rStyle w:val="DefaultParagraphFont"/>
          <w:rFonts w:ascii="Arno Pro" w:hAnsi="Arno Pro"/>
          <w:kern w:val="2"/>
          <w:sz w:val="18"/>
        </w:rPr>
        <w:t xml:space="preserve">the metabolite pool in </w:t>
      </w:r>
      <w:r>
        <w:rPr>
          <w:rStyle w:val="DefaultParagraphFont"/>
          <w:rFonts w:ascii="Arno Pro" w:hAnsi="Arno Pro"/>
          <w:i/>
          <w:iCs/>
          <w:kern w:val="2"/>
          <w:sz w:val="18"/>
        </w:rPr>
        <w:t xml:space="preserve">E. coli </w:t>
      </w:r>
      <w:r>
        <w:rPr>
          <w:rStyle w:val="DefaultParagraphFont"/>
          <w:rFonts w:ascii="Arno Pro" w:hAnsi="Arno Pro"/>
          <w:kern w:val="2"/>
          <w:sz w:val="18"/>
        </w:rPr>
        <w:t>has potential to chelate 51 mM Mg</w:t>
      </w:r>
      <w:r>
        <w:rPr>
          <w:rStyle w:val="DefaultParagraphFont"/>
          <w:rFonts w:ascii="Arno Pro" w:hAnsi="Arno Pro"/>
          <w:kern w:val="2"/>
          <w:position w:val="5"/>
          <w:sz w:val="12"/>
          <w:sz w:val="18"/>
        </w:rPr>
        <w:t>2+</w:t>
      </w:r>
      <w:r>
        <w:rPr>
          <w:rStyle w:val="DefaultParagraphFont"/>
          <w:rFonts w:ascii="Arno Pro" w:hAnsi="Arno Pro"/>
          <w:kern w:val="2"/>
          <w:sz w:val="18"/>
        </w:rPr>
        <w:t>, assuming 2 mM free Mg</w:t>
      </w:r>
      <w:r>
        <w:rPr>
          <w:rStyle w:val="DefaultParagraphFont"/>
          <w:rFonts w:ascii="Arno Pro" w:hAnsi="Arno Pro"/>
          <w:kern w:val="2"/>
          <w:position w:val="5"/>
          <w:sz w:val="12"/>
          <w:sz w:val="18"/>
        </w:rPr>
        <w:t>2+</w:t>
      </w:r>
      <w:r>
        <w:rPr>
          <w:rStyle w:val="DefaultParagraphFont"/>
          <w:rFonts w:ascii="Arno Pro" w:hAnsi="Arno Pro"/>
          <w:kern w:val="2"/>
          <w:sz w:val="18"/>
        </w:rPr>
        <w:t>, an ionic strength of 0.15 M and a pH</w:t>
      </w:r>
      <w:r>
        <w:rPr>
          <w:rStyle w:val="DefaultParagraphFont"/>
          <w:rFonts w:ascii="Arno Pro" w:hAnsi="Arno Pro"/>
          <w:kern w:val="2"/>
          <w:position w:val="5"/>
          <w:sz w:val="12"/>
          <w:sz w:val="18"/>
        </w:rPr>
        <w:t xml:space="preserve"> </w:t>
      </w:r>
      <w:r>
        <w:rPr>
          <w:rStyle w:val="DefaultParagraphFont"/>
          <w:rFonts w:ascii="Arno Pro" w:hAnsi="Arno Pro"/>
          <w:kern w:val="2"/>
          <w:sz w:val="18"/>
        </w:rPr>
        <w:t>of 7.5.</w:t>
      </w:r>
    </w:p>
    <w:p>
      <w:pPr>
        <w:pStyle w:val="VDTableTitle"/>
        <w:rPr>
          <w:rStyle w:val="DefaultParagraphFont"/>
          <w:rFonts w:ascii="Arno Pro" w:hAnsi="Arno Pro"/>
          <w:kern w:val="2"/>
          <w:sz w:val="16"/>
          <w:szCs w:val="16"/>
        </w:rPr>
      </w:pPr>
      <w:r>
        <w:rPr/>
      </w:r>
    </w:p>
    <w:p>
      <w:pPr>
        <w:pStyle w:val="Normal"/>
        <w:spacing w:before="0" w:after="0"/>
        <w:rPr/>
      </w:pPr>
      <w:r>
        <w:rPr>
          <w:rStyle w:val="DefaultParagraphFont"/>
          <w:rFonts w:ascii="Arno Pro" w:hAnsi="Arno Pro"/>
          <w:kern w:val="2"/>
          <w:sz w:val="18"/>
        </w:rPr>
        <w:t>While extensive liturature exists on chelating  interactions between Mg</w:t>
      </w:r>
      <w:r>
        <w:rPr>
          <w:rStyle w:val="DefaultParagraphFont"/>
          <w:rFonts w:ascii="Arno Pro" w:hAnsi="Arno Pro"/>
          <w:kern w:val="2"/>
          <w:position w:val="5"/>
          <w:sz w:val="12"/>
          <w:sz w:val="18"/>
        </w:rPr>
        <w:t>2+</w:t>
      </w:r>
      <w:r>
        <w:rPr>
          <w:rStyle w:val="DefaultParagraphFont"/>
          <w:rFonts w:ascii="Arno Pro" w:hAnsi="Arno Pro"/>
          <w:kern w:val="2"/>
          <w:sz w:val="18"/>
        </w:rPr>
        <w:t xml:space="preserve"> and small molecules, our </w:t>
        <w:br/>
        <w:t>previous estimates are putative at best because Mg</w:t>
      </w:r>
      <w:r>
        <w:rPr>
          <w:rStyle w:val="DefaultParagraphFont"/>
          <w:rFonts w:ascii="Arno Pro" w:hAnsi="Arno Pro"/>
          <w:kern w:val="2"/>
          <w:position w:val="5"/>
          <w:sz w:val="12"/>
          <w:sz w:val="18"/>
        </w:rPr>
        <w:t>2+</w:t>
      </w:r>
      <w:r>
        <w:rPr>
          <w:rStyle w:val="DefaultParagraphFont"/>
          <w:rFonts w:ascii="Arno Pro" w:hAnsi="Arno Pro"/>
          <w:kern w:val="2"/>
          <w:sz w:val="18"/>
        </w:rPr>
        <w:t xml:space="preserve"> chelation strength is highly dependent on enviromental factors such as pH, ionic strength, composition of background ions, and temperature. Thus, we sought to better characterize the Mg</w:t>
      </w:r>
      <w:r>
        <w:rPr>
          <w:rStyle w:val="DefaultParagraphFont"/>
          <w:rFonts w:ascii="Arno Pro" w:hAnsi="Arno Pro"/>
          <w:kern w:val="2"/>
          <w:position w:val="5"/>
          <w:sz w:val="12"/>
          <w:sz w:val="18"/>
        </w:rPr>
        <w:t xml:space="preserve">2+ </w:t>
      </w:r>
      <w:r>
        <w:rPr>
          <w:rStyle w:val="DefaultParagraphFont"/>
          <w:rFonts w:ascii="Arno Pro" w:hAnsi="Arno Pro"/>
          <w:kern w:val="2"/>
          <w:sz w:val="18"/>
        </w:rPr>
        <w:t xml:space="preserve">chelation strength of the top 15 most abundant </w:t>
      </w:r>
      <w:r>
        <w:rPr>
          <w:rStyle w:val="DefaultParagraphFont"/>
          <w:rFonts w:ascii="Arno Pro" w:hAnsi="Arno Pro"/>
          <w:i/>
          <w:iCs/>
          <w:kern w:val="2"/>
          <w:sz w:val="18"/>
        </w:rPr>
        <w:t>E. coli</w:t>
      </w:r>
      <w:r>
        <w:rPr>
          <w:rStyle w:val="DefaultParagraphFont"/>
          <w:rFonts w:ascii="Arno Pro" w:hAnsi="Arno Pro"/>
          <w:kern w:val="2"/>
          <w:sz w:val="18"/>
        </w:rPr>
        <w:t xml:space="preserve"> metabolites at the physiological ionic strength of 390 mM, physiological pH of 7.0, and physiological temperature range of 25</w:t>
      </w:r>
      <w:r>
        <w:rPr>
          <w:rStyle w:val="DefaultParagraphFont"/>
          <w:rFonts w:ascii="DejaVu Serif" w:hAnsi="DejaVu Serif"/>
          <w:kern w:val="2"/>
          <w:sz w:val="18"/>
        </w:rPr>
        <w:t>°</w:t>
      </w:r>
      <w:r>
        <w:rPr>
          <w:rStyle w:val="DefaultParagraphFont"/>
          <w:rFonts w:ascii="Arno Pro" w:hAnsi="Arno Pro"/>
          <w:kern w:val="2"/>
          <w:sz w:val="18"/>
        </w:rPr>
        <w:t xml:space="preserve">C to 50 </w:t>
      </w:r>
      <w:r>
        <w:rPr>
          <w:rStyle w:val="DefaultParagraphFont"/>
          <w:rFonts w:ascii="DejaVu Serif" w:hAnsi="DejaVu Serif"/>
          <w:kern w:val="2"/>
          <w:sz w:val="18"/>
        </w:rPr>
        <w:t>°</w:t>
      </w:r>
      <w:r>
        <w:rPr>
          <w:rStyle w:val="DefaultParagraphFont"/>
          <w:rFonts w:ascii="Arno Pro" w:hAnsi="Arno Pro"/>
          <w:kern w:val="2"/>
          <w:sz w:val="18"/>
        </w:rPr>
        <w:t>C.</w:t>
      </w:r>
    </w:p>
    <w:p>
      <w:pPr>
        <w:pStyle w:val="VAFigureCaption"/>
        <w:rPr/>
      </w:pPr>
      <w:r>
        <w:rPr>
          <w:rStyle w:val="DefaultParagraphFont"/>
          <w:rFonts w:eastAsia="Times New Roman" w:cs="Times New Roman"/>
          <w:b/>
          <w:bCs/>
          <w:sz w:val="19"/>
          <w:szCs w:val="19"/>
        </w:rPr>
        <w:t>F</w:t>
      </w:r>
      <w:r>
        <w:rPr>
          <w:rStyle w:val="DefaultParagraphFont"/>
          <w:rFonts w:eastAsia="Times New Roman" w:cs="Times New Roman"/>
          <w:b/>
          <w:bCs/>
          <w:sz w:val="19"/>
          <w:szCs w:val="19"/>
        </w:rPr>
        <w:t>F</w:t>
      </w:r>
      <w:r>
        <w:rPr>
          <w:rStyle w:val="DefaultParagraphFont"/>
          <w:rFonts w:eastAsia="Times New Roman" w:cs="Times New Roman"/>
          <w:b/>
          <w:bCs/>
          <w:sz w:val="19"/>
          <w:szCs w:val="19"/>
        </w:rPr>
        <w:t>igure 1</w:t>
      </w:r>
      <w:r>
        <w:rPr>
          <w:rStyle w:val="DefaultParagraphFont"/>
          <w:rFonts w:eastAsia="Times New Roman" w:cs="Times New Roman"/>
          <w:b/>
          <w:sz w:val="19"/>
          <w:szCs w:val="19"/>
        </w:rPr>
        <w:t xml:space="preserve">. </w:t>
      </w:r>
      <w:r>
        <w:rPr>
          <w:rStyle w:val="DefaultParagraphFont"/>
          <w:rFonts w:eastAsia="Times New Roman" w:cs="Times New Roman"/>
        </w:rPr>
        <w:t xml:space="preserve">The top 15 metabolites in </w:t>
      </w:r>
      <w:r>
        <w:rPr>
          <w:rStyle w:val="DefaultParagraphFont"/>
          <w:rFonts w:eastAsia="Times New Roman" w:cs="Times New Roman"/>
          <w:i/>
          <w:iCs/>
        </w:rPr>
        <w:t>E. coli</w:t>
      </w:r>
      <w:r>
        <w:rPr>
          <w:rStyle w:val="DefaultParagraphFont"/>
          <w:rFonts w:eastAsia="Times New Roman" w:cs="Times New Roman"/>
        </w:rPr>
        <w:t xml:space="preserve"> bind to Mg</w:t>
      </w:r>
      <w:r>
        <w:rPr>
          <w:rStyle w:val="DefaultParagraphFont"/>
          <w:rFonts w:eastAsia="Times New Roman" w:cs="Times New Roman"/>
          <w:position w:val="5"/>
          <w:sz w:val="12"/>
        </w:rPr>
        <w:t>2+</w:t>
      </w:r>
      <w:r>
        <w:rPr>
          <w:rStyle w:val="DefaultParagraphFont"/>
          <w:rFonts w:eastAsia="Times New Roman" w:cs="Times New Roman"/>
        </w:rPr>
        <w:t xml:space="preserve">. </w:t>
      </w:r>
      <w:r>
        <w:rPr>
          <w:rStyle w:val="DefaultParagraphFont"/>
          <w:rFonts w:eastAsia="Times New Roman" w:cs="Times New Roman"/>
          <w:b/>
          <w:bCs/>
        </w:rPr>
        <w:t>(A)</w:t>
      </w:r>
    </w:p>
    <w:p>
      <w:pPr>
        <w:pStyle w:val="Normal"/>
        <w:rPr/>
      </w:pPr>
      <w:r>
        <w:rPr>
          <w:rStyle w:val="DefaultParagraphFont"/>
          <w:rFonts w:ascii="Arno Pro" w:hAnsi="Arno Pro"/>
          <w:kern w:val="2"/>
          <w:sz w:val="18"/>
        </w:rPr>
        <w:t xml:space="preserve">Isothermal titration calorimetry (ITC) was used to determine inverse molar association constants for 9 of the 15 most abundant </w:t>
      </w:r>
      <w:r>
        <w:rPr>
          <w:rStyle w:val="DefaultParagraphFont"/>
          <w:rFonts w:ascii="Arno Pro" w:hAnsi="Arno Pro"/>
          <w:i/>
          <w:iCs/>
          <w:kern w:val="2"/>
          <w:sz w:val="18"/>
        </w:rPr>
        <w:t xml:space="preserve">E. coli </w:t>
      </w:r>
      <w:r>
        <w:rPr>
          <w:rStyle w:val="DefaultParagraphFont"/>
          <w:rFonts w:ascii="Arno Pro" w:hAnsi="Arno Pro"/>
          <w:kern w:val="2"/>
          <w:sz w:val="18"/>
        </w:rPr>
        <w:t>metabolites (Figure 1B &amp; C).</w:t>
      </w:r>
    </w:p>
    <w:p>
      <w:pPr>
        <w:pStyle w:val="Normal"/>
        <w:rPr/>
      </w:pPr>
      <w:r>
        <w:rPr>
          <w:rStyle w:val="DefaultParagraphFont"/>
          <w:rFonts w:ascii="Arno Pro" w:hAnsi="Arno Pro"/>
          <w:kern w:val="2"/>
          <w:sz w:val="18"/>
        </w:rPr>
        <w:t>The 6 remaining metabolites were not amenable to isothermal titration calorimetry because their interactions with Mg</w:t>
      </w:r>
      <w:r>
        <w:rPr>
          <w:rStyle w:val="DefaultParagraphFont"/>
          <w:rFonts w:ascii="Arno Pro" w:hAnsi="Arno Pro"/>
          <w:kern w:val="2"/>
          <w:position w:val="5"/>
          <w:sz w:val="12"/>
          <w:sz w:val="18"/>
        </w:rPr>
        <w:t>2+</w:t>
      </w:r>
      <w:r>
        <w:rPr>
          <w:rStyle w:val="DefaultParagraphFont"/>
          <w:rFonts w:ascii="Arno Pro" w:hAnsi="Arno Pro"/>
          <w:kern w:val="2"/>
          <w:sz w:val="18"/>
        </w:rPr>
        <w:t xml:space="preserve"> are very weak and require high, molar, concentrations of reagents making heat of dilution a large portion of the ITC signal.</w:t>
      </w:r>
    </w:p>
    <w:p>
      <w:pPr>
        <w:pStyle w:val="VDTableTitle"/>
        <w:rPr>
          <w:rStyle w:val="DefaultParagraphFont"/>
          <w:rFonts w:eastAsia="Times New Roman" w:cs="Times New Roman"/>
          <w:b w:val="false"/>
          <w:b w:val="false"/>
          <w:sz w:val="18"/>
          <w:szCs w:val="20"/>
        </w:rPr>
      </w:pPr>
      <w:r>
        <w:rPr/>
      </w:r>
    </w:p>
    <w:p>
      <w:pPr>
        <w:pStyle w:val="VAFigureCaption"/>
        <w:rPr/>
      </w:pPr>
      <w:r>
        <w:rPr>
          <w:rStyle w:val="DefaultParagraphFont"/>
          <w:rFonts w:eastAsia="Times New Roman" w:cs="Times New Roman"/>
          <w:b/>
          <w:bCs/>
          <w:sz w:val="19"/>
          <w:szCs w:val="19"/>
        </w:rPr>
        <w:t>Figure 2</w:t>
      </w:r>
      <w:r>
        <w:rPr>
          <w:rStyle w:val="DefaultParagraphFont"/>
          <w:rFonts w:eastAsia="Times New Roman" w:cs="Times New Roman"/>
          <w:b/>
          <w:sz w:val="19"/>
          <w:szCs w:val="19"/>
        </w:rPr>
        <w:t xml:space="preserve">. </w:t>
      </w:r>
      <w:r>
        <w:rPr>
          <w:rStyle w:val="DefaultParagraphFont"/>
          <w:rFonts w:eastAsia="Times New Roman" w:cs="Times New Roman"/>
        </w:rPr>
        <w:t>Mg</w:t>
      </w:r>
      <w:r>
        <w:rPr>
          <w:rStyle w:val="DefaultParagraphFont"/>
          <w:rFonts w:eastAsia="Times New Roman" w:cs="Times New Roman"/>
          <w:position w:val="5"/>
          <w:sz w:val="12"/>
        </w:rPr>
        <w:t>2+</w:t>
      </w:r>
      <w:r>
        <w:rPr>
          <w:rStyle w:val="DefaultParagraphFont"/>
          <w:rFonts w:eastAsia="Times New Roman" w:cs="Times New Roman"/>
        </w:rPr>
        <w:t xml:space="preserve"> speciation at cellular pH and ionic strength.</w:t>
      </w:r>
    </w:p>
    <w:p>
      <w:pPr>
        <w:pStyle w:val="VDTableTitle"/>
        <w:rPr>
          <w:rStyle w:val="DefaultParagraphFont"/>
          <w:rFonts w:eastAsia="Times New Roman" w:cs="Times New Roman"/>
          <w:bCs/>
          <w:sz w:val="19"/>
          <w:szCs w:val="19"/>
        </w:rPr>
      </w:pPr>
      <w:r>
        <w:rPr>
          <w:kern w:val="2"/>
          <w:sz w:val="18"/>
        </w:rPr>
      </w:r>
    </w:p>
    <w:p>
      <w:pPr>
        <w:pStyle w:val="VAFigureCaption"/>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094" w:right="1094" w:header="0" w:top="720" w:footer="720" w:bottom="720" w:gutter="0"/>
          <w:cols w:num="2" w:space="460" w:equalWidth="true" w:sep="false"/>
          <w:formProt w:val="false"/>
          <w:textDirection w:val="lrTb"/>
          <w:docGrid w:type="default" w:linePitch="600" w:charSpace="32768"/>
        </w:sectPr>
      </w:pPr>
    </w:p>
    <w:p>
      <w:pPr>
        <w:pStyle w:val="VAFigureCaption"/>
        <w:rPr>
          <w:b/>
          <w:b/>
          <w:bCs/>
        </w:rPr>
      </w:pPr>
      <w:r>
        <w:rPr>
          <w:b/>
          <w:bCs/>
        </w:rPr>
      </w:r>
    </w:p>
    <w:p>
      <w:pPr>
        <w:pStyle w:val="VAFigureCaption"/>
        <w:rPr/>
      </w:pPr>
      <w:r>
        <w:rPr>
          <w:rStyle w:val="DefaultParagraphFont"/>
          <w:b/>
          <w:bCs/>
        </w:rPr>
        <w:t>Figure 2</w:t>
      </w:r>
      <w:r>
        <w:rPr/>
        <w:t>. T</w:t>
      </w:r>
      <w:r>
        <w:rPr>
          <w:rStyle w:val="DefaultParagraphFont"/>
          <w:rFonts w:eastAsia="Times New Roman" w:cs="Times New Roman"/>
        </w:rPr>
        <w:t>he temperature dependence of metabolites binding Mg at cellular pH and ionic strength.</w:t>
      </w:r>
    </w:p>
    <w:p>
      <w:pPr>
        <w:sectPr>
          <w:type w:val="continuous"/>
          <w:pgSz w:w="12240" w:h="15840"/>
          <w:pgMar w:left="1094" w:right="1094" w:header="0" w:top="720" w:footer="720" w:bottom="720" w:gutter="0"/>
          <w:formProt w:val="false"/>
          <w:textDirection w:val="lrTb"/>
          <w:docGrid w:type="default" w:linePitch="600" w:charSpace="32768"/>
        </w:sectPr>
      </w:pP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VAFigureCaption"/>
        <w:rPr/>
      </w:pPr>
      <w:r>
        <w:rPr>
          <w:rStyle w:val="DefaultParagraphFont"/>
          <w:rFonts w:eastAsia="Times New Roman" w:cs="Times New Roman"/>
          <w:b/>
          <w:bCs/>
          <w:sz w:val="19"/>
          <w:szCs w:val="19"/>
        </w:rPr>
        <w:t>Figure 5</w:t>
      </w:r>
      <w:r>
        <w:rPr>
          <w:rStyle w:val="DefaultParagraphFont"/>
          <w:rFonts w:eastAsia="Times New Roman" w:cs="Times New Roman"/>
          <w:b/>
          <w:sz w:val="19"/>
          <w:szCs w:val="19"/>
        </w:rPr>
        <w:t xml:space="preserve">. </w:t>
      </w:r>
      <w:r>
        <w:rPr>
          <w:rStyle w:val="DefaultParagraphFont"/>
          <w:rFonts w:eastAsia="Times New Roman" w:cs="Times New Roman"/>
        </w:rPr>
        <w:t>Cartoon depiction of the three way network of RNA, metabolite, and Mg2+ interactions.</w:t>
      </w:r>
    </w:p>
    <w:p>
      <w:pPr>
        <w:pStyle w:val="VAFigureCaption"/>
        <w:rPr/>
      </w:pPr>
      <w:r>
        <w:rPr/>
      </w:r>
    </w:p>
    <w:p>
      <w:pPr>
        <w:sectPr>
          <w:type w:val="continuous"/>
          <w:pgSz w:w="12240" w:h="15840"/>
          <w:pgMar w:left="1094" w:right="1094" w:header="0" w:top="720" w:footer="720" w:bottom="720" w:gutter="0"/>
          <w:cols w:num="2" w:space="460" w:equalWidth="true" w:sep="false"/>
          <w:formProt w:val="false"/>
          <w:textDirection w:val="lrTb"/>
          <w:docGrid w:type="default" w:linePitch="600" w:charSpace="32768"/>
        </w:sectPr>
      </w:pPr>
    </w:p>
    <w:p>
      <w:pPr>
        <w:pStyle w:val="Normal"/>
        <w:spacing w:before="0" w:after="0"/>
        <w:rPr/>
      </w:pPr>
      <w:r>
        <w:rPr>
          <w:rStyle w:val="DefaultParagraphFont"/>
          <w:rFonts w:ascii="Arno Pro" w:hAnsi="Arno Pro"/>
          <w:b/>
          <w:kern w:val="2"/>
          <w:sz w:val="20"/>
        </w:rPr>
        <w:t>Displayed equations</w:t>
      </w:r>
      <w:r>
        <w:rPr>
          <w:rStyle w:val="DefaultParagraphFont"/>
          <w:rFonts w:ascii="Arno Pro" w:hAnsi="Arno Pro"/>
          <w:kern w:val="2"/>
          <w:sz w:val="20"/>
        </w:rPr>
        <w:t xml:space="preserve"> can be inserted where desired making sure they are assigned Word Style "Normal". Displayed equations can only be one column wide. If the artwork needs to be two columns wide, it must be relabeled as a figure, chart, or scheme and mentioned as such in the text.</w:t>
      </w:r>
    </w:p>
    <w:p>
      <w:pPr>
        <w:pStyle w:val="TESupportingInfoTitle"/>
        <w:rPr/>
      </w:pPr>
      <w:r>
        <w:rPr/>
        <w:t>ASSOCIATED CONTENT</w:t>
      </w:r>
    </w:p>
    <w:p>
      <w:pPr>
        <w:pStyle w:val="TESupportingInformation"/>
        <w:rPr/>
      </w:pPr>
      <w:r>
        <w:rPr/>
        <w:t>(Word Style “TE_Supporting_Informati</w:t>
      </w:r>
      <w:r>
        <w:rPr>
          <w:rStyle w:val="DefaultParagraphFont"/>
          <w:b/>
        </w:rPr>
        <w:t>on”). Supporting Information</w:t>
      </w:r>
      <w:r>
        <w:rPr/>
        <w:t>. A brief statement in nonsentence format listing the contents of material supplied as Supporting Information should be included, ending with “This material is available free of charge via the Internet at http://pubs.acs.org.” For instructions on what should be included in the Supporting Information as well as how to prepare this material for publication, refer to the journal’s Instructions for Authors.</w:t>
      </w:r>
    </w:p>
    <w:p>
      <w:pPr>
        <w:pStyle w:val="AuthorInformationTitle"/>
        <w:rPr/>
      </w:pPr>
      <w:r>
        <w:rPr/>
        <w:t>AUTHOR INFORMATION</w:t>
      </w:r>
    </w:p>
    <w:p>
      <w:pPr>
        <w:pStyle w:val="FAAuthorInfoSubtitle"/>
        <w:rPr/>
      </w:pPr>
      <w:r>
        <w:rPr/>
        <w:t>Corresponding Author</w:t>
      </w:r>
    </w:p>
    <w:p>
      <w:pPr>
        <w:pStyle w:val="StyleFACorrespondingAuthorFootnote7pt"/>
        <w:rPr/>
      </w:pPr>
      <w:r>
        <w:rPr/>
        <w:t>* (Word Style “FA_Corresponding_Author_Footnote”). Give contact information for the author(s) to whom correspondence should be addressed.</w:t>
      </w:r>
    </w:p>
    <w:p>
      <w:pPr>
        <w:pStyle w:val="FAAuthorInfoSubtitle"/>
        <w:rPr/>
      </w:pPr>
      <w:r>
        <w:rPr/>
        <w:t>Present Addresses</w:t>
      </w:r>
    </w:p>
    <w:p>
      <w:pPr>
        <w:pStyle w:val="StyleFACorrespondingAuthorFootnote7pt"/>
        <w:rPr/>
      </w:pPr>
      <w:r>
        <w:rPr/>
        <w:t>†</w:t>
      </w:r>
      <w:r>
        <w:rPr/>
        <w:t>If an author’s address is different than the one given in the affiliation line, this information may be included here.</w:t>
      </w:r>
    </w:p>
    <w:p>
      <w:pPr>
        <w:pStyle w:val="FAAuthorInfoSubtitle"/>
        <w:rPr/>
      </w:pPr>
      <w:r>
        <w:rPr/>
        <w:t>Author Contributions</w:t>
      </w:r>
    </w:p>
    <w:p>
      <w:pPr>
        <w:pStyle w:val="StyleFACorrespondingAuthorFootnote7pt"/>
        <w:rPr/>
      </w:pPr>
      <w:r>
        <w:rPr/>
        <w:t xml:space="preserve">The manuscript was written through contributions of all authors. / All authors have given approval to the final version of the manuscript. / </w:t>
      </w:r>
      <w:r>
        <w:rPr>
          <w:rStyle w:val="DefaultParagraphFont"/>
          <w:rFonts w:ascii="Times New Roman" w:hAnsi="Times New Roman"/>
        </w:rPr>
        <w:t>‡</w:t>
      </w:r>
      <w:r>
        <w:rPr/>
        <w:t>These authors contributed equally. (match statement to author names with a symbol)</w:t>
      </w:r>
    </w:p>
    <w:p>
      <w:pPr>
        <w:pStyle w:val="FAAuthorInfoSubtitle"/>
        <w:rPr/>
      </w:pPr>
      <w:r>
        <w:rPr/>
        <w:t>Funding Sources</w:t>
      </w:r>
    </w:p>
    <w:p>
      <w:pPr>
        <w:pStyle w:val="StyleFACorrespondingAuthorFootnote7pt"/>
        <w:rPr/>
      </w:pPr>
      <w:r>
        <w:rPr/>
        <w:t>Any funds used to support the research of the manuscript should be placed here (per journal style).</w:t>
        <w:br/>
      </w:r>
      <w:r>
        <w:rPr>
          <w:rStyle w:val="FAAuthorInfoSubtitleChar"/>
        </w:rPr>
        <w:t>Notes</w:t>
        <w:br/>
      </w:r>
      <w:r>
        <w:rPr/>
        <w:t>Any additional relevant notes should be placed here.</w:t>
      </w:r>
    </w:p>
    <w:p>
      <w:pPr>
        <w:pStyle w:val="TDAckTitle"/>
        <w:rPr/>
      </w:pPr>
      <w:r>
        <w:rPr/>
        <w:t>ACKNOWLEDGMENT</w:t>
      </w:r>
    </w:p>
    <w:p>
      <w:pPr>
        <w:pStyle w:val="TDAcknowledgments"/>
        <w:rPr/>
      </w:pPr>
      <w:r>
        <w:rPr/>
        <w:t>(Word Style "TD_Acknowledgments"). Generally the last paragraph of the paper is the place to acknowledge people (dedications), places, and financing (you may state grant numbers and sponsors here).  Follow the journal’s guidelines on what to include in the Acknowledgement section.</w:t>
      </w:r>
    </w:p>
    <w:p>
      <w:pPr>
        <w:pStyle w:val="TDAckTitle"/>
        <w:rPr/>
      </w:pPr>
      <w:r>
        <w:rPr/>
        <w:t>ABBREVIATIONS</w:t>
      </w:r>
    </w:p>
    <w:p>
      <w:pPr>
        <w:pStyle w:val="TDAcknowledgments"/>
        <w:rPr/>
      </w:pPr>
      <w:r>
        <w:rPr/>
        <w:t>CCR2, CC chemokine receptor 2; CCL2, CC chemokine ligand 2; CCR5, CC chemokine receptor 5; TLC, thin layer chromatography.</w:t>
      </w:r>
    </w:p>
    <w:p>
      <w:pPr>
        <w:pStyle w:val="TDAckTitle"/>
        <w:rPr/>
      </w:pPr>
      <w:r>
        <w:rPr/>
        <w:t>REFERENCES</w:t>
      </w:r>
    </w:p>
    <w:p>
      <w:pPr>
        <w:pStyle w:val="TFReferencesSection"/>
        <w:rPr/>
      </w:pPr>
      <w:r>
        <w:rPr/>
        <w:t xml:space="preserve">(Word Style "TF_References_Section"). References are placed at the end of the manuscript. Authors are responsible for the accuracy and completeness of all references. Examples of the recommended formats for the various reference types can be found at </w:t>
      </w:r>
      <w:hyperlink r:id="rId4" w:tgtFrame="_top">
        <w:r>
          <w:rPr>
            <w:rStyle w:val="InternetLink"/>
          </w:rPr>
          <w:t>http://pubs.acs.org/page/4authors/index.html</w:t>
        </w:r>
      </w:hyperlink>
      <w:r>
        <w:rPr/>
        <w:t>. Detailed information on reference style can be found in The ACS Style Guide, available from Oxford Press.</w:t>
      </w:r>
    </w:p>
    <w:p>
      <w:pPr>
        <w:sectPr>
          <w:type w:val="continuous"/>
          <w:pgSz w:w="12240" w:h="15840"/>
          <w:pgMar w:left="1094" w:right="1094" w:header="0" w:top="720" w:footer="720" w:bottom="720" w:gutter="0"/>
          <w:cols w:num="2" w:space="460" w:equalWidth="true" w:sep="false"/>
          <w:formProt w:val="false"/>
          <w:textDirection w:val="lrTb"/>
          <w:docGrid w:type="default" w:linePitch="600" w:charSpace="32768"/>
        </w:sectPr>
      </w:pPr>
    </w:p>
    <w:p>
      <w:pPr>
        <w:pStyle w:val="SNSynopsisTOC"/>
        <w:rPr/>
      </w:pPr>
      <w:r>
        <w:rPr/>
        <w:t>SYNOPSIS TOC (Word Style “SN_Synopsis_TOC”). If you are submitting your paper to a journal that requires a synopsis graphic and/or synopsis paragraph, see the Instructions for Authors on the journal’s homepage for a description of what needs to be provided and for the size requirements of the artwork.</w:t>
      </w:r>
    </w:p>
    <w:p>
      <w:pPr>
        <w:sectPr>
          <w:footerReference w:type="default" r:id="rId5"/>
          <w:type w:val="nextPage"/>
          <w:pgSz w:w="12240" w:h="15840"/>
          <w:pgMar w:left="1094" w:right="1094" w:header="0" w:top="720" w:footer="0" w:bottom="720" w:gutter="0"/>
          <w:pgNumType w:fmt="decimal"/>
          <w:formProt w:val="false"/>
          <w:textDirection w:val="lrTb"/>
          <w:docGrid w:type="default" w:linePitch="600" w:charSpace="32768"/>
        </w:sectPr>
      </w:pPr>
    </w:p>
    <w:p>
      <w:pPr>
        <w:pStyle w:val="Normal"/>
        <w:spacing w:before="0" w:after="0"/>
        <w:rPr>
          <w:rFonts w:ascii="Arno Pro" w:hAnsi="Arno Pro"/>
          <w:sz w:val="19"/>
          <w:szCs w:val="19"/>
        </w:rPr>
      </w:pPr>
      <w:r>
        <w:rPr>
          <w:rFonts w:ascii="Arno Pro" w:hAnsi="Arno Pro"/>
          <w:sz w:val="19"/>
          <w:szCs w:val="19"/>
        </w:rPr>
        <w:t>To format double-column figures, schemes, charts, and tables, use the following instructions:</w:t>
      </w:r>
    </w:p>
    <w:p>
      <w:pPr>
        <w:pStyle w:val="Normal"/>
        <w:spacing w:before="0" w:after="0"/>
        <w:rPr>
          <w:rFonts w:ascii="Arno Pro" w:hAnsi="Arno Pro"/>
          <w:sz w:val="19"/>
          <w:szCs w:val="19"/>
        </w:rPr>
      </w:pPr>
      <w:r>
        <w:rPr>
          <w:rFonts w:ascii="Arno Pro" w:hAnsi="Arno Pro"/>
          <w:sz w:val="19"/>
          <w:szCs w:val="19"/>
        </w:rPr>
      </w:r>
    </w:p>
    <w:p>
      <w:pPr>
        <w:pStyle w:val="Normal"/>
        <w:spacing w:before="0" w:after="0"/>
        <w:rPr/>
      </w:pPr>
      <w:r>
        <w:rPr>
          <w:rStyle w:val="DefaultParagraphFont"/>
          <w:rFonts w:ascii="Arno Pro" w:hAnsi="Arno Pro"/>
          <w:sz w:val="19"/>
          <w:szCs w:val="19"/>
        </w:rPr>
        <w:tab/>
      </w:r>
      <w:r>
        <w:rPr>
          <w:rStyle w:val="DefaultParagraphFont"/>
          <w:rFonts w:ascii="Arno Pro" w:hAnsi="Arno Pro"/>
          <w:sz w:val="20"/>
        </w:rPr>
        <w:t>Place the insertion point where you want to change the number of columns</w:t>
      </w:r>
    </w:p>
    <w:p>
      <w:pPr>
        <w:pStyle w:val="Normal"/>
        <w:spacing w:before="0" w:after="0"/>
        <w:rPr/>
      </w:pPr>
      <w:r>
        <w:rPr>
          <w:rStyle w:val="DefaultParagraphFont"/>
          <w:rFonts w:ascii="Arno Pro" w:hAnsi="Arno Pro"/>
          <w:sz w:val="20"/>
        </w:rPr>
        <w:tab/>
        <w:t xml:space="preserve">From the </w:t>
      </w:r>
      <w:r>
        <w:rPr>
          <w:rStyle w:val="DefaultParagraphFont"/>
          <w:rFonts w:ascii="Arno Pro" w:hAnsi="Arno Pro"/>
          <w:b/>
          <w:sz w:val="20"/>
        </w:rPr>
        <w:t>Insert</w:t>
      </w:r>
      <w:r>
        <w:rPr>
          <w:rStyle w:val="DefaultParagraphFont"/>
          <w:rFonts w:ascii="Arno Pro" w:hAnsi="Arno Pro"/>
          <w:sz w:val="20"/>
        </w:rPr>
        <w:t xml:space="preserve"> menu, choose </w:t>
      </w:r>
      <w:r>
        <w:rPr>
          <w:rStyle w:val="DefaultParagraphFont"/>
          <w:rFonts w:ascii="Arno Pro" w:hAnsi="Arno Pro"/>
          <w:b/>
          <w:sz w:val="20"/>
        </w:rPr>
        <w:t>Break</w:t>
      </w:r>
    </w:p>
    <w:p>
      <w:pPr>
        <w:pStyle w:val="Normal"/>
        <w:spacing w:before="0" w:after="0"/>
        <w:rPr/>
      </w:pPr>
      <w:r>
        <w:rPr>
          <w:rStyle w:val="DefaultParagraphFont"/>
          <w:rFonts w:ascii="Arno Pro" w:hAnsi="Arno Pro"/>
          <w:sz w:val="20"/>
        </w:rPr>
        <w:tab/>
        <w:t xml:space="preserve">Under </w:t>
      </w:r>
      <w:r>
        <w:rPr>
          <w:rStyle w:val="DefaultParagraphFont"/>
          <w:rFonts w:ascii="Arno Pro" w:hAnsi="Arno Pro"/>
          <w:b/>
          <w:sz w:val="20"/>
        </w:rPr>
        <w:t>Sections</w:t>
      </w:r>
      <w:r>
        <w:rPr>
          <w:rStyle w:val="DefaultParagraphFont"/>
          <w:rFonts w:ascii="Arno Pro" w:hAnsi="Arno Pro"/>
          <w:sz w:val="20"/>
        </w:rPr>
        <w:t xml:space="preserve">, choose </w:t>
      </w:r>
      <w:r>
        <w:rPr>
          <w:rStyle w:val="DefaultParagraphFont"/>
          <w:rFonts w:ascii="Arno Pro" w:hAnsi="Arno Pro"/>
          <w:b/>
          <w:sz w:val="20"/>
        </w:rPr>
        <w:t>Continuous</w:t>
      </w:r>
    </w:p>
    <w:p>
      <w:pPr>
        <w:pStyle w:val="Normal"/>
        <w:spacing w:before="0" w:after="0"/>
        <w:rPr/>
      </w:pPr>
      <w:r>
        <w:rPr>
          <w:rStyle w:val="DefaultParagraphFont"/>
          <w:rFonts w:ascii="Arno Pro" w:hAnsi="Arno Pro"/>
          <w:sz w:val="20"/>
        </w:rPr>
        <w:tab/>
        <w:t xml:space="preserve">Make sure the insertion point is in the new section. From the </w:t>
      </w:r>
      <w:r>
        <w:rPr>
          <w:rStyle w:val="DefaultParagraphFont"/>
          <w:rFonts w:ascii="Arno Pro" w:hAnsi="Arno Pro"/>
          <w:b/>
          <w:sz w:val="20"/>
        </w:rPr>
        <w:t>Format</w:t>
      </w:r>
      <w:r>
        <w:rPr>
          <w:rStyle w:val="DefaultParagraphFont"/>
          <w:rFonts w:ascii="Arno Pro" w:hAnsi="Arno Pro"/>
          <w:sz w:val="20"/>
        </w:rPr>
        <w:t xml:space="preserve"> menu, choose </w:t>
      </w:r>
      <w:r>
        <w:rPr>
          <w:rStyle w:val="DefaultParagraphFont"/>
          <w:rFonts w:ascii="Arno Pro" w:hAnsi="Arno Pro"/>
          <w:b/>
          <w:sz w:val="20"/>
        </w:rPr>
        <w:t>Columns</w:t>
      </w:r>
    </w:p>
    <w:p>
      <w:pPr>
        <w:pStyle w:val="Normal"/>
        <w:spacing w:before="0" w:after="0"/>
        <w:rPr/>
      </w:pPr>
      <w:r>
        <w:rPr>
          <w:rStyle w:val="DefaultParagraphFont"/>
          <w:rFonts w:ascii="Arno Pro" w:hAnsi="Arno Pro"/>
          <w:sz w:val="20"/>
        </w:rPr>
        <w:tab/>
        <w:t xml:space="preserve">In the </w:t>
      </w:r>
      <w:r>
        <w:rPr>
          <w:rStyle w:val="DefaultParagraphFont"/>
          <w:rFonts w:ascii="Arno Pro" w:hAnsi="Arno Pro"/>
          <w:b/>
          <w:sz w:val="20"/>
        </w:rPr>
        <w:t>Number of Columns</w:t>
      </w:r>
      <w:r>
        <w:rPr>
          <w:rStyle w:val="DefaultParagraphFont"/>
          <w:rFonts w:ascii="Arno Pro" w:hAnsi="Arno Pro"/>
          <w:sz w:val="20"/>
        </w:rPr>
        <w:t xml:space="preserve"> box, type </w:t>
      </w:r>
      <w:r>
        <w:rPr>
          <w:rStyle w:val="DefaultParagraphFont"/>
          <w:rFonts w:ascii="Arno Pro" w:hAnsi="Arno Pro"/>
          <w:b/>
          <w:sz w:val="20"/>
        </w:rPr>
        <w:t>1</w:t>
      </w:r>
    </w:p>
    <w:p>
      <w:pPr>
        <w:pStyle w:val="Normal"/>
        <w:spacing w:before="0" w:after="0"/>
        <w:rPr/>
      </w:pPr>
      <w:r>
        <w:rPr>
          <w:rStyle w:val="DefaultParagraphFont"/>
          <w:rFonts w:ascii="Arno Pro" w:hAnsi="Arno Pro"/>
          <w:sz w:val="20"/>
        </w:rPr>
        <w:tab/>
        <w:t xml:space="preserve">Choose the </w:t>
      </w:r>
      <w:r>
        <w:rPr>
          <w:rStyle w:val="DefaultParagraphFont"/>
          <w:rFonts w:ascii="Arno Pro" w:hAnsi="Arno Pro"/>
          <w:b/>
          <w:sz w:val="20"/>
        </w:rPr>
        <w:t>OK</w:t>
      </w:r>
      <w:r>
        <w:rPr>
          <w:rStyle w:val="DefaultParagraphFont"/>
          <w:rFonts w:ascii="Arno Pro" w:hAnsi="Arno Pro"/>
          <w:sz w:val="20"/>
        </w:rPr>
        <w:t xml:space="preserve"> button</w:t>
      </w:r>
    </w:p>
    <w:p>
      <w:pPr>
        <w:pStyle w:val="Normal"/>
        <w:rPr>
          <w:rFonts w:ascii="Arno Pro" w:hAnsi="Arno Pro"/>
          <w:sz w:val="19"/>
          <w:szCs w:val="19"/>
        </w:rPr>
      </w:pPr>
      <w:r>
        <w:rPr>
          <w:rFonts w:ascii="Arno Pro" w:hAnsi="Arno Pro"/>
          <w:sz w:val="19"/>
          <w:szCs w:val="19"/>
        </w:rPr>
      </w:r>
    </w:p>
    <w:p>
      <w:pPr>
        <w:pStyle w:val="Normal"/>
        <w:rPr>
          <w:rFonts w:ascii="Arno Pro" w:hAnsi="Arno Pro"/>
          <w:sz w:val="20"/>
        </w:rPr>
      </w:pPr>
      <w:r>
        <w:rPr>
          <w:rFonts w:ascii="Arno Pro" w:hAnsi="Arno Pro"/>
          <w:sz w:val="20"/>
        </w:rPr>
        <w:t>Now your page is set up so that figures, schemes, charts, and tables can span two columns. These must appear at the top of the page. Be sure to add another section break after the table and change it back to two columns with a spacing of 0.33 in.</w:t>
      </w:r>
    </w:p>
    <w:p>
      <w:pPr>
        <w:pStyle w:val="VDTableTitle"/>
        <w:rPr/>
      </w:pPr>
      <w:r>
        <w:rPr/>
        <w:t>Table 1. Example of a Double-Column Table</w:t>
      </w:r>
    </w:p>
    <w:tbl>
      <w:tblPr>
        <w:tblW w:w="10264" w:type="dxa"/>
        <w:jc w:val="left"/>
        <w:tblInd w:w="108" w:type="dxa"/>
        <w:tblCellMar>
          <w:top w:w="0" w:type="dxa"/>
          <w:left w:w="108" w:type="dxa"/>
          <w:bottom w:w="0" w:type="dxa"/>
          <w:right w:w="108" w:type="dxa"/>
        </w:tblCellMar>
      </w:tblPr>
      <w:tblGrid>
        <w:gridCol w:w="1283"/>
        <w:gridCol w:w="1283"/>
        <w:gridCol w:w="1284"/>
        <w:gridCol w:w="1283"/>
        <w:gridCol w:w="1283"/>
        <w:gridCol w:w="1283"/>
        <w:gridCol w:w="1283"/>
        <w:gridCol w:w="1282"/>
      </w:tblGrid>
      <w:tr>
        <w:trPr/>
        <w:tc>
          <w:tcPr>
            <w:tcW w:w="1283"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1</w:t>
            </w:r>
          </w:p>
        </w:tc>
        <w:tc>
          <w:tcPr>
            <w:tcW w:w="1283"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2</w:t>
            </w:r>
          </w:p>
        </w:tc>
        <w:tc>
          <w:tcPr>
            <w:tcW w:w="1284"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3</w:t>
            </w:r>
          </w:p>
        </w:tc>
        <w:tc>
          <w:tcPr>
            <w:tcW w:w="1283"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4</w:t>
            </w:r>
          </w:p>
        </w:tc>
        <w:tc>
          <w:tcPr>
            <w:tcW w:w="1283"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5</w:t>
            </w:r>
          </w:p>
        </w:tc>
        <w:tc>
          <w:tcPr>
            <w:tcW w:w="1283"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6</w:t>
            </w:r>
          </w:p>
        </w:tc>
        <w:tc>
          <w:tcPr>
            <w:tcW w:w="1283"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7</w:t>
            </w:r>
          </w:p>
        </w:tc>
        <w:tc>
          <w:tcPr>
            <w:tcW w:w="1282"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8</w:t>
            </w:r>
          </w:p>
        </w:tc>
      </w:tr>
      <w:tr>
        <w:trPr/>
        <w:tc>
          <w:tcPr>
            <w:tcW w:w="1283"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3"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4"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3"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3"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3"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3"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2"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r>
    </w:tbl>
    <w:p>
      <w:pPr>
        <w:pStyle w:val="Normal"/>
        <w:pBdr>
          <w:top w:val="single" w:sz="4" w:space="1" w:color="000000"/>
        </w:pBdr>
        <w:spacing w:before="120" w:after="0"/>
        <w:rPr>
          <w:rFonts w:ascii="Arno Pro" w:hAnsi="Arno Pro"/>
          <w:sz w:val="20"/>
        </w:rPr>
      </w:pPr>
      <w:r>
        <w:rPr>
          <w:rFonts w:ascii="Arno Pro" w:hAnsi="Arno Pro"/>
          <w:sz w:val="20"/>
        </w:rPr>
        <w:t>Authors are required to submit a graphic entry for the Table of Contents (TOC) that, in conjunction with the manuscript title, should give the reader a representative idea of one of the following: A key structure, reaction, equation, concept, or theorem, etc., that is discussed in the manuscript. Consult the journal’s Instructions for Authors for TOC graphic specifications.</w:t>
      </w:r>
    </w:p>
    <w:p>
      <w:pPr>
        <w:pStyle w:val="Normal"/>
        <w:pBdr>
          <w:bottom w:val="single" w:sz="4" w:space="1" w:color="000000"/>
        </w:pBdr>
        <w:spacing w:before="0" w:after="240"/>
        <w:jc w:val="center"/>
        <w:rPr/>
      </w:pPr>
      <w:r>
        <w:rPr>
          <w:rStyle w:val="DefaultParagraphFont"/>
          <w:rFonts w:ascii="Arno Pro" w:hAnsi="Arno Pro"/>
        </w:rPr>
        <w:t>Insert Table of Contents artwork here</w:t>
      </w:r>
    </w:p>
    <w:sectPr>
      <w:type w:val="continuous"/>
      <w:pgSz w:w="12240" w:h="15840"/>
      <w:pgMar w:left="1094" w:right="1094" w:header="0" w:top="720" w:footer="0" w:bottom="72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ew York">
    <w:charset w:val="01"/>
    <w:family w:val="roman"/>
    <w:pitch w:val="variable"/>
  </w:font>
  <w:font w:name="Times">
    <w:altName w:val="Times New Roman"/>
    <w:charset w:val="01"/>
    <w:family w:val="roman"/>
    <w:pitch w:val="variable"/>
  </w:font>
  <w:font w:name="Myriad Pro Light">
    <w:charset w:val="01"/>
    <w:family w:val="roman"/>
    <w:pitch w:val="variable"/>
  </w:font>
  <w:font w:name="Arno Pro">
    <w:charset w:val="01"/>
    <w:family w:val="roman"/>
    <w:pitch w:val="variable"/>
  </w:font>
  <w:font w:name="Liberation Sans">
    <w:altName w:val="Arial"/>
    <w:charset w:val="01"/>
    <w:family w:val="roman"/>
    <w:pitch w:val="variable"/>
  </w:font>
  <w:font w:name="Tahoma">
    <w:charset w:val="01"/>
    <w:family w:val="swiss"/>
    <w:pitch w:val="variable"/>
  </w:font>
  <w:font w:name="DejaVu Serif">
    <w:charset w:val="01"/>
    <w:family w:val="roman"/>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ind w:left="0"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w:rPr/>
    </w:r>
  </w:p>
  <w:p>
    <w:pPr>
      <w:pStyle w:val="Normal"/>
      <w:widowControl/>
      <w:suppressAutoHyphens w:val="false"/>
      <w:spacing w:before="0" w:after="200"/>
      <w:jc w:val="both"/>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360"/>
      </w:pPr>
    </w:lvl>
    <w:lvl w:ilvl="3">
      <w:start w:val="1"/>
      <w:numFmt w:val="decimal"/>
      <w:lvlText w:val="%1.%2.%3.%4"/>
      <w:lvlJc w:val="left"/>
      <w:pPr>
        <w:tabs>
          <w:tab w:val="num" w:pos="0"/>
        </w:tabs>
        <w:ind w:left="1800" w:hanging="360"/>
      </w:pPr>
    </w:lvl>
    <w:lvl w:ilvl="4">
      <w:start w:val="1"/>
      <w:numFmt w:val="decimal"/>
      <w:lvlText w:val="%1.%2.%3.%4.%5"/>
      <w:lvlJc w:val="left"/>
      <w:pPr>
        <w:tabs>
          <w:tab w:val="num" w:pos="0"/>
        </w:tabs>
        <w:ind w:left="2160" w:hanging="360"/>
      </w:pPr>
    </w:lvl>
    <w:lvl w:ilvl="5">
      <w:start w:val="1"/>
      <w:numFmt w:val="decimal"/>
      <w:lvlText w:val="%1.%2.%3.%4.%5.%6"/>
      <w:lvlJc w:val="left"/>
      <w:pPr>
        <w:tabs>
          <w:tab w:val="num" w:pos="0"/>
        </w:tabs>
        <w:ind w:left="2520" w:hanging="360"/>
      </w:pPr>
    </w:lvl>
    <w:lvl w:ilvl="6">
      <w:start w:val="1"/>
      <w:numFmt w:val="decimal"/>
      <w:lvlText w:val="%1.%2.%3.%4.%5.%6.%7"/>
      <w:lvlJc w:val="left"/>
      <w:pPr>
        <w:tabs>
          <w:tab w:val="num" w:pos="0"/>
        </w:tabs>
        <w:ind w:left="2880" w:hanging="360"/>
      </w:pPr>
    </w:lvl>
    <w:lvl w:ilvl="7">
      <w:start w:val="1"/>
      <w:numFmt w:val="decimal"/>
      <w:lvlText w:val="%1.%2.%3.%4.%5.%6.%7.%8"/>
      <w:lvlJc w:val="left"/>
      <w:pPr>
        <w:tabs>
          <w:tab w:val="num" w:pos="0"/>
        </w:tabs>
        <w:ind w:left="3240" w:hanging="360"/>
      </w:pPr>
    </w:lvl>
    <w:lvl w:ilvl="8">
      <w:start w:val="1"/>
      <w:numFmt w:val="decimal"/>
      <w:lvlText w:val="%1.%2.%3.%4.%5.%6.%7.%8.%9"/>
      <w:lvlJc w:val="left"/>
      <w:pPr>
        <w:tabs>
          <w:tab w:val="num" w:pos="0"/>
        </w:tabs>
        <w:ind w:left="3600" w:hanging="360"/>
      </w:pPr>
    </w:lvl>
  </w:abstractNum>
  <w:abstractNum w:abstractNumId="3">
    <w:lvl w:ilvl="0">
      <w:start w:val="1"/>
      <w:numFmt w:val="lowerLetter"/>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360"/>
      </w:pPr>
    </w:lvl>
    <w:lvl w:ilvl="3">
      <w:start w:val="1"/>
      <w:numFmt w:val="decimal"/>
      <w:lvlText w:val="%1.%2.%3.%4"/>
      <w:lvlJc w:val="left"/>
      <w:pPr>
        <w:tabs>
          <w:tab w:val="num" w:pos="0"/>
        </w:tabs>
        <w:ind w:left="1800" w:hanging="360"/>
      </w:pPr>
    </w:lvl>
    <w:lvl w:ilvl="4">
      <w:start w:val="1"/>
      <w:numFmt w:val="decimal"/>
      <w:lvlText w:val="%1.%2.%3.%4.%5"/>
      <w:lvlJc w:val="left"/>
      <w:pPr>
        <w:tabs>
          <w:tab w:val="num" w:pos="0"/>
        </w:tabs>
        <w:ind w:left="2160" w:hanging="360"/>
      </w:pPr>
    </w:lvl>
    <w:lvl w:ilvl="5">
      <w:start w:val="1"/>
      <w:numFmt w:val="decimal"/>
      <w:lvlText w:val="%1.%2.%3.%4.%5.%6"/>
      <w:lvlJc w:val="left"/>
      <w:pPr>
        <w:tabs>
          <w:tab w:val="num" w:pos="0"/>
        </w:tabs>
        <w:ind w:left="2520" w:hanging="360"/>
      </w:pPr>
    </w:lvl>
    <w:lvl w:ilvl="6">
      <w:start w:val="1"/>
      <w:numFmt w:val="decimal"/>
      <w:lvlText w:val="%1.%2.%3.%4.%5.%6.%7"/>
      <w:lvlJc w:val="left"/>
      <w:pPr>
        <w:tabs>
          <w:tab w:val="num" w:pos="0"/>
        </w:tabs>
        <w:ind w:left="2880" w:hanging="360"/>
      </w:pPr>
    </w:lvl>
    <w:lvl w:ilvl="7">
      <w:start w:val="1"/>
      <w:numFmt w:val="decimal"/>
      <w:lvlText w:val="%1.%2.%3.%4.%5.%6.%7.%8"/>
      <w:lvlJc w:val="left"/>
      <w:pPr>
        <w:tabs>
          <w:tab w:val="num" w:pos="0"/>
        </w:tabs>
        <w:ind w:left="3240" w:hanging="360"/>
      </w:pPr>
    </w:lvl>
    <w:lvl w:ilvl="8">
      <w:start w:val="1"/>
      <w:numFmt w:val="decimal"/>
      <w:lvlText w:val="%1.%2.%3.%4.%5.%6.%7.%8.%9"/>
      <w:lvlJc w:val="left"/>
      <w:pPr>
        <w:tabs>
          <w:tab w:val="num" w:pos="0"/>
        </w:tabs>
        <w:ind w:left="3600" w:hanging="360"/>
      </w:pPr>
    </w:lvl>
  </w:abstractNum>
  <w:abstractNum w:abstractNumId="6">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360"/>
      </w:pPr>
    </w:lvl>
    <w:lvl w:ilvl="3">
      <w:start w:val="1"/>
      <w:numFmt w:val="decimal"/>
      <w:lvlText w:val="%1.%2.%3.%4"/>
      <w:lvlJc w:val="left"/>
      <w:pPr>
        <w:tabs>
          <w:tab w:val="num" w:pos="0"/>
        </w:tabs>
        <w:ind w:left="1800" w:hanging="360"/>
      </w:pPr>
    </w:lvl>
    <w:lvl w:ilvl="4">
      <w:start w:val="1"/>
      <w:numFmt w:val="decimal"/>
      <w:lvlText w:val="%1.%2.%3.%4.%5"/>
      <w:lvlJc w:val="left"/>
      <w:pPr>
        <w:tabs>
          <w:tab w:val="num" w:pos="0"/>
        </w:tabs>
        <w:ind w:left="2160" w:hanging="360"/>
      </w:pPr>
    </w:lvl>
    <w:lvl w:ilvl="5">
      <w:start w:val="1"/>
      <w:numFmt w:val="decimal"/>
      <w:lvlText w:val="%1.%2.%3.%4.%5.%6"/>
      <w:lvlJc w:val="left"/>
      <w:pPr>
        <w:tabs>
          <w:tab w:val="num" w:pos="0"/>
        </w:tabs>
        <w:ind w:left="2520" w:hanging="360"/>
      </w:pPr>
    </w:lvl>
    <w:lvl w:ilvl="6">
      <w:start w:val="1"/>
      <w:numFmt w:val="decimal"/>
      <w:lvlText w:val="%1.%2.%3.%4.%5.%6.%7"/>
      <w:lvlJc w:val="left"/>
      <w:pPr>
        <w:tabs>
          <w:tab w:val="num" w:pos="0"/>
        </w:tabs>
        <w:ind w:left="2880" w:hanging="360"/>
      </w:pPr>
    </w:lvl>
    <w:lvl w:ilvl="7">
      <w:start w:val="1"/>
      <w:numFmt w:val="decimal"/>
      <w:lvlText w:val="%1.%2.%3.%4.%5.%6.%7.%8"/>
      <w:lvlJc w:val="left"/>
      <w:pPr>
        <w:tabs>
          <w:tab w:val="num" w:pos="0"/>
        </w:tabs>
        <w:ind w:left="3240" w:hanging="360"/>
      </w:pPr>
    </w:lvl>
    <w:lvl w:ilvl="8">
      <w:start w:val="1"/>
      <w:numFmt w:val="decimal"/>
      <w:lvlText w:val="%1.%2.%3.%4.%5.%6.%7.%8.%9"/>
      <w:lvlJc w:val="left"/>
      <w:pPr>
        <w:tabs>
          <w:tab w:val="num" w:pos="0"/>
        </w:tabs>
        <w:ind w:left="3600" w:hanging="360"/>
      </w:pPr>
    </w:lvl>
  </w:abstractNum>
  <w:num w:numId="1">
    <w:abstractNumId w:val="1"/>
  </w:num>
  <w:num w:numId="2">
    <w:abstractNumId w:val="2"/>
  </w:num>
  <w:num w:numId="3">
    <w:abstractNumId w:val="3"/>
  </w:num>
  <w:num w:numId="4">
    <w:abstractNumId w:val="2"/>
    <w:lvlOverride w:ilvl="0">
      <w:startOverride w:val="1"/>
    </w:lvlOverride>
  </w:num>
  <w:num w:numId="5">
    <w:abstractNumId w:val="3"/>
    <w:lvlOverride w:ilvl="0">
      <w:startOverride w:val="1"/>
    </w:lvlOverride>
  </w:num>
  <w:num w:numId="6">
    <w:abstractNumId w:val="6"/>
  </w:num>
</w:numbering>
</file>

<file path=word/settings.xml><?xml version="1.0" encoding="utf-8"?>
<w:settings xmlns:w="http://schemas.openxmlformats.org/wordprocessingml/2006/main">
  <w:zoom w:percent="12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ew York" w:hAnsi="New York" w:eastAsia="Times New Roman" w:cs="Times New Roman"/>
        <w:sz w:val="24"/>
        <w:lang w:val="en-US" w:eastAsia="en-US" w:bidi="ar-SA"/>
      </w:rPr>
    </w:rPrDefault>
    <w:pPrDefault>
      <w:pPr>
        <w:suppressAutoHyphens w:val="false"/>
      </w:pPr>
    </w:pPrDefault>
  </w:docDefaults>
  <w:style w:type="paragraph" w:styleId="Normal">
    <w:name w:val="Normal"/>
    <w:qFormat/>
    <w:pPr>
      <w:keepNext w:val="false"/>
      <w:keepLines w:val="false"/>
      <w:pageBreakBefore w:val="false"/>
      <w:widowControl/>
      <w:pBdr/>
      <w:shd w:fill="auto" w:val="clear"/>
      <w:suppressAutoHyphens w:val="false"/>
      <w:kinsoku w:val="true"/>
      <w:overflowPunct w:val="true"/>
      <w:autoSpaceDE w:val="true"/>
      <w:bidi w:val="0"/>
      <w:snapToGrid w:val="true"/>
      <w:spacing w:before="0" w:after="200" w:lineRule="auto" w:line="240"/>
      <w:jc w:val="both"/>
    </w:pPr>
    <w:rPr>
      <w:rFonts w:ascii="Times" w:hAnsi="Time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0"/>
      <w:u w:val="none"/>
      <w:vertAlign w:val="baseline"/>
      <w:em w:val="none"/>
      <w:lang w:val="en-US" w:eastAsia="en-US" w:bidi="ar-SA"/>
    </w:rPr>
  </w:style>
  <w:style w:type="paragraph" w:styleId="Heading1">
    <w:name w:val="Heading 1"/>
    <w:basedOn w:val="Normal"/>
    <w:next w:val="Normal"/>
    <w:qFormat/>
    <w:pPr>
      <w:keepNext w:val="true"/>
      <w:numPr>
        <w:ilvl w:val="0"/>
        <w:numId w:val="1"/>
      </w:numPr>
      <w:tabs>
        <w:tab w:val="clear" w:pos="720"/>
      </w:tabs>
      <w:suppressAutoHyphens w:val="false"/>
      <w:spacing w:before="180" w:after="60"/>
      <w:ind w:left="480" w:right="0" w:hanging="240"/>
      <w:outlineLvl w:val="0"/>
    </w:pPr>
    <w:rPr>
      <w:rFonts w:ascii="Myriad Pro Light" w:hAnsi="Myriad Pro Light" w:eastAsia="Myriad Pro Light" w:cs="Arial"/>
      <w:b/>
      <w:bCs/>
      <w:kern w:val="2"/>
      <w:sz w:val="22"/>
      <w:szCs w:val="32"/>
    </w:rPr>
  </w:style>
  <w:style w:type="paragraph" w:styleId="Heading2">
    <w:name w:val="Heading 2"/>
    <w:basedOn w:val="Normal"/>
    <w:next w:val="Normal"/>
    <w:qFormat/>
    <w:pPr>
      <w:keepNext w:val="true"/>
      <w:numPr>
        <w:ilvl w:val="1"/>
        <w:numId w:val="1"/>
      </w:numPr>
      <w:suppressAutoHyphens w:val="false"/>
      <w:spacing w:before="60" w:after="60"/>
      <w:outlineLvl w:val="1"/>
    </w:pPr>
    <w:rPr>
      <w:rFonts w:ascii="Myriad Pro Light" w:hAnsi="Myriad Pro Light" w:eastAsia="Myriad Pro Light" w:cs="Arial"/>
      <w:b/>
      <w:bCs/>
      <w:iCs/>
      <w:sz w:val="20"/>
      <w:szCs w:val="28"/>
    </w:rPr>
  </w:style>
  <w:style w:type="paragraph" w:styleId="Heading3">
    <w:name w:val="Heading 3"/>
    <w:basedOn w:val="Normal"/>
    <w:next w:val="Normal"/>
    <w:qFormat/>
    <w:pPr>
      <w:keepNext w:val="true"/>
      <w:numPr>
        <w:ilvl w:val="2"/>
        <w:numId w:val="1"/>
      </w:numPr>
      <w:tabs>
        <w:tab w:val="clear" w:pos="720"/>
      </w:tabs>
      <w:suppressAutoHyphens w:val="false"/>
      <w:spacing w:before="60" w:after="60"/>
      <w:ind w:left="180" w:right="0" w:hanging="0"/>
      <w:outlineLvl w:val="2"/>
    </w:pPr>
    <w:rPr>
      <w:rFonts w:ascii="Myriad Pro Light" w:hAnsi="Myriad Pro Light" w:eastAsia="Myriad Pro Light" w:cs="Arial"/>
      <w:b/>
      <w:bCs/>
      <w:sz w:val="20"/>
      <w:szCs w:val="26"/>
    </w:rPr>
  </w:style>
  <w:style w:type="character" w:styleId="DefaultParagraphFont">
    <w:name w:val="Default Paragraph Font"/>
    <w:qFormat/>
    <w:rPr/>
  </w:style>
  <w:style w:type="character" w:styleId="VisitedInternetLink">
    <w:name w:val="FollowedHyperlink"/>
    <w:rPr>
      <w:color w:val="800080"/>
      <w:u w:val="single"/>
    </w:rPr>
  </w:style>
  <w:style w:type="character" w:styleId="InternetLink">
    <w:name w:val="Hyperlink"/>
    <w:rPr>
      <w:color w:val="0000FF"/>
      <w:u w:val="single"/>
    </w:rPr>
  </w:style>
  <w:style w:type="character" w:styleId="PageNumber">
    <w:name w:val="Page Number"/>
    <w:basedOn w:val="DefaultParagraphFont"/>
    <w:rPr/>
  </w:style>
  <w:style w:type="character" w:styleId="EndnoteCharacters">
    <w:name w:val="Endnote Characters"/>
    <w:qFormat/>
    <w:rPr>
      <w:rFonts w:ascii="Times" w:hAnsi="Times" w:eastAsia="Times" w:cs="Times"/>
      <w:sz w:val="18"/>
      <w:vertAlign w:val="superscript"/>
    </w:rPr>
  </w:style>
  <w:style w:type="character" w:styleId="EndnoteAnchor">
    <w:name w:val="Endnote Anchor"/>
    <w:rPr>
      <w:rFonts w:ascii="Times" w:hAnsi="Times" w:eastAsia="Times" w:cs="Times"/>
      <w:sz w:val="18"/>
      <w:vertAlign w:val="superscript"/>
    </w:rPr>
  </w:style>
  <w:style w:type="character" w:styleId="StyleFACorrespondingAuthorFootnote7ptChar">
    <w:name w:val="Style FA_Corresponding_Author_Footnote + 7 pt Char"/>
    <w:qFormat/>
    <w:rPr>
      <w:rFonts w:ascii="Arno Pro" w:hAnsi="Arno Pro" w:eastAsia="Arno Pro" w:cs="Arno Pro"/>
      <w:kern w:val="2"/>
      <w:sz w:val="18"/>
      <w:lang w:val="en-US" w:eastAsia="en-US" w:bidi="ar-SA"/>
    </w:rPr>
  </w:style>
  <w:style w:type="character" w:styleId="BDAbstractChar">
    <w:name w:val="BD_Abstract Char"/>
    <w:qFormat/>
    <w:rPr>
      <w:rFonts w:ascii="Arno Pro" w:hAnsi="Arno Pro" w:eastAsia="Arno Pro" w:cs="Arno Pro"/>
      <w:kern w:val="2"/>
      <w:sz w:val="19"/>
      <w:lang w:val="en-US" w:eastAsia="en-US" w:bidi="ar-SA"/>
    </w:rPr>
  </w:style>
  <w:style w:type="character" w:styleId="BDAbstractTitleChar">
    <w:name w:val="BD_Abstract_Title Char"/>
    <w:qFormat/>
    <w:rPr>
      <w:rFonts w:ascii="Arno Pro" w:hAnsi="Arno Pro" w:eastAsia="Arno Pro" w:cs="Arno Pro"/>
      <w:b/>
      <w:kern w:val="2"/>
      <w:sz w:val="19"/>
      <w:lang w:val="en-US" w:eastAsia="en-US" w:bidi="ar-SA"/>
    </w:rPr>
  </w:style>
  <w:style w:type="character" w:styleId="TDAcknowledgmentsChar">
    <w:name w:val="TD_Acknowledgments Char"/>
    <w:qFormat/>
    <w:rPr>
      <w:rFonts w:ascii="Arno Pro" w:hAnsi="Arno Pro" w:eastAsia="Arno Pro" w:cs="Arno Pro"/>
      <w:kern w:val="2"/>
      <w:sz w:val="18"/>
      <w:lang w:val="en-US" w:eastAsia="en-US" w:bidi="ar-SA"/>
    </w:rPr>
  </w:style>
  <w:style w:type="character" w:styleId="TDAckTitleChar">
    <w:name w:val="TD_Ack_Title Char"/>
    <w:qFormat/>
    <w:rPr>
      <w:rFonts w:ascii="Myriad Pro Light" w:hAnsi="Myriad Pro Light" w:eastAsia="Myriad Pro Light" w:cs="Myriad Pro Light"/>
      <w:b/>
      <w:kern w:val="2"/>
      <w:sz w:val="21"/>
      <w:lang w:val="en-US" w:eastAsia="en-US" w:bidi="ar-SA"/>
    </w:rPr>
  </w:style>
  <w:style w:type="character" w:styleId="FAAuthorInfoSubtitleChar">
    <w:name w:val="FA_Author_Info_Subtitle Char"/>
    <w:qFormat/>
    <w:rPr>
      <w:rFonts w:ascii="Myriad Pro Light" w:hAnsi="Myriad Pro Light" w:eastAsia="Myriad Pro Light" w:cs="Myriad Pro Light"/>
      <w:b/>
      <w:kern w:val="2"/>
      <w:sz w:val="19"/>
      <w:szCs w:val="14"/>
      <w:lang w:val="en-US" w:eastAsia="en-US" w:bidi="ar-SA"/>
    </w:rPr>
  </w:style>
  <w:style w:type="character" w:styleId="TCTableBodyChar">
    <w:name w:val="TC_Table_Body Char"/>
    <w:qFormat/>
    <w:rPr>
      <w:rFonts w:ascii="Arno Pro" w:hAnsi="Arno Pro" w:eastAsia="Arno Pro" w:cs="Arno Pro"/>
      <w:kern w:val="2"/>
      <w:sz w:val="18"/>
      <w:lang w:val="en-US" w:eastAsia="en-US" w:bidi="ar-SA"/>
    </w:rPr>
  </w:style>
  <w:style w:type="character" w:styleId="StyleTCTableBodyBoldChar">
    <w:name w:val="Style TC_Table_Body + Bold Char"/>
    <w:qFormat/>
    <w:rPr>
      <w:rFonts w:ascii="Arno Pro" w:hAnsi="Arno Pro" w:eastAsia="Arno Pro" w:cs="Arno Pro"/>
      <w:b/>
      <w:bCs/>
      <w:kern w:val="2"/>
      <w:sz w:val="15"/>
      <w:lang w:val="en-US" w:eastAsia="en-US" w:bidi="ar-SA"/>
    </w:rPr>
  </w:style>
  <w:style w:type="paragraph" w:styleId="Heading">
    <w:name w:val="Heading"/>
    <w:basedOn w:val="Normal"/>
    <w:next w:val="TextBody"/>
    <w:qFormat/>
    <w:pPr>
      <w:keepNext w:val="true"/>
      <w:suppressAutoHyphens w:val="false"/>
      <w:spacing w:before="240" w:after="120"/>
    </w:pPr>
    <w:rPr>
      <w:rFonts w:ascii="Liberation Sans" w:hAnsi="Liberation Sans" w:eastAsia="Noto Sans CJK SC" w:cs="Lohit Devanagari"/>
      <w:sz w:val="28"/>
      <w:szCs w:val="28"/>
    </w:rPr>
  </w:style>
  <w:style w:type="paragraph" w:styleId="TextBody">
    <w:name w:val="Body Text"/>
    <w:basedOn w:val="Normal"/>
    <w:pPr>
      <w:suppressAutoHyphens w:val="false"/>
      <w:jc w:val="center"/>
    </w:pPr>
    <w:rPr>
      <w:b/>
      <w:sz w:val="40"/>
    </w:rPr>
  </w:style>
  <w:style w:type="paragraph" w:styleId="Normal1">
    <w:name w:val="LO-Normal"/>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before="0" w:after="0"/>
      <w:jc w:val="left"/>
    </w:pPr>
    <w:rPr>
      <w:rFonts w:ascii="New York" w:hAnsi="New York"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0"/>
      <w:u w:val="none"/>
      <w:vertAlign w:val="baseline"/>
      <w:em w:val="none"/>
      <w:lang w:val="en-US" w:eastAsia="en-US" w:bidi="ar-SA"/>
    </w:rPr>
  </w:style>
  <w:style w:type="paragraph" w:styleId="List">
    <w:name w:val="List"/>
    <w:basedOn w:val="TextBody"/>
    <w:pPr>
      <w:suppressAutoHyphens w:val="false"/>
    </w:pPr>
    <w:rPr>
      <w:rFonts w:cs="Lohit Devanagari"/>
    </w:rPr>
  </w:style>
  <w:style w:type="paragraph" w:styleId="Caption">
    <w:name w:val="Caption"/>
    <w:basedOn w:val="Normal"/>
    <w:qFormat/>
    <w:pPr>
      <w:suppressLineNumbers/>
      <w:suppressAutoHyphens w:val="false"/>
      <w:spacing w:before="120" w:after="120"/>
    </w:pPr>
    <w:rPr>
      <w:rFonts w:cs="Lohit Devanagari"/>
      <w:i/>
      <w:iCs/>
      <w:szCs w:val="24"/>
    </w:rPr>
  </w:style>
  <w:style w:type="paragraph" w:styleId="Index">
    <w:name w:val="Index"/>
    <w:basedOn w:val="Normal"/>
    <w:qFormat/>
    <w:pPr>
      <w:suppressLineNumbers/>
      <w:suppressAutoHyphens w:val="false"/>
    </w:pPr>
    <w:rPr>
      <w:rFonts w:cs="Lohit Devanagari"/>
    </w:rPr>
  </w:style>
  <w:style w:type="paragraph" w:styleId="Footnote">
    <w:name w:val="Footnote Text"/>
    <w:basedOn w:val="Normal"/>
    <w:next w:val="TFReferencesSection"/>
    <w:pPr>
      <w:suppressAutoHyphens w:val="false"/>
    </w:pPr>
    <w:rPr/>
  </w:style>
  <w:style w:type="paragraph" w:styleId="TFReferencesSection">
    <w:name w:val="TF_References_Section"/>
    <w:basedOn w:val="Normal"/>
    <w:next w:val="Normal"/>
    <w:autoRedefine/>
    <w:qFormat/>
    <w:pPr>
      <w:suppressAutoHyphens w:val="false"/>
      <w:spacing w:before="0" w:after="0"/>
      <w:ind w:left="0" w:right="0" w:firstLine="187"/>
    </w:pPr>
    <w:rPr>
      <w:rFonts w:ascii="Arno Pro" w:hAnsi="Arno Pro" w:eastAsia="Arno Pro" w:cs="Arno Pro"/>
      <w:kern w:val="2"/>
      <w:sz w:val="17"/>
      <w:szCs w:val="14"/>
    </w:rPr>
  </w:style>
  <w:style w:type="paragraph" w:styleId="TAMainText">
    <w:name w:val="TA_Main_Text"/>
    <w:basedOn w:val="Normal"/>
    <w:autoRedefine/>
    <w:qFormat/>
    <w:pPr>
      <w:tabs>
        <w:tab w:val="clear" w:pos="720"/>
      </w:tabs>
      <w:suppressAutoHyphens w:val="false"/>
      <w:spacing w:before="0" w:after="60"/>
      <w:ind w:left="720" w:right="0" w:hanging="0"/>
    </w:pPr>
    <w:rPr>
      <w:rFonts w:ascii="Arno Pro" w:hAnsi="Arno Pro" w:eastAsia="Arno Pro" w:cs="Arno Pro"/>
      <w:kern w:val="2"/>
      <w:sz w:val="19"/>
    </w:rPr>
  </w:style>
  <w:style w:type="paragraph" w:styleId="BATitle">
    <w:name w:val="BA_Title"/>
    <w:basedOn w:val="Normal"/>
    <w:next w:val="BBAuthorName"/>
    <w:autoRedefine/>
    <w:qFormat/>
    <w:pPr>
      <w:suppressAutoHyphens w:val="false"/>
      <w:spacing w:before="1400" w:after="180"/>
      <w:jc w:val="left"/>
    </w:pPr>
    <w:rPr>
      <w:rFonts w:ascii="Myriad Pro Light" w:hAnsi="Myriad Pro Light" w:eastAsia="Myriad Pro Light" w:cs="Myriad Pro Light"/>
      <w:b/>
      <w:kern w:val="2"/>
      <w:sz w:val="34"/>
    </w:rPr>
  </w:style>
  <w:style w:type="paragraph" w:styleId="BBAuthorName">
    <w:name w:val="BB_Author_Name"/>
    <w:basedOn w:val="Normal"/>
    <w:next w:val="BCAuthorAddress"/>
    <w:autoRedefine/>
    <w:qFormat/>
    <w:pPr>
      <w:suppressAutoHyphens w:val="false"/>
      <w:spacing w:before="0" w:after="180"/>
      <w:jc w:val="left"/>
    </w:pPr>
    <w:rPr>
      <w:rFonts w:ascii="Arno Pro" w:hAnsi="Arno Pro" w:eastAsia="Arno Pro" w:cs="Arno Pro"/>
      <w:kern w:val="2"/>
    </w:rPr>
  </w:style>
  <w:style w:type="paragraph" w:styleId="BCAuthorAddress">
    <w:name w:val="BC_Author_Address"/>
    <w:basedOn w:val="Normal"/>
    <w:next w:val="BIEmailAddress"/>
    <w:autoRedefine/>
    <w:qFormat/>
    <w:pPr>
      <w:suppressAutoHyphens w:val="false"/>
      <w:spacing w:before="0" w:after="60"/>
      <w:jc w:val="left"/>
    </w:pPr>
    <w:rPr>
      <w:rFonts w:ascii="Arno Pro" w:hAnsi="Arno Pro" w:eastAsia="Arno Pro" w:cs="Arno Pro"/>
      <w:kern w:val="2"/>
      <w:sz w:val="20"/>
    </w:rPr>
  </w:style>
  <w:style w:type="paragraph" w:styleId="BIEmailAddress">
    <w:name w:val="BI_Email_Address"/>
    <w:basedOn w:val="Normal"/>
    <w:next w:val="AIReceivedDate"/>
    <w:autoRedefine/>
    <w:qFormat/>
    <w:pPr>
      <w:suppressAutoHyphens w:val="false"/>
      <w:spacing w:before="0" w:after="100"/>
      <w:jc w:val="left"/>
    </w:pPr>
    <w:rPr>
      <w:rFonts w:ascii="Arno Pro" w:hAnsi="Arno Pro" w:eastAsia="Arno Pro" w:cs="Arno Pro"/>
      <w:sz w:val="18"/>
    </w:rPr>
  </w:style>
  <w:style w:type="paragraph" w:styleId="AIReceivedDate">
    <w:name w:val="AI_Received_Date"/>
    <w:basedOn w:val="Normal"/>
    <w:next w:val="Normal"/>
    <w:autoRedefine/>
    <w:qFormat/>
    <w:pPr>
      <w:suppressAutoHyphens w:val="false"/>
      <w:spacing w:before="0" w:after="100"/>
      <w:jc w:val="left"/>
    </w:pPr>
    <w:rPr>
      <w:rFonts w:ascii="Arno Pro" w:hAnsi="Arno Pro" w:eastAsia="Arno Pro" w:cs="Arno Pro"/>
      <w:sz w:val="18"/>
    </w:rPr>
  </w:style>
  <w:style w:type="paragraph" w:styleId="BDAbstract">
    <w:name w:val="BD_Abstract"/>
    <w:basedOn w:val="Normal"/>
    <w:next w:val="TAMainText"/>
    <w:autoRedefine/>
    <w:qFormat/>
    <w:pPr>
      <w:pBdr>
        <w:top w:val="single" w:sz="4" w:space="1" w:color="000000"/>
        <w:bottom w:val="single" w:sz="4" w:space="1" w:color="000000"/>
      </w:pBdr>
      <w:suppressAutoHyphens w:val="false"/>
      <w:spacing w:before="101" w:after="101"/>
    </w:pPr>
    <w:rPr>
      <w:rFonts w:ascii="Arno Pro" w:hAnsi="Arno Pro" w:eastAsia="Arno Pro" w:cs="Arno Pro"/>
      <w:kern w:val="2"/>
      <w:sz w:val="19"/>
    </w:rPr>
  </w:style>
  <w:style w:type="paragraph" w:styleId="TDAcknowledgments">
    <w:name w:val="TD_Acknowledgments"/>
    <w:basedOn w:val="Normal"/>
    <w:next w:val="Normal"/>
    <w:autoRedefine/>
    <w:qFormat/>
    <w:pPr>
      <w:suppressAutoHyphens w:val="false"/>
      <w:spacing w:before="0" w:after="0"/>
    </w:pPr>
    <w:rPr>
      <w:rFonts w:ascii="Arno Pro" w:hAnsi="Arno Pro" w:eastAsia="Arno Pro" w:cs="Arno Pro"/>
      <w:kern w:val="2"/>
      <w:sz w:val="18"/>
    </w:rPr>
  </w:style>
  <w:style w:type="paragraph" w:styleId="TESupportingInformation">
    <w:name w:val="TE_Supporting_Information"/>
    <w:basedOn w:val="Normal"/>
    <w:next w:val="Normal"/>
    <w:autoRedefine/>
    <w:qFormat/>
    <w:pPr>
      <w:suppressAutoHyphens w:val="false"/>
      <w:spacing w:before="0" w:after="0"/>
    </w:pPr>
    <w:rPr>
      <w:rFonts w:ascii="Arno Pro" w:hAnsi="Arno Pro" w:eastAsia="Arno Pro" w:cs="Arno Pro"/>
      <w:kern w:val="2"/>
      <w:sz w:val="18"/>
    </w:rPr>
  </w:style>
  <w:style w:type="paragraph" w:styleId="VCSchemeTitle">
    <w:name w:val="VC_Scheme_Title"/>
    <w:basedOn w:val="Normal"/>
    <w:next w:val="Normal"/>
    <w:autoRedefine/>
    <w:qFormat/>
    <w:pPr>
      <w:suppressAutoHyphens w:val="false"/>
      <w:spacing w:before="0" w:after="180"/>
    </w:pPr>
    <w:rPr>
      <w:rFonts w:ascii="Arno Pro" w:hAnsi="Arno Pro" w:eastAsia="Arno Pro" w:cs="Arno Pro"/>
      <w:b/>
      <w:kern w:val="2"/>
      <w:sz w:val="19"/>
    </w:rPr>
  </w:style>
  <w:style w:type="paragraph" w:styleId="VDTableTitle">
    <w:name w:val="VD_Table_Title"/>
    <w:basedOn w:val="Normal"/>
    <w:next w:val="Normal"/>
    <w:autoRedefine/>
    <w:qFormat/>
    <w:pPr>
      <w:suppressAutoHyphens w:val="false"/>
      <w:spacing w:before="0" w:after="0"/>
    </w:pPr>
    <w:rPr>
      <w:rFonts w:ascii="Arno Pro" w:hAnsi="Arno Pro" w:eastAsia="Arno Pro" w:cs="Arno Pro"/>
      <w:b/>
      <w:kern w:val="2"/>
      <w:sz w:val="16"/>
      <w:szCs w:val="16"/>
    </w:rPr>
  </w:style>
  <w:style w:type="paragraph" w:styleId="VAFigureCaption">
    <w:name w:val="VA_Figure_Caption"/>
    <w:basedOn w:val="Normal"/>
    <w:next w:val="Normal"/>
    <w:autoRedefine/>
    <w:qFormat/>
    <w:pPr>
      <w:suppressAutoHyphens w:val="false"/>
      <w:spacing w:before="0" w:after="72"/>
    </w:pPr>
    <w:rPr>
      <w:rFonts w:ascii="Arno Pro" w:hAnsi="Arno Pro" w:eastAsia="Arno Pro" w:cs="Arno Pro"/>
      <w:kern w:val="2"/>
      <w:sz w:val="18"/>
    </w:rPr>
  </w:style>
  <w:style w:type="paragraph" w:styleId="VBChartTitle">
    <w:name w:val="VB_Chart_Title"/>
    <w:basedOn w:val="Normal"/>
    <w:next w:val="Normal"/>
    <w:autoRedefine/>
    <w:qFormat/>
    <w:pPr>
      <w:suppressAutoHyphens w:val="false"/>
      <w:spacing w:before="0" w:after="180"/>
    </w:pPr>
    <w:rPr>
      <w:rFonts w:ascii="Arno Pro" w:hAnsi="Arno Pro" w:eastAsia="Arno Pro" w:cs="Arno Pro"/>
      <w:b/>
      <w:kern w:val="2"/>
      <w:sz w:val="19"/>
    </w:rPr>
  </w:style>
  <w:style w:type="paragraph" w:styleId="FETableFootnote">
    <w:name w:val="FE_Table_Footnote"/>
    <w:basedOn w:val="Normal"/>
    <w:next w:val="Normal"/>
    <w:autoRedefine/>
    <w:qFormat/>
    <w:pPr>
      <w:tabs>
        <w:tab w:val="clear" w:pos="720"/>
      </w:tabs>
      <w:suppressAutoHyphens w:val="false"/>
      <w:spacing w:before="60" w:after="120"/>
      <w:ind w:left="180" w:right="0" w:hanging="0"/>
    </w:pPr>
    <w:rPr>
      <w:rFonts w:ascii="Arno Pro" w:hAnsi="Arno Pro" w:eastAsia="Arno Pro" w:cs="Arno Pro"/>
      <w:sz w:val="18"/>
    </w:rPr>
  </w:style>
  <w:style w:type="paragraph" w:styleId="FCChartFootnote">
    <w:name w:val="FC_Chart_Footnote"/>
    <w:basedOn w:val="Normal"/>
    <w:next w:val="Normal"/>
    <w:autoRedefine/>
    <w:qFormat/>
    <w:pPr>
      <w:suppressAutoHyphens w:val="false"/>
      <w:spacing w:before="60" w:after="120"/>
      <w:ind w:left="0" w:right="0" w:firstLine="187"/>
    </w:pPr>
    <w:rPr>
      <w:rFonts w:ascii="Arno Pro" w:hAnsi="Arno Pro" w:eastAsia="Arno Pro" w:cs="Arno Pro"/>
      <w:sz w:val="18"/>
    </w:rPr>
  </w:style>
  <w:style w:type="paragraph" w:styleId="FDSchemeFootnote">
    <w:name w:val="FD_Scheme_Footnote"/>
    <w:basedOn w:val="Normal"/>
    <w:next w:val="Normal"/>
    <w:autoRedefine/>
    <w:qFormat/>
    <w:pPr>
      <w:suppressAutoHyphens w:val="false"/>
      <w:spacing w:before="60" w:after="120"/>
      <w:ind w:left="0" w:right="0" w:firstLine="187"/>
    </w:pPr>
    <w:rPr>
      <w:rFonts w:ascii="Arno Pro" w:hAnsi="Arno Pro" w:eastAsia="Arno Pro" w:cs="Arno Pro"/>
      <w:sz w:val="18"/>
    </w:rPr>
  </w:style>
  <w:style w:type="paragraph" w:styleId="TCTableBody">
    <w:name w:val="TC_Table_Body"/>
    <w:basedOn w:val="Normal"/>
    <w:next w:val="Normal"/>
    <w:autoRedefine/>
    <w:qFormat/>
    <w:pPr>
      <w:suppressAutoHyphens w:val="false"/>
      <w:spacing w:before="20" w:after="60"/>
    </w:pPr>
    <w:rPr>
      <w:rFonts w:ascii="Arno Pro" w:hAnsi="Arno Pro" w:eastAsia="Arno Pro" w:cs="Arno Pro"/>
      <w:kern w:val="2"/>
      <w:sz w:val="18"/>
    </w:rPr>
  </w:style>
  <w:style w:type="paragraph" w:styleId="StyleFACorrespondingAuthorFootnote7pt">
    <w:name w:val="Style FA_Corresponding_Author_Footnote + 7 pt"/>
    <w:basedOn w:val="Normal"/>
    <w:next w:val="BGKeywords"/>
    <w:autoRedefine/>
    <w:qFormat/>
    <w:pPr>
      <w:suppressAutoHyphens w:val="false"/>
      <w:spacing w:before="0" w:after="0"/>
      <w:jc w:val="left"/>
    </w:pPr>
    <w:rPr>
      <w:rFonts w:ascii="Arno Pro" w:hAnsi="Arno Pro" w:eastAsia="Arno Pro" w:cs="Arno Pro"/>
      <w:kern w:val="2"/>
      <w:sz w:val="18"/>
    </w:rPr>
  </w:style>
  <w:style w:type="paragraph" w:styleId="BEAuthorBiography">
    <w:name w:val="BE_Author_Biography"/>
    <w:basedOn w:val="Normal"/>
    <w:autoRedefine/>
    <w:qFormat/>
    <w:pPr>
      <w:suppressAutoHyphens w:val="false"/>
    </w:pPr>
    <w:rPr>
      <w:rFonts w:ascii="Arno Pro" w:hAnsi="Arno Pro" w:eastAsia="Arno Pro" w:cs="Arno Pro"/>
      <w:sz w:val="22"/>
    </w:rPr>
  </w:style>
  <w:style w:type="paragraph" w:styleId="StyleBIEmailAddress95pt">
    <w:name w:val="Style BI_Email_Address + 9.5 pt"/>
    <w:basedOn w:val="BIEmailAddress"/>
    <w:qFormat/>
    <w:pPr>
      <w:suppressAutoHyphens w:val="false"/>
      <w:spacing w:before="0" w:after="60"/>
    </w:pPr>
    <w:rPr>
      <w:sz w:val="19"/>
    </w:rPr>
  </w:style>
  <w:style w:type="paragraph" w:styleId="SNSynopsisTOC">
    <w:name w:val="SN_Synopsis_TOC"/>
    <w:basedOn w:val="Normal"/>
    <w:next w:val="Normal"/>
    <w:autoRedefine/>
    <w:qFormat/>
    <w:pPr>
      <w:suppressAutoHyphens w:val="false"/>
      <w:spacing w:before="0" w:after="60"/>
    </w:pPr>
    <w:rPr>
      <w:rFonts w:ascii="Arno Pro" w:hAnsi="Arno Pro" w:eastAsia="Arno Pro" w:cs="Arno Pro"/>
      <w:kern w:val="2"/>
      <w:sz w:val="20"/>
    </w:rPr>
  </w:style>
  <w:style w:type="paragraph" w:styleId="HeaderandFooter">
    <w:name w:val="Header and Footer"/>
    <w:basedOn w:val="Normal"/>
    <w:qFormat/>
    <w:pPr>
      <w:suppressAutoHyphens w:val="false"/>
    </w:pPr>
    <w:rPr/>
  </w:style>
  <w:style w:type="paragraph" w:styleId="Footer">
    <w:name w:val="Footer"/>
    <w:basedOn w:val="Normal"/>
    <w:pPr>
      <w:tabs>
        <w:tab w:val="clear" w:pos="720"/>
        <w:tab w:val="center" w:pos="4320" w:leader="none"/>
        <w:tab w:val="right" w:pos="8640" w:leader="none"/>
      </w:tabs>
      <w:suppressAutoHyphens w:val="false"/>
    </w:pPr>
    <w:rPr/>
  </w:style>
  <w:style w:type="paragraph" w:styleId="BGKeywords">
    <w:name w:val="BG_Keywords"/>
    <w:basedOn w:val="Normal"/>
    <w:next w:val="BHBriefs"/>
    <w:autoRedefine/>
    <w:qFormat/>
    <w:pPr>
      <w:suppressAutoHyphens w:val="false"/>
      <w:spacing w:before="0" w:after="220"/>
      <w:jc w:val="left"/>
    </w:pPr>
    <w:rPr>
      <w:rFonts w:ascii="Arno Pro" w:hAnsi="Arno Pro" w:eastAsia="Arno Pro" w:cs="Arno Pro"/>
      <w:i/>
      <w:kern w:val="2"/>
      <w:sz w:val="20"/>
    </w:rPr>
  </w:style>
  <w:style w:type="paragraph" w:styleId="BHBriefs">
    <w:name w:val="BH_Briefs"/>
    <w:basedOn w:val="Normal"/>
    <w:next w:val="BDAbstract"/>
    <w:autoRedefine/>
    <w:qFormat/>
    <w:pPr>
      <w:suppressAutoHyphens w:val="false"/>
      <w:spacing w:before="180" w:after="60"/>
      <w:jc w:val="left"/>
    </w:pPr>
    <w:rPr>
      <w:rFonts w:ascii="Arno Pro" w:hAnsi="Arno Pro" w:eastAsia="Arno Pro" w:cs="Arno Pro"/>
      <w:kern w:val="2"/>
      <w:sz w:val="20"/>
    </w:rPr>
  </w:style>
  <w:style w:type="paragraph" w:styleId="BalloonText">
    <w:name w:val="Balloon Text"/>
    <w:basedOn w:val="Normal"/>
    <w:qFormat/>
    <w:pPr>
      <w:suppressAutoHyphens w:val="false"/>
    </w:pPr>
    <w:rPr>
      <w:rFonts w:ascii="Tahoma" w:hAnsi="Tahoma" w:eastAsia="Tahoma" w:cs="Tahoma"/>
      <w:sz w:val="16"/>
      <w:szCs w:val="16"/>
    </w:rPr>
  </w:style>
  <w:style w:type="paragraph" w:styleId="StyleTCTableBodyBold">
    <w:name w:val="Style TC_Table_Body + Bold"/>
    <w:basedOn w:val="TCTableBody"/>
    <w:qFormat/>
    <w:pPr>
      <w:suppressAutoHyphens w:val="false"/>
    </w:pPr>
    <w:rPr>
      <w:b/>
      <w:bCs/>
      <w:sz w:val="15"/>
    </w:rPr>
  </w:style>
  <w:style w:type="paragraph" w:styleId="BDAbstractTitle">
    <w:name w:val="BD_Abstract_Title"/>
    <w:basedOn w:val="BDAbstract"/>
    <w:qFormat/>
    <w:pPr>
      <w:suppressAutoHyphens w:val="false"/>
    </w:pPr>
    <w:rPr>
      <w:b/>
    </w:rPr>
  </w:style>
  <w:style w:type="paragraph" w:styleId="TDAckTitle">
    <w:name w:val="TD_Ack_Title"/>
    <w:basedOn w:val="TDAcknowledgments"/>
    <w:qFormat/>
    <w:pPr>
      <w:suppressAutoHyphens w:val="false"/>
      <w:spacing w:before="180" w:after="60"/>
    </w:pPr>
    <w:rPr>
      <w:rFonts w:ascii="Myriad Pro Light" w:hAnsi="Myriad Pro Light" w:eastAsia="Myriad Pro Light" w:cs="Myriad Pro Light"/>
      <w:b/>
      <w:sz w:val="21"/>
    </w:rPr>
  </w:style>
  <w:style w:type="paragraph" w:styleId="TESupportingInfoTitle">
    <w:name w:val="TE_Supporting_Info_Title"/>
    <w:basedOn w:val="TESupportingInformation"/>
    <w:autoRedefine/>
    <w:qFormat/>
    <w:pPr>
      <w:suppressAutoHyphens w:val="false"/>
      <w:spacing w:before="180" w:after="60"/>
    </w:pPr>
    <w:rPr>
      <w:rFonts w:ascii="Myriad Pro Light" w:hAnsi="Myriad Pro Light" w:eastAsia="Myriad Pro Light" w:cs="Myriad Pro Light"/>
      <w:b/>
      <w:caps/>
      <w:sz w:val="21"/>
      <w:szCs w:val="18"/>
    </w:rPr>
  </w:style>
  <w:style w:type="paragraph" w:styleId="AuthorInformationTitle">
    <w:name w:val="Author_Information_Title"/>
    <w:basedOn w:val="TDAckTitle"/>
    <w:qFormat/>
    <w:pPr>
      <w:suppressAutoHyphens w:val="false"/>
    </w:pPr>
    <w:rPr/>
  </w:style>
  <w:style w:type="paragraph" w:styleId="FAAuthorInfoSubtitle">
    <w:name w:val="FA_Author_Info_Subtitle"/>
    <w:basedOn w:val="Normal"/>
    <w:autoRedefine/>
    <w:qFormat/>
    <w:pPr>
      <w:suppressAutoHyphens w:val="false"/>
      <w:spacing w:before="120" w:after="60"/>
      <w:jc w:val="left"/>
    </w:pPr>
    <w:rPr>
      <w:rFonts w:ascii="Myriad Pro Light" w:hAnsi="Myriad Pro Light" w:eastAsia="Myriad Pro Light" w:cs="Myriad Pro Light"/>
      <w:b/>
      <w:kern w:val="2"/>
      <w:sz w:val="19"/>
      <w:szCs w:val="14"/>
    </w:rPr>
  </w:style>
  <w:style w:type="paragraph" w:styleId="FrameContents">
    <w:name w:val="Frame Contents"/>
    <w:basedOn w:val="Normal"/>
    <w:qFormat/>
    <w:pPr>
      <w:suppressAutoHyphens w:val="false"/>
    </w:pPr>
    <w:rPr/>
  </w:style>
  <w:style w:type="paragraph" w:styleId="TableContents">
    <w:name w:val="Table Contents"/>
    <w:basedOn w:val="Normal"/>
    <w:qFormat/>
    <w:pPr>
      <w:suppressLineNumbers/>
      <w:suppressAutoHyphens w:val="false"/>
    </w:pPr>
    <w:rPr/>
  </w:style>
  <w:style w:type="paragraph" w:styleId="TableHeading">
    <w:name w:val="Table Heading"/>
    <w:basedOn w:val="TableContents"/>
    <w:qFormat/>
    <w:pPr>
      <w:suppressAutoHyphens w:val="false"/>
      <w:jc w:val="center"/>
    </w:pPr>
    <w:rPr>
      <w:b/>
      <w:bCs/>
    </w:rPr>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cb5@psu.edu" TargetMode="External"/><Relationship Id="rId3" Type="http://schemas.openxmlformats.org/officeDocument/2006/relationships/footer" Target="footer1.xml"/><Relationship Id="rId4" Type="http://schemas.openxmlformats.org/officeDocument/2006/relationships/hyperlink" Target="http://pubs.acs.org/page/4authors/index.html" TargetMode="Externa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498</TotalTime>
  <Application>LibreOffice/6.4.7.2$Linux_X86_64 LibreOffice_project/40$Build-2</Application>
  <Pages>7</Pages>
  <Words>2447</Words>
  <Characters>12962</Characters>
  <CharactersWithSpaces>15331</CharactersWithSpaces>
  <Paragraphs>107</Paragraphs>
  <Company>ACS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2020-12-02T21:45:00Z</dcterms:created>
  <dc:creator>Jacob</dc:creator>
  <dc:description/>
  <dc:language>en-US</dc:language>
  <cp:lastModifiedBy/>
  <dcterms:modified xsi:type="dcterms:W3CDTF">2022-02-15T16:50:32Z</dcterms:modified>
  <cp:revision>33</cp:revision>
  <dc:subject/>
  <dc:title>Template for Electronic Submission to ACS Journals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