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no Pro" w:hAnsi="Arno Pro" w:eastAsia="Times New Roman" w:cs="Times New Roman"/>
          <w:i w:val="false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</w:pPr>
      <w:r>
        <w:rPr>
          <w:rStyle w:val="DefaultParagraphFont"/>
          <w:rFonts w:eastAsia="Times New Roman" w:cs="Times New Roman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The Metabolome Weakens RNA Helix Stability and Increases RNA Chemical Stability</w:t>
      </w:r>
    </w:p>
    <w:p>
      <w:pPr>
        <w:pStyle w:val="Normal"/>
        <w:bidi w:val="0"/>
        <w:jc w:val="left"/>
        <w:rPr>
          <w:rStyle w:val="DefaultParagraphFont"/>
          <w:rFonts w:ascii="Arno Pro" w:hAnsi="Arno Pro" w:eastAsia="Times New Roman" w:cs="Times New Roman"/>
          <w:i w:val="false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</w:pPr>
      <w:r>
        <w:rPr>
          <w:rFonts w:eastAsia="Times New Roman" w:cs="Times New Roman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</w:r>
    </w:p>
    <w:p>
      <w:pPr>
        <w:pStyle w:val="StyleBIEmailAddress95pt"/>
        <w:rPr/>
      </w:pPr>
      <w:r>
        <w:rPr/>
        <w:t xml:space="preserve">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DAbstract"/>
        <w:rPr/>
      </w:pPr>
      <w:r>
        <w:rPr>
          <w:rStyle w:val="BDAbstractTitleChar"/>
        </w:rPr>
        <w:t>ABSTRACT:</w:t>
      </w:r>
      <w:r>
        <w:rPr/>
        <w:t xml:space="preserve"> </w:t>
      </w:r>
      <w:r>
        <w:rPr>
          <w:rStyle w:val="DefaultParagraphFont"/>
          <w:rFonts w:eastAsia="Times New Roman" w:cs="Times New Roman"/>
        </w:rPr>
        <w:t xml:space="preserve">Herein, we examine the complicated network of interactions among RNA, the metabolome, and the metalome in conditions that mimic the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</w:rPr>
        <w:t>cytoplasm</w:t>
      </w:r>
      <w:r>
        <w:rPr>
          <w:rStyle w:val="DefaultParagraphFont"/>
          <w:rFonts w:eastAsia="Times New Roman" w:cs="Times New Roman"/>
        </w:rPr>
        <w:t>. First, we determined Mg</w:t>
      </w:r>
      <w:r>
        <w:rPr>
          <w:rStyle w:val="DefaultParagraphFont"/>
          <w:rFonts w:eastAsia="Times New Roman" w:cs="Times New Roman"/>
          <w:vertAlign w:val="superscript"/>
        </w:rPr>
        <w:t>2+</w:t>
      </w:r>
      <w:r>
        <w:rPr>
          <w:rStyle w:val="DefaultParagraphFont"/>
          <w:rFonts w:eastAsia="Times New Roman" w:cs="Times New Roman"/>
        </w:rPr>
        <w:t xml:space="preserve"> binding constants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for</w:t>
      </w:r>
      <w:r>
        <w:rPr>
          <w:rStyle w:val="DefaultParagraphFont"/>
          <w:rFonts w:eastAsia="Times New Roman" w:cs="Times New Roman"/>
        </w:rPr>
        <w:t xml:space="preserve"> the top 15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metabolites, comprising 80% of the total metabolome, at physiological pH and monovalent ion concentrations. Then, we used this information to inform creation of artificial cytoplasms that mimic </w:t>
      </w:r>
      <w:r>
        <w:rPr>
          <w:rStyle w:val="DefaultParagraphFont"/>
          <w:rFonts w:eastAsia="Times New Roman" w:cs="Times New Roman"/>
          <w:i/>
          <w:iCs/>
        </w:rPr>
        <w:t>in vivo E. coli</w:t>
      </w:r>
      <w:r>
        <w:rPr>
          <w:rStyle w:val="DefaultParagraphFont"/>
          <w:rFonts w:eastAsia="Times New Roman" w:cs="Times New Roman"/>
        </w:rPr>
        <w:t xml:space="preserve"> conditions, termed Eco80. We empirically determined that the mixture of </w:t>
      </w:r>
      <w:r>
        <w:rPr>
          <w:rStyle w:val="DefaultParagraphFont"/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</w:t>
      </w:r>
      <w:r>
        <w:rPr>
          <w:rStyle w:val="DefaultParagraphFont"/>
          <w:rFonts w:eastAsia="Times New Roman" w:cs="Times New Roman"/>
          <w:i/>
          <w:iCs/>
        </w:rPr>
        <w:t xml:space="preserve">. coli  </w:t>
      </w:r>
      <w:r>
        <w:rPr>
          <w:rStyle w:val="DefaultParagraphFont"/>
          <w:rFonts w:eastAsia="Times New Roman" w:cs="Times New Roman"/>
          <w:i w:val="false"/>
          <w:iCs w:val="false"/>
        </w:rPr>
        <w:t>metabolites in Eco80 approximates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single sit binding behavior towards Mg2+ in the biologically relevant free Mg2+ range of ~0.5 to 10 mM Mg2+, using a Mg2+ binding fluorescent dye (8-Hydroxy-5-quinolinesulfonic acid). Furthermore,  we examined the effects of Eco80 conditions on the the</w:t>
      </w:r>
      <w:r>
        <w:rPr>
          <w:rStyle w:val="DefaultParagraphFont"/>
          <w:rFonts w:eastAsia="Times New Roman" w:cs="Times New Roman"/>
        </w:rPr>
        <w:t xml:space="preserve">rmodynamic stability, chemical stability, catalysis, and compactness of RNA. We find that these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Eco80</w:t>
      </w:r>
      <w:r>
        <w:rPr>
          <w:rStyle w:val="DefaultParagraphFont"/>
          <w:rFonts w:eastAsia="Times New Roman" w:cs="Times New Roman"/>
          <w:i/>
          <w:iCs/>
        </w:rPr>
        <w:t xml:space="preserve"> </w:t>
      </w:r>
      <w:r>
        <w:rPr>
          <w:rStyle w:val="DefaultParagraphFont"/>
          <w:rFonts w:eastAsia="Times New Roman" w:cs="Times New Roman"/>
        </w:rPr>
        <w:t xml:space="preserve">conditions lead to opposing effects, wherein thermodynamic stability of RNA helices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weakened but chemical stability, compactness, and catalysis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enhanced</w:t>
      </w:r>
      <w:r>
        <w:rPr>
          <w:rStyle w:val="DefaultParagraphFont"/>
          <w:rFonts w:eastAsia="Times New Roman" w:cs="Times New Roman"/>
        </w:rPr>
        <w:t>. We propose a mechanism where increased RNA compactness and catalysis is facilitated i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n Eco80.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VAFigureCaption"/>
        <w:bidi w:val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Introduction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Summary of progress on in vivo-like conditions.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Studies that consider cellular components one at a time.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Studies that consider cellular components together in artificial cytoplasm.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 contrast, we take a bottom up, “aufbau”, approach that builds up complexity, to an artificial cytoplasm that contains 80% of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E. coli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metabolites with biological concentrations of monovalent ions and free Mg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ions.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This aufbau approach allows us to understand the effects of most of the metabolite and metal ions species that compose the network of interactions that RNA experiences in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cells.</w:t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Eco80: A artificial cytoplasm containing 80% of E. coli metabolites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cells contain hundreds of metabolites for a total metabolite concentration of about 243 mM, too many metabolites to test systematically . However, 15 abundant metabolites comprise 80% (194 mM) of total metabolites, and 15 metabolites is an experimentally manageable number (Figure 1A). Thus, we sought to prepare </w:t>
      </w:r>
      <w:r>
        <w:rPr>
          <w:rStyle w:val="DefaultParagraphFont"/>
          <w:rFonts w:eastAsia="Times New Roman" w:cs="Times New Roman"/>
          <w:i w:val="false"/>
          <w:iCs w:val="false"/>
        </w:rPr>
        <w:t>Eco80</w:t>
      </w:r>
      <w:r>
        <w:rPr>
          <w:rStyle w:val="DefaultParagraphFont"/>
          <w:rFonts w:eastAsia="Times New Roman" w:cs="Times New Roman"/>
          <w:i/>
          <w:iCs/>
        </w:rPr>
        <w:t>,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an artificial cytoplasm containing the biological concentrations of the 15 most abundant metabolites in </w:t>
      </w:r>
      <w:r>
        <w:rPr>
          <w:rStyle w:val="DefaultParagraphFont"/>
          <w:rFonts w:eastAsia="Times New Roman" w:cs="Times New Roman"/>
          <w:i/>
          <w:iCs/>
        </w:rPr>
        <w:t>E. coli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(Table 1).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</w:rPr>
        <w:t>All of the metabolites in Eco80 are zwitter ion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or charged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near physiological </w:t>
      </w:r>
      <w:r>
        <w:rPr>
          <w:rStyle w:val="DefaultParagraphFont"/>
          <w:rFonts w:eastAsia="Times New Roman" w:cs="Times New Roman"/>
          <w:i w:val="false"/>
          <w:iCs w:val="false"/>
        </w:rPr>
        <w:t>pH (~7) and require electrostatic neutralization with metal ions. Thus, we prepared Eco80 so that the final monovalent ion concentration was close to the physiological value of 240 mM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(SI Table 1). M</w:t>
      </w:r>
      <w:r>
        <w:rPr>
          <w:rStyle w:val="DefaultParagraphFont"/>
          <w:rFonts w:eastAsia="Times New Roman" w:cs="Times New Roman"/>
          <w:i w:val="false"/>
          <w:iCs w:val="false"/>
        </w:rPr>
        <w:t>etabolite salts and free acids were prepared to a final 2xconcentration in volumetric flasks, and the amount of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added with each metabolite was recorded. Next, the pH of the 2xstock was adjusted to pH 7.0 using NaOH, and the amount of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was recorded. Lastly, NaCl and KCl was added to a final 240 mM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. 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color w:val="auto"/>
          <w:kern w:val="2"/>
          <w:sz w:val="18"/>
          <w:szCs w:val="24"/>
          <w:lang w:val="en-US" w:eastAsia="zh-CN" w:bidi="hi-IN"/>
        </w:rPr>
        <w:t>Next</w:t>
      </w:r>
      <w:r>
        <w:rPr>
          <w:rStyle w:val="DefaultParagraphFont"/>
          <w:rFonts w:ascii="Arno Pro" w:hAnsi="Arno Pro"/>
          <w:kern w:val="2"/>
          <w:sz w:val="18"/>
        </w:rPr>
        <w:t>, we considered how metabolites effect the speciation of free and chelated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.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>All 15 of the most abundant metabolites have functional groups, carboxylates and phosphates, that drive chelating interactions with divalent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 xml:space="preserve"> ions (Table 1), and we have previously estimated that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the metabolite pool in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E. coli </w:t>
      </w:r>
      <w:r>
        <w:rPr>
          <w:rStyle w:val="DefaultParagraphFont"/>
          <w:rFonts w:ascii="Arno Pro" w:hAnsi="Arno Pro"/>
          <w:kern w:val="2"/>
          <w:sz w:val="18"/>
        </w:rPr>
        <w:t>has potential to chelate 51 mM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assuming 2 mM free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an ionic strength of 0.15 M and a pH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of 7.5.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While extensive liturature exists on chelating interactions between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and small molecules, our previous estimates are putative a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chelation strength is dependent on environmental factors such as pH, ionic strength, composition of background ions, and temperature. Thus, we sought to better characterize the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chelation by the top 15 most abundant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>E. coli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metabolites at the physiological background of 240 mM Na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, 140 mM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, pH 7.0, and 37 </w:t>
      </w:r>
      <w:r>
        <w:rPr>
          <w:rStyle w:val="DefaultParagraphFont"/>
          <w:rFonts w:ascii="DejaVu Serif" w:hAnsi="DejaVu Serif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We determined apparent disassociation constants (K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) for the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Eco90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metabolites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in 240 mM NaCl, 140 mM KCl pH 7.0 buffer at 37 </w:t>
      </w:r>
      <w:r>
        <w:rPr>
          <w:rStyle w:val="DefaultParagraphFont"/>
          <w:rFonts w:eastAsia="Noto Serif CJK SC" w:cs="Lohit Devanagari" w:ascii="Ani" w:hAnsi="Ani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kern w:val="2"/>
          <w:sz w:val="18"/>
        </w:rPr>
        <w:t xml:space="preserve">C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kern w:val="2"/>
          <w:sz w:val="18"/>
        </w:rPr>
        <w:t>(Table 1)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. I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sothermal titration calorimetry (ITC) was used to determine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for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phosphorylated metabolites (SI figure 1, SI Table 2). A fluorescence assay,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that uses the emission of the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binding dye </w:t>
      </w:r>
      <w:bookmarkStart w:id="0" w:name="page38R_mcid10"/>
      <w:bookmarkEnd w:id="0"/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8-Hydroxy-5-quinolinesulfonic (HQS) acid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was used to estimate the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for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binders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metabolites that did not produce enough heat on binding to measure with ITC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(SI figure 2, SI Table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3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)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The four nucleotide triphosphates, ATP, UTP, GTP, and dTTP, were classified as strong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binders with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values less than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approximate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</w:t>
      </w:r>
      <w:r>
        <w:rPr>
          <w:rStyle w:val="DefaultParagraphFont"/>
          <w:rFonts w:eastAsia="Noto Serif CJK SC" w:cs="Lohit Devanagari" w:ascii="Arno Pro" w:hAnsi="Arno Pro"/>
          <w:i/>
          <w:iCs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E. coli,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 mM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Conversely, 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8 other metabolites, L-glutamic acid, glutathione, fructose 1,6-BP, UDP-GlcNAC, Glucose 6-P, L-aspartic acid,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6-P-gluconic acid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, and dihydroxyacetone phosphate were classified as weak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binders, with a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value greater than 2 mM but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with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binding observed. Three metabolites, L-valine, L-glutamine, and pyruvic acid had negligible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binding properties, as measured with HQS.</w:t>
      </w:r>
    </w:p>
    <w:p>
      <w:pPr>
        <w:pStyle w:val="Normal"/>
        <w:spacing w:lineRule="exact" w:line="288" w:before="0" w:after="86"/>
        <w:jc w:val="both"/>
        <w:rPr/>
      </w:pPr>
      <w:r>
        <w:rPr>
          <w:rFonts w:ascii="Arno Pro" w:hAnsi="Arno Pro"/>
          <w:i w:val="false"/>
          <w:iCs w:val="false"/>
          <w:kern w:val="2"/>
          <w:sz w:val="18"/>
        </w:rPr>
        <w:t xml:space="preserve">We next used two methods to estimate how the metabolites effect the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speciation of free and chelated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as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mixture in the Eco80 artificial cytoplasm. The first method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was experimental, using HQS emission to estimate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concentration in the presence of Eco80 metabolites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The second method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was a statistical model that accounts for experimental uncertainties in metabolite concentrations,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concentrations, and uncertainty in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determination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HQS assay, 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The statistical model is described in detail in the Supplementary Methods. Briefly,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errors were propagated from uncertainties in reagent masses and volumes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used during sample preparation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and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uncertainties were obtained from the fits (Table 1),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then randomly seeded into Equation 1 to create 1000 virtual artificial cytoplasm.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Equation 1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Then, equation 1 is solved numerically to determine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produced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at a given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/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destabilizes RNA helices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protects RNA from degradation</w:t>
      </w:r>
      <w:r>
        <w:br w:type="page"/>
      </w:r>
    </w:p>
    <w:p>
      <w:pPr>
        <w:pStyle w:val="VAFigureCaption"/>
        <w:bidi w:val="0"/>
        <w:spacing w:before="0" w:after="72"/>
        <w:jc w:val="left"/>
        <w:rPr>
          <w:rStyle w:val="DefaultParagraphFont"/>
          <w:rFonts w:eastAsia="Times New Roman" w:cs="Times New Roman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no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n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DAbstractTitleChar">
    <w:name w:val="BD_Abstract_Title Char"/>
    <w:qFormat/>
    <w:rPr>
      <w:rFonts w:ascii="Arno Pro" w:hAnsi="Arno Pro" w:eastAsia="Arno Pro" w:cs="Arno Pro"/>
      <w:b/>
      <w:kern w:val="2"/>
      <w:sz w:val="19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VAFigureCaption">
    <w:name w:val="VA_Figure_Caption"/>
    <w:basedOn w:val="Normal"/>
    <w:next w:val="Normal"/>
    <w:qFormat/>
    <w:pPr>
      <w:suppressAutoHyphens w:val="false"/>
      <w:spacing w:before="0" w:after="72"/>
    </w:pPr>
    <w:rPr>
      <w:rFonts w:ascii="Arno Pro" w:hAnsi="Arno Pro" w:eastAsia="Arno Pro" w:cs="Arno Pro"/>
      <w:kern w:val="2"/>
      <w:sz w:val="18"/>
    </w:rPr>
  </w:style>
  <w:style w:type="paragraph" w:styleId="BIEmailAddress">
    <w:name w:val="BI_Email_Address"/>
    <w:basedOn w:val="Normal"/>
    <w:next w:val="AIReceivedDate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AIReceivedDate">
    <w:name w:val="AI_Received_Date"/>
    <w:basedOn w:val="Normal"/>
    <w:next w:val="Normal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StyleBIEmailAddress95pt">
    <w:name w:val="Style BI_Email_Address + 9.5 pt"/>
    <w:basedOn w:val="BIEmailAddress"/>
    <w:qFormat/>
    <w:pPr>
      <w:suppressAutoHyphens w:val="false"/>
      <w:spacing w:before="0" w:after="60"/>
    </w:pPr>
    <w:rPr>
      <w:sz w:val="19"/>
    </w:rPr>
  </w:style>
  <w:style w:type="paragraph" w:styleId="BDAbstract">
    <w:name w:val="BD_Abstract"/>
    <w:basedOn w:val="Normal"/>
    <w:next w:val="TAMainText"/>
    <w:qFormat/>
    <w:pPr>
      <w:pBdr>
        <w:top w:val="single" w:sz="4" w:space="1" w:color="000000"/>
        <w:bottom w:val="single" w:sz="4" w:space="1" w:color="000000"/>
      </w:pBdr>
      <w:suppressAutoHyphens w:val="false"/>
      <w:spacing w:before="101" w:after="101"/>
    </w:pPr>
    <w:rPr>
      <w:rFonts w:ascii="Arno Pro" w:hAnsi="Arno Pro" w:eastAsia="Arno Pro" w:cs="Arno Pro"/>
      <w:kern w:val="2"/>
      <w:sz w:val="19"/>
    </w:rPr>
  </w:style>
  <w:style w:type="paragraph" w:styleId="TAMainText">
    <w:name w:val="TA_Main_Text"/>
    <w:basedOn w:val="Normal"/>
    <w:qFormat/>
    <w:pPr>
      <w:tabs>
        <w:tab w:val="clear" w:pos="709"/>
      </w:tabs>
      <w:suppressAutoHyphens w:val="false"/>
      <w:spacing w:before="0" w:after="60"/>
      <w:ind w:left="720" w:right="0" w:hanging="0"/>
    </w:pPr>
    <w:rPr>
      <w:rFonts w:ascii="Arno Pro" w:hAnsi="Arno Pro" w:eastAsia="Arno Pro" w:cs="Arno Pro"/>
      <w:kern w:val="2"/>
      <w:sz w:val="19"/>
    </w:rPr>
  </w:style>
  <w:style w:type="paragraph" w:styleId="VDTableTitle">
    <w:name w:val="VD_Table_Title"/>
    <w:basedOn w:val="Normal"/>
    <w:next w:val="Normal"/>
    <w:qFormat/>
    <w:pPr>
      <w:suppressAutoHyphens w:val="false"/>
      <w:spacing w:before="0" w:after="0"/>
    </w:pPr>
    <w:rPr>
      <w:rFonts w:ascii="Arno Pro" w:hAnsi="Arno Pro" w:eastAsia="Arno Pro" w:cs="Arno Pro"/>
      <w:b/>
      <w:kern w:val="2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3</Pages>
  <Words>923</Words>
  <Characters>5064</Characters>
  <CharactersWithSpaces>5976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2022-04-07T14:20:02Z</dcterms:created>
  <dc:creator/>
  <dc:description/>
  <dc:language>en-US</dc:language>
  <cp:lastModifiedBy/>
  <dcterms:modified xsi:type="dcterms:W3CDTF">2022-05-04T14:12:08Z</dcterms:modified>
  <cp:revision>7</cp:revision>
  <dc:subject/>
  <dc:title/>
</cp:coreProperties>
</file>