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DAbstract"/>
        <w:spacing w:before="101" w:after="101"/>
        <w:rPr/>
      </w:pPr>
      <w:r>
        <w:rPr>
          <w:rStyle w:val="BDAbstractTitleChar"/>
        </w:rPr>
        <w:t>ABSTRACT:</w:t>
      </w:r>
      <w:r>
        <w:rPr/>
        <w:t xml:space="preserve"> </w:t>
      </w:r>
      <w:r>
        <w:rPr>
          <w:rStyle w:val="DefaultParagraphFont"/>
          <w:rFonts w:eastAsia="Times New Roman" w:cs="Times New Roman"/>
        </w:rPr>
        <w:t xml:space="preserve">Herein, we examine the complicated network of interactions among RNA, the metabolome, and the metalome in conditions that mimic the </w:t>
      </w:r>
      <w:r>
        <w:rPr>
          <w:rStyle w:val="DefaultParagraphFont"/>
          <w:rFonts w:eastAsia="Times New Roman" w:cs="Times New Roman"/>
          <w:i/>
          <w:iCs/>
        </w:rPr>
        <w:t xml:space="preserve">E. coli </w:t>
      </w:r>
      <w:r>
        <w:rPr>
          <w:rStyle w:val="DefaultParagraphFont"/>
          <w:rFonts w:eastAsia="Times New Roman" w:cs="Times New Roman"/>
          <w:i w:val="false"/>
          <w:iCs w:val="false"/>
        </w:rPr>
        <w:t>cytoplasm</w:t>
      </w:r>
      <w:r>
        <w:rPr>
          <w:rStyle w:val="DefaultParagraphFont"/>
          <w:rFonts w:eastAsia="Times New Roman" w:cs="Times New Roman"/>
        </w:rPr>
        <w:t>. First, we determined Mg</w:t>
      </w:r>
      <w:r>
        <w:rPr>
          <w:rStyle w:val="DefaultParagraphFont"/>
          <w:rFonts w:eastAsia="Times New Roman" w:cs="Times New Roman"/>
          <w:vertAlign w:val="superscript"/>
        </w:rPr>
        <w:t>2+</w:t>
      </w:r>
      <w:r>
        <w:rPr>
          <w:rStyle w:val="DefaultParagraphFont"/>
          <w:rFonts w:eastAsia="Times New Roman" w:cs="Times New Roman"/>
        </w:rPr>
        <w:t xml:space="preserve"> binding constants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for</w:t>
      </w:r>
      <w:r>
        <w:rPr>
          <w:rStyle w:val="DefaultParagraphFont"/>
          <w:rFonts w:eastAsia="Times New Roman" w:cs="Times New Roman"/>
        </w:rPr>
        <w:t xml:space="preserve"> the top 15 </w:t>
      </w:r>
      <w:r>
        <w:rPr>
          <w:rStyle w:val="DefaultParagraphFont"/>
          <w:rFonts w:eastAsia="Times New Roman" w:cs="Times New Roman"/>
          <w:i/>
          <w:iCs/>
        </w:rPr>
        <w:t xml:space="preserve">E. coli </w:t>
      </w:r>
      <w:r>
        <w:rPr>
          <w:rStyle w:val="DefaultParagraphFont"/>
          <w:rFonts w:eastAsia="Times New Roman" w:cs="Times New Roman"/>
        </w:rPr>
        <w:t xml:space="preserve">metabolites, comprising 80% of the total metabolome, at physiological pH and monovalent ion concentrations. Then, we used this information to inform creation of artificial cytoplasms that mimic </w:t>
      </w:r>
      <w:r>
        <w:rPr>
          <w:rStyle w:val="DefaultParagraphFont"/>
          <w:rFonts w:eastAsia="Times New Roman" w:cs="Times New Roman"/>
          <w:i/>
          <w:iCs/>
        </w:rPr>
        <w:t>in vivo E. coli</w:t>
      </w:r>
      <w:r>
        <w:rPr>
          <w:rStyle w:val="DefaultParagraphFont"/>
          <w:rFonts w:eastAsia="Times New Roman" w:cs="Times New Roman"/>
        </w:rPr>
        <w:t xml:space="preserve"> conditions, termed Eco80. We empirically determined that the mixture of </w:t>
      </w:r>
      <w:r>
        <w:rPr>
          <w:rStyle w:val="DefaultParagraphFont"/>
          <w:rFonts w:eastAsia="Times New Roman" w:cs="Times New Roman"/>
          <w:b w:val="false"/>
          <w:bCs w:val="false"/>
          <w:i/>
          <w:iCs/>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w:t>
      </w:r>
      <w:r>
        <w:rPr>
          <w:rStyle w:val="DefaultParagraphFont"/>
          <w:rFonts w:eastAsia="Times New Roman" w:cs="Times New Roman"/>
          <w:i/>
          <w:iCs/>
        </w:rPr>
        <w:t xml:space="preserve">. coli  </w:t>
      </w:r>
      <w:r>
        <w:rPr>
          <w:rStyle w:val="DefaultParagraphFont"/>
          <w:rFonts w:eastAsia="Times New Roman" w:cs="Times New Roman"/>
          <w:i w:val="false"/>
          <w:iCs w:val="false"/>
        </w:rPr>
        <w:t>metabolites in Eco80 approximates</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single sit binding behavior towards Mg2+ in the biologically relevant free Mg2+ range of ~0.5 to 3 mM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using a Mg</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sz w:val="19"/>
          <w:szCs w:val="20"/>
          <w:u w:val="none"/>
          <w:vertAlign w:val="superscript"/>
          <w:em w:val="none"/>
          <w:lang w:val="en-US" w:eastAsia="en-US" w:bidi="ar-SA"/>
        </w:rPr>
        <w:t>2+</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binding fluorescent dye (8-Hydroxy-5-quinolinesulfonic acid). Furthermore,  we examined the effects of Eco80 conditions on the the</w:t>
      </w:r>
      <w:r>
        <w:rPr>
          <w:rStyle w:val="DefaultParagraphFont"/>
          <w:rFonts w:eastAsia="Times New Roman" w:cs="Times New Roman"/>
        </w:rPr>
        <w:t xml:space="preserve">rmodynamic stability, chemical stability, catalysis, and compactness of RNA. We find that these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Eco80</w:t>
      </w:r>
      <w:r>
        <w:rPr>
          <w:rStyle w:val="DefaultParagraphFont"/>
          <w:rFonts w:eastAsia="Times New Roman" w:cs="Times New Roman"/>
          <w:i/>
          <w:iCs/>
        </w:rPr>
        <w:t xml:space="preserve"> </w:t>
      </w:r>
      <w:r>
        <w:rPr>
          <w:rStyle w:val="DefaultParagraphFont"/>
          <w:rFonts w:eastAsia="Times New Roman" w:cs="Times New Roman"/>
        </w:rPr>
        <w:t xml:space="preserve">conditions lead to opposing effects, wherein thermodynamic stability of RNA helices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weakened but chemical stability, compactness, and catalysis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enhanced</w:t>
      </w:r>
      <w:r>
        <w:rPr>
          <w:rStyle w:val="DefaultParagraphFont"/>
          <w:rFonts w:eastAsia="Times New Roman" w:cs="Times New Roman"/>
        </w:rPr>
        <w:t>. We propose a mechanism where increased RNA compactness and catalysis is facilitated i</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n Eco80.</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VAFigureCaption"/>
        <w:bidi w:val="0"/>
        <w:jc w:val="left"/>
        <w:rPr>
          <w:rFonts w:eastAsia="Times New Roman" w:cs="Times New Roman"/>
        </w:rPr>
      </w:pPr>
      <w:r>
        <w:rPr>
          <w:rFonts w:eastAsia="Times New Roman" w:cs="Times New Roman"/>
        </w:rPr>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Introduction</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Summary of progress on in vivo-like conditions. </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Studies that consider cellular components one at a time. </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Studies that consider cellular components together in artificial cytoplasm.</w:t>
      </w:r>
    </w:p>
    <w:p>
      <w:pPr>
        <w:pStyle w:val="VAFigureCaption"/>
        <w:bidi w:val="0"/>
        <w:spacing w:lineRule="exact" w:line="288" w:before="0" w:after="86"/>
        <w:jc w:val="both"/>
        <w:rPr/>
      </w:pPr>
      <w:r>
        <w:rPr>
          <w:rStyle w:val="DefaultParagraphFont"/>
          <w:rFonts w:eastAsia="Times New Roman" w:cs="Times New Roman"/>
          <w:i w:val="false"/>
          <w:iCs w:val="false"/>
          <w:color w:val="auto"/>
          <w:kern w:val="2"/>
          <w:sz w:val="18"/>
          <w:szCs w:val="24"/>
          <w:lang w:val="en-US" w:eastAsia="zh-CN" w:bidi="hi-IN"/>
        </w:rPr>
        <w:t xml:space="preserve">In contrast, we take a bottom up, </w:t>
      </w:r>
      <w:r>
        <w:rPr>
          <w:rStyle w:val="DefaultParagraphFont"/>
          <w:rFonts w:eastAsia="Times New Roman" w:cs="Times New Roman"/>
          <w:i/>
          <w:iCs/>
          <w:color w:val="auto"/>
          <w:kern w:val="2"/>
          <w:sz w:val="18"/>
          <w:szCs w:val="24"/>
          <w:lang w:val="en-US" w:eastAsia="zh-CN" w:bidi="hi-IN"/>
        </w:rPr>
        <w:t>aufbau</w:t>
      </w:r>
      <w:r>
        <w:rPr>
          <w:rStyle w:val="DefaultParagraphFont"/>
          <w:rFonts w:eastAsia="Times New Roman" w:cs="Times New Roman"/>
          <w:i w:val="false"/>
          <w:iCs w:val="false"/>
          <w:color w:val="auto"/>
          <w:kern w:val="2"/>
          <w:sz w:val="18"/>
          <w:szCs w:val="24"/>
          <w:lang w:val="en-US" w:eastAsia="zh-CN" w:bidi="hi-IN"/>
        </w:rPr>
        <w:t>, approach that builds up complexity, to make an artificial cytoplasm that contains 80% of</w:t>
      </w:r>
      <w:r>
        <w:rPr>
          <w:rStyle w:val="DefaultParagraphFont"/>
          <w:rFonts w:eastAsia="Times New Roman" w:cs="Times New Roman"/>
          <w:i/>
          <w:iCs/>
          <w:color w:val="auto"/>
          <w:kern w:val="2"/>
          <w:sz w:val="18"/>
          <w:szCs w:val="24"/>
          <w:lang w:val="en-US" w:eastAsia="zh-CN" w:bidi="hi-IN"/>
        </w:rPr>
        <w:t xml:space="preserve"> E. coli</w:t>
      </w:r>
      <w:r>
        <w:rPr>
          <w:rStyle w:val="DefaultParagraphFont"/>
          <w:rFonts w:eastAsia="Times New Roman" w:cs="Times New Roman"/>
          <w:i w:val="false"/>
          <w:iCs w:val="false"/>
          <w:color w:val="auto"/>
          <w:kern w:val="2"/>
          <w:sz w:val="18"/>
          <w:szCs w:val="24"/>
          <w:lang w:val="en-US" w:eastAsia="zh-CN" w:bidi="hi-IN"/>
        </w:rPr>
        <w:t xml:space="preserve"> metabolites with biologically relevant concentrations of monovalent ions and free Mg</w:t>
      </w:r>
      <w:r>
        <w:rPr>
          <w:rStyle w:val="DefaultParagraphFont"/>
          <w:rFonts w:eastAsia="Times New Roman" w:cs="Times New Roman"/>
          <w:i w:val="false"/>
          <w:iCs w:val="false"/>
          <w:color w:val="auto"/>
          <w:kern w:val="2"/>
          <w:sz w:val="18"/>
          <w:szCs w:val="24"/>
          <w:vertAlign w:val="superscript"/>
          <w:lang w:val="en-US" w:eastAsia="zh-CN" w:bidi="hi-IN"/>
        </w:rPr>
        <w:t xml:space="preserve">2+ </w:t>
      </w:r>
      <w:r>
        <w:rPr>
          <w:rStyle w:val="DefaultParagraphFont"/>
          <w:rFonts w:eastAsia="Times New Roman" w:cs="Times New Roman"/>
          <w:i w:val="false"/>
          <w:iCs w:val="false"/>
          <w:color w:val="auto"/>
          <w:kern w:val="2"/>
          <w:position w:val="0"/>
          <w:sz w:val="18"/>
          <w:sz w:val="18"/>
          <w:szCs w:val="24"/>
          <w:vertAlign w:val="baseline"/>
          <w:lang w:val="en-US" w:eastAsia="zh-CN" w:bidi="hi-IN"/>
        </w:rPr>
        <w:t>ions.</w:t>
      </w:r>
      <w:r>
        <w:rPr>
          <w:rStyle w:val="DefaultParagraphFont"/>
          <w:rFonts w:eastAsia="Times New Roman" w:cs="Times New Roman"/>
          <w:i/>
          <w:iCs/>
          <w:color w:val="auto"/>
          <w:kern w:val="2"/>
          <w:sz w:val="18"/>
          <w:szCs w:val="24"/>
          <w:lang w:val="en-US" w:eastAsia="zh-CN" w:bidi="hi-IN"/>
        </w:rPr>
        <w:t xml:space="preserve"> </w:t>
      </w:r>
      <w:r>
        <w:rPr>
          <w:rStyle w:val="DefaultParagraphFont"/>
          <w:rFonts w:eastAsia="Times New Roman" w:cs="Times New Roman"/>
          <w:i w:val="false"/>
          <w:iCs w:val="false"/>
          <w:color w:val="auto"/>
          <w:kern w:val="2"/>
          <w:sz w:val="18"/>
          <w:szCs w:val="24"/>
          <w:lang w:val="en-US" w:eastAsia="zh-CN" w:bidi="hi-IN"/>
        </w:rPr>
        <w:t xml:space="preserve">This </w:t>
      </w:r>
      <w:r>
        <w:rPr>
          <w:rStyle w:val="DefaultParagraphFont"/>
          <w:rFonts w:eastAsia="Times New Roman" w:cs="Times New Roman"/>
          <w:i/>
          <w:iCs/>
          <w:color w:val="auto"/>
          <w:kern w:val="2"/>
          <w:sz w:val="18"/>
          <w:szCs w:val="24"/>
          <w:lang w:val="en-US" w:eastAsia="zh-CN" w:bidi="hi-IN"/>
        </w:rPr>
        <w:t>aufbau</w:t>
      </w:r>
      <w:r>
        <w:rPr>
          <w:rStyle w:val="DefaultParagraphFont"/>
          <w:rFonts w:eastAsia="Times New Roman" w:cs="Times New Roman"/>
          <w:i w:val="false"/>
          <w:iCs w:val="false"/>
          <w:color w:val="auto"/>
          <w:kern w:val="2"/>
          <w:sz w:val="18"/>
          <w:szCs w:val="24"/>
          <w:lang w:val="en-US" w:eastAsia="zh-CN" w:bidi="hi-IN"/>
        </w:rPr>
        <w:t xml:space="preserve"> approach allows us to understand the effects of 80% of metabolite and metal ion species that compose a part of the network of interactions that RNA experiences in </w:t>
      </w:r>
      <w:r>
        <w:rPr>
          <w:rStyle w:val="DefaultParagraphFont"/>
          <w:rFonts w:eastAsia="Times New Roman" w:cs="Times New Roman"/>
          <w:i/>
          <w:iCs/>
          <w:color w:val="auto"/>
          <w:kern w:val="2"/>
          <w:sz w:val="18"/>
          <w:szCs w:val="24"/>
          <w:lang w:val="en-US" w:eastAsia="zh-CN" w:bidi="hi-IN"/>
        </w:rPr>
        <w:t xml:space="preserve">E. coli </w:t>
      </w:r>
      <w:r>
        <w:rPr>
          <w:rStyle w:val="DefaultParagraphFont"/>
          <w:rFonts w:eastAsia="Times New Roman" w:cs="Times New Roman"/>
          <w:i w:val="false"/>
          <w:iCs w:val="false"/>
          <w:color w:val="auto"/>
          <w:kern w:val="2"/>
          <w:sz w:val="18"/>
          <w:szCs w:val="24"/>
          <w:lang w:val="en-US" w:eastAsia="zh-CN" w:bidi="hi-IN"/>
        </w:rPr>
        <w:t>cells.</w:t>
      </w:r>
    </w:p>
    <w:p>
      <w:pPr>
        <w:pStyle w:val="Normal"/>
        <w:bidi w:val="0"/>
        <w:spacing w:lineRule="exact" w:line="288" w:before="0" w:after="86"/>
        <w:jc w:val="both"/>
        <w:rPr/>
      </w:pPr>
      <w:r>
        <w:rPr>
          <w:rStyle w:val="DefaultParagraphFont"/>
          <w:rFonts w:eastAsia="Times New Roman" w:cs="Times New Roman" w:ascii="Arno Pro" w:hAnsi="Arno Pro"/>
          <w:b/>
          <w:bCs/>
          <w:i w:val="false"/>
          <w:iCs w:val="false"/>
          <w:color w:val="auto"/>
          <w:kern w:val="2"/>
          <w:sz w:val="18"/>
          <w:szCs w:val="24"/>
          <w:lang w:val="en-US" w:eastAsia="zh-CN" w:bidi="hi-IN"/>
        </w:rPr>
        <w:t xml:space="preserve">Eco80: An artificial cytoplasm containing 80% of </w:t>
      </w:r>
      <w:r>
        <w:rPr>
          <w:rStyle w:val="DefaultParagraphFont"/>
          <w:rFonts w:eastAsia="Times New Roman" w:cs="Times New Roman" w:ascii="Arno Pro" w:hAnsi="Arno Pro"/>
          <w:b/>
          <w:bCs/>
          <w:i/>
          <w:iCs/>
          <w:color w:val="auto"/>
          <w:kern w:val="2"/>
          <w:sz w:val="18"/>
          <w:szCs w:val="24"/>
          <w:lang w:val="en-US" w:eastAsia="zh-CN" w:bidi="hi-IN"/>
        </w:rPr>
        <w:t xml:space="preserve">E. coli </w:t>
      </w:r>
      <w:r>
        <w:rPr>
          <w:rStyle w:val="DefaultParagraphFont"/>
          <w:rFonts w:eastAsia="Times New Roman" w:cs="Times New Roman" w:ascii="Arno Pro" w:hAnsi="Arno Pro"/>
          <w:b/>
          <w:bCs/>
          <w:i w:val="false"/>
          <w:iCs w:val="false"/>
          <w:color w:val="auto"/>
          <w:kern w:val="2"/>
          <w:sz w:val="18"/>
          <w:szCs w:val="24"/>
          <w:lang w:val="en-US" w:eastAsia="zh-CN" w:bidi="hi-IN"/>
        </w:rPr>
        <w:t>metabolites</w:t>
      </w:r>
    </w:p>
    <w:p>
      <w:pPr>
        <w:pStyle w:val="VAFigureCaption"/>
        <w:spacing w:lineRule="exact" w:line="288" w:before="0" w:after="86"/>
        <w:jc w:val="both"/>
        <w:rPr/>
      </w:pPr>
      <w:r>
        <w:rPr>
          <w:rStyle w:val="DefaultParagraphFont"/>
          <w:rFonts w:eastAsia="Times New Roman" w:cs="Times New Roman"/>
          <w:i/>
          <w:iCs/>
        </w:rPr>
        <w:t xml:space="preserve">E. coli </w:t>
      </w:r>
      <w:r>
        <w:rPr>
          <w:rStyle w:val="DefaultParagraphFont"/>
          <w:rFonts w:eastAsia="Times New Roman" w:cs="Times New Roman"/>
        </w:rPr>
        <w:t>cells contain hundreds of metabolites (about 243 mM total), which is too many metabolites to test systematically. However, 15 abundant metabolites, an experimentally manageable number, comprise 80% (19</w:t>
      </w:r>
      <w:r>
        <w:rPr>
          <w:rStyle w:val="DefaultParagraphFont"/>
          <w:rFonts w:eastAsia="Times New Roman" w:cs="Times New Roman"/>
          <w:color w:val="auto"/>
          <w:kern w:val="2"/>
          <w:sz w:val="18"/>
          <w:szCs w:val="24"/>
          <w:lang w:val="en-US" w:eastAsia="zh-CN" w:bidi="hi-IN"/>
        </w:rPr>
        <w:t>5</w:t>
      </w:r>
      <w:r>
        <w:rPr>
          <w:rStyle w:val="DefaultParagraphFont"/>
          <w:rFonts w:eastAsia="Times New Roman" w:cs="Times New Roman"/>
        </w:rPr>
        <w:t xml:space="preserve"> mM) of total metabolites (Figure 1A). Thus, we sought to prepare </w:t>
      </w:r>
      <w:r>
        <w:rPr>
          <w:rStyle w:val="DefaultParagraphFont"/>
          <w:rFonts w:eastAsia="Times New Roman" w:cs="Times New Roman"/>
          <w:i w:val="false"/>
          <w:iCs w:val="false"/>
        </w:rPr>
        <w:t>Eco80</w:t>
      </w:r>
      <w:r>
        <w:rPr>
          <w:rStyle w:val="DefaultParagraphFont"/>
          <w:rFonts w:eastAsia="Times New Roman" w:cs="Times New Roman"/>
          <w:i/>
          <w:iCs/>
        </w:rPr>
        <w:t>,</w:t>
      </w:r>
      <w:r>
        <w:rPr>
          <w:rStyle w:val="DefaultParagraphFont"/>
          <w:rFonts w:eastAsia="Times New Roman" w:cs="Times New Roman"/>
          <w:i w:val="false"/>
          <w:iCs w:val="false"/>
        </w:rPr>
        <w:t xml:space="preserve"> an artificial cytoplasm containing the biological concentrations of the 15 most abundant metabolites in </w:t>
      </w:r>
      <w:r>
        <w:rPr>
          <w:rStyle w:val="DefaultParagraphFont"/>
          <w:rFonts w:eastAsia="Times New Roman" w:cs="Times New Roman"/>
          <w:i/>
          <w:iCs/>
        </w:rPr>
        <w:t>E. coli</w:t>
      </w:r>
      <w:r>
        <w:rPr>
          <w:rStyle w:val="DefaultParagraphFont"/>
          <w:rFonts w:eastAsia="Times New Roman" w:cs="Times New Roman"/>
          <w:i w:val="false"/>
          <w:iCs w:val="false"/>
        </w:rPr>
        <w:t xml:space="preserve"> (Table 1).</w:t>
      </w:r>
    </w:p>
    <w:p>
      <w:pPr>
        <w:pStyle w:val="VAFigureCaption"/>
        <w:spacing w:lineRule="exact" w:line="288" w:before="0" w:after="86"/>
        <w:jc w:val="both"/>
        <w:rPr/>
      </w:pPr>
      <w:r>
        <w:rPr>
          <w:rStyle w:val="DefaultParagraphFont"/>
          <w:rFonts w:eastAsia="Times New Roman" w:cs="Times New Roman"/>
          <w:i w:val="false"/>
          <w:iCs w:val="false"/>
        </w:rPr>
        <w:t>All of the metabolites in Eco80 are zwitter ion</w:t>
      </w:r>
      <w:r>
        <w:rPr>
          <w:rStyle w:val="DefaultParagraphFont"/>
          <w:rFonts w:eastAsia="Times New Roman" w:cs="Times New Roman"/>
          <w:i w:val="false"/>
          <w:iCs w:val="false"/>
          <w:color w:val="auto"/>
          <w:kern w:val="2"/>
          <w:sz w:val="18"/>
          <w:szCs w:val="24"/>
          <w:lang w:val="en-US" w:eastAsia="zh-CN" w:bidi="hi-IN"/>
        </w:rPr>
        <w:t>s,</w:t>
      </w:r>
      <w:r>
        <w:rPr>
          <w:rStyle w:val="DefaultParagraphFont"/>
          <w:rFonts w:eastAsia="Times New Roman" w:cs="Times New Roman"/>
          <w:i w:val="false"/>
          <w:iCs w:val="false"/>
        </w:rPr>
        <w:t xml:space="preserve"> or negatively charged, </w:t>
      </w:r>
      <w:r>
        <w:rPr>
          <w:rStyle w:val="DefaultParagraphFont"/>
          <w:rFonts w:eastAsia="Times New Roman" w:cs="Times New Roman"/>
          <w:i w:val="false"/>
          <w:iCs w:val="false"/>
          <w:color w:val="auto"/>
          <w:kern w:val="2"/>
          <w:sz w:val="18"/>
          <w:szCs w:val="24"/>
          <w:lang w:val="en-US" w:eastAsia="zh-CN" w:bidi="hi-IN"/>
        </w:rPr>
        <w:t xml:space="preserve">near physiological </w:t>
      </w:r>
      <w:r>
        <w:rPr>
          <w:rStyle w:val="DefaultParagraphFont"/>
          <w:rFonts w:eastAsia="Times New Roman" w:cs="Times New Roman"/>
          <w:i w:val="false"/>
          <w:iCs w:val="false"/>
        </w:rPr>
        <w:t>pH (~7) and require electrostatic neutralization with metal ions. We prepared Eco80 so that the final monovalent ion concentration was the physiological value of 240 mM Na</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and 140 mM K</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(Supplementary information (SI) Table 1). M</w:t>
      </w:r>
      <w:r>
        <w:rPr>
          <w:rStyle w:val="DefaultParagraphFont"/>
          <w:rFonts w:eastAsia="Times New Roman" w:cs="Times New Roman"/>
          <w:i w:val="false"/>
          <w:iCs w:val="false"/>
        </w:rPr>
        <w:t>etabolite salts and free acids were prepared to a final 2xconcentration, and the amount of Na</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and K</w:t>
      </w:r>
      <w:r>
        <w:rPr>
          <w:rStyle w:val="DefaultParagraphFont"/>
          <w:rFonts w:eastAsia="Times New Roman" w:cs="Times New Roman"/>
          <w:i w:val="false"/>
          <w:iCs w:val="false"/>
          <w:vertAlign w:val="superscript"/>
        </w:rPr>
        <w:t>+</w:t>
      </w:r>
      <w:r>
        <w:rPr>
          <w:rStyle w:val="DefaultParagraphFont"/>
          <w:rFonts w:eastAsia="Times New Roman" w:cs="Times New Roman"/>
          <w:i w:val="false"/>
          <w:iCs w:val="false"/>
          <w:position w:val="0"/>
          <w:sz w:val="18"/>
          <w:sz w:val="18"/>
          <w:vertAlign w:val="baseline"/>
        </w:rPr>
        <w:t xml:space="preserve"> </w:t>
      </w:r>
      <w:r>
        <w:rPr>
          <w:rStyle w:val="DefaultParagraphFont"/>
          <w:rFonts w:eastAsia="Times New Roman" w:cs="Times New Roman"/>
          <w:i w:val="false"/>
          <w:iCs w:val="false"/>
          <w:color w:val="auto"/>
          <w:kern w:val="2"/>
          <w:position w:val="0"/>
          <w:sz w:val="18"/>
          <w:sz w:val="18"/>
          <w:szCs w:val="24"/>
          <w:vertAlign w:val="baseline"/>
          <w:lang w:val="en-US" w:eastAsia="zh-CN" w:bidi="hi-IN"/>
        </w:rPr>
        <w:t>added with each metabolite was recorded. Next, the pH of the 2xstock was adjusted to pH 7.0 using NaOH, and the amount of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was recorded. Lastly, NaCl and KCl were added to a final 240 mM Na</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xml:space="preserve"> and 140 mM K</w:t>
      </w:r>
      <w:r>
        <w:rPr>
          <w:rStyle w:val="DefaultParagraphFont"/>
          <w:rFonts w:eastAsia="Times New Roman" w:cs="Times New Roman"/>
          <w:i w:val="false"/>
          <w:iCs w:val="false"/>
          <w:color w:val="auto"/>
          <w:kern w:val="2"/>
          <w:sz w:val="18"/>
          <w:szCs w:val="24"/>
          <w:vertAlign w:val="superscript"/>
          <w:lang w:val="en-US" w:eastAsia="zh-CN" w:bidi="hi-IN"/>
        </w:rPr>
        <w:t>+</w:t>
      </w:r>
      <w:r>
        <w:rPr>
          <w:rStyle w:val="DefaultParagraphFont"/>
          <w:rFonts w:eastAsia="Times New Roman" w:cs="Times New Roman"/>
          <w:i w:val="false"/>
          <w:iCs w:val="false"/>
          <w:color w:val="auto"/>
          <w:kern w:val="2"/>
          <w:position w:val="0"/>
          <w:sz w:val="18"/>
          <w:sz w:val="18"/>
          <w:szCs w:val="24"/>
          <w:vertAlign w:val="baseline"/>
          <w:lang w:val="en-US" w:eastAsia="zh-CN" w:bidi="hi-IN"/>
        </w:rPr>
        <w:t>. We thus created Eco80, at a 2x final concentration so that it could be diluted into other reagents for experiments.</w:t>
      </w:r>
    </w:p>
    <w:p>
      <w:pPr>
        <w:pStyle w:val="Normal"/>
        <w:spacing w:lineRule="exact" w:line="288" w:before="0" w:after="86"/>
        <w:jc w:val="both"/>
        <w:rPr/>
      </w:pPr>
      <w:r>
        <w:rPr>
          <w:rStyle w:val="DefaultParagraphFont"/>
          <w:rFonts w:eastAsia="Noto Serif CJK SC" w:cs="Lohit Devanagari" w:ascii="Arno Pro" w:hAnsi="Arno Pro"/>
          <w:color w:val="auto"/>
          <w:kern w:val="2"/>
          <w:sz w:val="18"/>
          <w:szCs w:val="24"/>
          <w:lang w:val="en-US" w:eastAsia="zh-CN" w:bidi="hi-IN"/>
        </w:rPr>
        <w:t>Next</w:t>
      </w:r>
      <w:r>
        <w:rPr>
          <w:rStyle w:val="DefaultParagraphFont"/>
          <w:rFonts w:ascii="Arno Pro" w:hAnsi="Arno Pro"/>
          <w:kern w:val="2"/>
          <w:sz w:val="18"/>
        </w:rPr>
        <w:t>, we considered how metabolites effect the speciation of free and chelated Mg</w:t>
      </w:r>
      <w:r>
        <w:rPr>
          <w:rStyle w:val="DefaultParagraphFont"/>
          <w:rFonts w:ascii="Arno Pro" w:hAnsi="Arno Pro"/>
          <w:kern w:val="2"/>
          <w:sz w:val="18"/>
          <w:vertAlign w:val="superscript"/>
        </w:rPr>
        <w:t>2+</w:t>
      </w:r>
      <w:r>
        <w:rPr>
          <w:rStyle w:val="DefaultParagraphFont"/>
          <w:rFonts w:ascii="Arno Pro" w:hAnsi="Arno Pro"/>
          <w:kern w:val="2"/>
          <w:sz w:val="18"/>
        </w:rPr>
        <w:t>.</w:t>
      </w:r>
      <w:r>
        <w:rPr>
          <w:rStyle w:val="DefaultParagraphFont"/>
          <w:rFonts w:ascii="Arno Pro" w:hAnsi="Arno Pro"/>
          <w:kern w:val="2"/>
          <w:position w:val="5"/>
          <w:sz w:val="18"/>
        </w:rPr>
        <w:t xml:space="preserve"> </w:t>
      </w:r>
      <w:r>
        <w:rPr>
          <w:rStyle w:val="DefaultParagraphFont"/>
          <w:rFonts w:ascii="Arno Pro" w:hAnsi="Arno Pro"/>
          <w:kern w:val="2"/>
          <w:sz w:val="18"/>
        </w:rPr>
        <w:t xml:space="preserve">All 15 </w:t>
      </w:r>
      <w:r>
        <w:rPr>
          <w:rStyle w:val="DefaultParagraphFont"/>
          <w:rFonts w:eastAsia="Noto Serif CJK SC" w:cs="Lohit Devanagari" w:ascii="Arno Pro" w:hAnsi="Arno Pro"/>
          <w:color w:val="auto"/>
          <w:kern w:val="2"/>
          <w:sz w:val="18"/>
          <w:szCs w:val="24"/>
          <w:lang w:val="en-US" w:eastAsia="zh-CN" w:bidi="hi-IN"/>
        </w:rPr>
        <w:t>Eco80</w:t>
      </w:r>
      <w:r>
        <w:rPr>
          <w:rStyle w:val="DefaultParagraphFont"/>
          <w:rFonts w:ascii="Arno Pro" w:hAnsi="Arno Pro"/>
          <w:kern w:val="2"/>
          <w:sz w:val="18"/>
        </w:rPr>
        <w:t xml:space="preserve"> metabolites have functional groups, carboxylates and phosphates, that drive chelating interactions with Mg</w:t>
      </w:r>
      <w:r>
        <w:rPr>
          <w:rStyle w:val="DefaultParagraphFont"/>
          <w:rFonts w:ascii="Arno Pro" w:hAnsi="Arno Pro"/>
          <w:kern w:val="2"/>
          <w:sz w:val="18"/>
          <w:vertAlign w:val="superscript"/>
        </w:rPr>
        <w:t>2+</w:t>
      </w:r>
      <w:r>
        <w:rPr>
          <w:rStyle w:val="DefaultParagraphFont"/>
          <w:rFonts w:ascii="Arno Pro" w:hAnsi="Arno Pro"/>
          <w:kern w:val="2"/>
          <w:sz w:val="18"/>
        </w:rPr>
        <w:t xml:space="preserve"> ions (Table 1), and we have previously estimated that</w:t>
      </w:r>
      <w:r>
        <w:rPr>
          <w:rStyle w:val="DefaultParagraphFont"/>
          <w:rFonts w:ascii="Arno Pro" w:hAnsi="Arno Pro"/>
          <w:i/>
          <w:iCs/>
          <w:kern w:val="2"/>
          <w:sz w:val="18"/>
        </w:rPr>
        <w:t xml:space="preserve"> </w:t>
      </w:r>
      <w:r>
        <w:rPr>
          <w:rStyle w:val="DefaultParagraphFont"/>
          <w:rFonts w:ascii="Arno Pro" w:hAnsi="Arno Pro"/>
          <w:kern w:val="2"/>
          <w:sz w:val="18"/>
        </w:rPr>
        <w:t xml:space="preserve">the metabolite pool in </w:t>
      </w:r>
      <w:r>
        <w:rPr>
          <w:rStyle w:val="DefaultParagraphFont"/>
          <w:rFonts w:ascii="Arno Pro" w:hAnsi="Arno Pro"/>
          <w:i/>
          <w:iCs/>
          <w:kern w:val="2"/>
          <w:sz w:val="18"/>
        </w:rPr>
        <w:t xml:space="preserve">E. coli </w:t>
      </w:r>
      <w:r>
        <w:rPr>
          <w:rStyle w:val="DefaultParagraphFont"/>
          <w:rFonts w:ascii="Arno Pro" w:hAnsi="Arno Pro"/>
          <w:kern w:val="2"/>
          <w:sz w:val="18"/>
        </w:rPr>
        <w:t>has potential to chelate 51 mM Mg</w:t>
      </w:r>
      <w:r>
        <w:rPr>
          <w:rStyle w:val="DefaultParagraphFont"/>
          <w:rFonts w:ascii="Arno Pro" w:hAnsi="Arno Pro"/>
          <w:kern w:val="2"/>
          <w:sz w:val="18"/>
          <w:vertAlign w:val="superscript"/>
        </w:rPr>
        <w:t>2+</w:t>
      </w:r>
      <w:r>
        <w:rPr>
          <w:rStyle w:val="DefaultParagraphFont"/>
          <w:rFonts w:ascii="Arno Pro" w:hAnsi="Arno Pro"/>
          <w:kern w:val="2"/>
          <w:sz w:val="18"/>
        </w:rPr>
        <w:t>, assuming 2 mM free Mg</w:t>
      </w:r>
      <w:r>
        <w:rPr>
          <w:rStyle w:val="DefaultParagraphFont"/>
          <w:rFonts w:ascii="Arno Pro" w:hAnsi="Arno Pro"/>
          <w:kern w:val="2"/>
          <w:sz w:val="18"/>
          <w:vertAlign w:val="superscript"/>
        </w:rPr>
        <w:t>2+</w:t>
      </w:r>
      <w:r>
        <w:rPr>
          <w:rStyle w:val="DefaultParagraphFont"/>
          <w:rFonts w:ascii="Arno Pro" w:hAnsi="Arno Pro"/>
          <w:kern w:val="2"/>
          <w:sz w:val="18"/>
        </w:rPr>
        <w:t>, at an ionic strength of 0.15 M and a pH</w:t>
      </w:r>
      <w:r>
        <w:rPr>
          <w:rStyle w:val="DefaultParagraphFont"/>
          <w:rFonts w:ascii="Arno Pro" w:hAnsi="Arno Pro"/>
          <w:kern w:val="2"/>
          <w:position w:val="5"/>
          <w:sz w:val="18"/>
        </w:rPr>
        <w:t xml:space="preserve"> </w:t>
      </w:r>
      <w:r>
        <w:rPr>
          <w:rStyle w:val="DefaultParagraphFont"/>
          <w:rFonts w:ascii="Arno Pro" w:hAnsi="Arno Pro"/>
          <w:kern w:val="2"/>
          <w:sz w:val="18"/>
        </w:rPr>
        <w:t xml:space="preserve">of 7.5. </w:t>
      </w:r>
      <w:r>
        <w:rPr>
          <w:rStyle w:val="DefaultParagraphFont"/>
          <w:rFonts w:ascii="Arno Pro" w:hAnsi="Arno Pro"/>
          <w:i w:val="false"/>
          <w:iCs w:val="false"/>
          <w:kern w:val="2"/>
          <w:sz w:val="18"/>
        </w:rPr>
        <w:t>While extensive literature exists on chelating interactions between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and small molecules, our previous estimates are putative a</w:t>
      </w:r>
      <w:r>
        <w:rPr>
          <w:rStyle w:val="DefaultParagraphFont"/>
          <w:rFonts w:eastAsia="Noto Serif CJK SC" w:cs="Lohit Devanagari" w:ascii="Arno Pro" w:hAnsi="Arno Pro"/>
          <w:i w:val="false"/>
          <w:iCs w:val="false"/>
          <w:color w:val="auto"/>
          <w:kern w:val="2"/>
          <w:sz w:val="18"/>
          <w:szCs w:val="24"/>
          <w:lang w:val="en-US" w:eastAsia="zh-CN" w:bidi="hi-IN"/>
        </w:rPr>
        <w:t>s</w:t>
      </w:r>
      <w:r>
        <w:rPr>
          <w:rStyle w:val="DefaultParagraphFont"/>
          <w:rFonts w:ascii="Arno Pro" w:hAnsi="Arno Pro"/>
          <w:i w:val="false"/>
          <w:iCs w:val="false"/>
          <w:kern w:val="2"/>
          <w:sz w:val="18"/>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binding</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affinity</w:t>
      </w:r>
      <w:r>
        <w:rPr>
          <w:rStyle w:val="DefaultParagraphFont"/>
          <w:rFonts w:ascii="Arno Pro" w:hAnsi="Arno Pro"/>
          <w:i w:val="false"/>
          <w:iCs w:val="false"/>
          <w:kern w:val="2"/>
          <w:sz w:val="18"/>
        </w:rPr>
        <w:t xml:space="preserve"> is dependent on environmental factors such as pH, ionic strength, the composition of background ions, and temperature. Thus, we sought to better characterize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5"/>
          <w:sz w:val="18"/>
        </w:rPr>
        <w:t xml:space="preserve"> </w:t>
      </w:r>
      <w:r>
        <w:rPr>
          <w:rStyle w:val="DefaultParagraphFont"/>
          <w:rFonts w:ascii="Arno Pro" w:hAnsi="Arno Pro"/>
          <w:i w:val="false"/>
          <w:iCs w:val="false"/>
          <w:kern w:val="2"/>
          <w:sz w:val="18"/>
        </w:rPr>
        <w:t>chelation by the metabolites in</w:t>
      </w:r>
      <w:r>
        <w:rPr>
          <w:rStyle w:val="DefaultParagraphFont"/>
          <w:rFonts w:ascii="Arno Pro" w:hAnsi="Arno Pro"/>
          <w:i/>
          <w:iCs/>
          <w:kern w:val="2"/>
          <w:sz w:val="18"/>
        </w:rPr>
        <w:t xml:space="preserve"> </w:t>
      </w:r>
      <w:r>
        <w:rPr>
          <w:rStyle w:val="DefaultParagraphFont"/>
          <w:rFonts w:ascii="Arno Pro" w:hAnsi="Arno Pro"/>
          <w:i w:val="false"/>
          <w:iCs w:val="false"/>
          <w:kern w:val="2"/>
          <w:sz w:val="18"/>
        </w:rPr>
        <w:t>Eco80,</w:t>
      </w:r>
      <w:r>
        <w:rPr>
          <w:rStyle w:val="DefaultParagraphFont"/>
          <w:rFonts w:ascii="Arno Pro" w:hAnsi="Arno Pro"/>
          <w:i/>
          <w:iCs/>
          <w:kern w:val="2"/>
          <w:sz w:val="18"/>
        </w:rPr>
        <w:t xml:space="preserve"> </w:t>
      </w:r>
      <w:r>
        <w:rPr>
          <w:rStyle w:val="DefaultParagraphFont"/>
          <w:rFonts w:ascii="Arno Pro" w:hAnsi="Arno Pro"/>
          <w:i w:val="false"/>
          <w:iCs w:val="false"/>
          <w:kern w:val="2"/>
          <w:sz w:val="18"/>
        </w:rPr>
        <w:t>at the physiological background.</w:t>
      </w:r>
    </w:p>
    <w:p>
      <w:pPr>
        <w:pStyle w:val="Normal"/>
        <w:spacing w:lineRule="exact" w:line="288" w:before="0" w:after="86"/>
        <w:jc w:val="both"/>
        <w:rPr/>
      </w:pPr>
      <w:r>
        <w:rPr>
          <w:rStyle w:val="DefaultParagraphFont"/>
          <w:rFonts w:ascii="Arno Pro" w:hAnsi="Arno Pro"/>
          <w:i w:val="false"/>
          <w:iCs w:val="false"/>
          <w:kern w:val="2"/>
          <w:sz w:val="18"/>
        </w:rPr>
        <w:t>We determined apparent disassociation constants (K</w:t>
      </w:r>
      <w:r>
        <w:rPr>
          <w:rStyle w:val="DefaultParagraphFont"/>
          <w:rFonts w:ascii="Arno Pro" w:hAnsi="Arno Pro"/>
          <w:i w:val="false"/>
          <w:iCs w:val="false"/>
          <w:kern w:val="2"/>
          <w:sz w:val="18"/>
          <w:vertAlign w:val="subscript"/>
        </w:rPr>
        <w:t>D</w:t>
      </w:r>
      <w:r>
        <w:rPr>
          <w:rStyle w:val="DefaultParagraphFont"/>
          <w:rFonts w:ascii="Arno Pro" w:hAnsi="Arno Pro"/>
          <w:i w:val="false"/>
          <w:iCs w:val="false"/>
          <w:kern w:val="2"/>
          <w:sz w:val="18"/>
        </w:rPr>
        <w:t xml:space="preserve">) for Eco80 </w:t>
      </w:r>
      <w:r>
        <w:rPr>
          <w:rStyle w:val="DefaultParagraphFont"/>
          <w:rFonts w:eastAsia="Noto Serif CJK SC" w:cs="Lohit Devanagari" w:ascii="Arno Pro" w:hAnsi="Arno Pro"/>
          <w:i w:val="false"/>
          <w:iCs w:val="false"/>
          <w:color w:val="auto"/>
          <w:kern w:val="2"/>
          <w:sz w:val="18"/>
          <w:szCs w:val="24"/>
          <w:lang w:val="en-US" w:eastAsia="zh-CN" w:bidi="hi-IN"/>
        </w:rPr>
        <w:t xml:space="preserve">metabolites </w:t>
      </w:r>
      <w:r>
        <w:rPr>
          <w:rStyle w:val="DefaultParagraphFont"/>
          <w:rFonts w:ascii="Arno Pro" w:hAnsi="Arno Pro"/>
          <w:i w:val="false"/>
          <w:iCs w:val="false"/>
          <w:kern w:val="2"/>
          <w:sz w:val="18"/>
        </w:rPr>
        <w:t xml:space="preserve">in 240 mM NaCl, 140 mM KCl, pH 7.0 buffer at 37 </w:t>
      </w:r>
      <w:r>
        <w:rPr>
          <w:rStyle w:val="DefaultParagraphFont"/>
          <w:rFonts w:eastAsia="Noto Serif CJK SC" w:cs="Lohit Devanagari" w:ascii="Ani" w:hAnsi="Ani"/>
          <w:i w:val="false"/>
          <w:iCs w:val="false"/>
          <w:kern w:val="2"/>
          <w:sz w:val="18"/>
        </w:rPr>
        <w:t>°</w:t>
      </w:r>
      <w:r>
        <w:rPr>
          <w:rStyle w:val="DefaultParagraphFont"/>
          <w:rFonts w:eastAsia="Noto Serif CJK SC" w:cs="Lohit Devanagari" w:ascii="Arno Pro" w:hAnsi="Arno Pro"/>
          <w:i w:val="false"/>
          <w:iCs w:val="false"/>
          <w:kern w:val="2"/>
          <w:sz w:val="18"/>
        </w:rPr>
        <w:t>C (Table 1)</w:t>
      </w:r>
      <w:r>
        <w:rPr>
          <w:rStyle w:val="DefaultParagraphFont"/>
          <w:rFonts w:ascii="Arno Pro" w:hAnsi="Arno Pro"/>
          <w:i w:val="false"/>
          <w:iCs w:val="false"/>
          <w:kern w:val="2"/>
          <w:sz w:val="18"/>
        </w:rPr>
        <w:t>. Isothermal titration calorimetry (ITC) was used to determine K</w:t>
      </w:r>
      <w:r>
        <w:rPr>
          <w:rStyle w:val="DefaultParagraphFont"/>
          <w:rFonts w:ascii="Arno Pro" w:hAnsi="Arno Pro"/>
          <w:i w:val="false"/>
          <w:iCs w:val="false"/>
          <w:kern w:val="2"/>
          <w:sz w:val="18"/>
          <w:vertAlign w:val="subscript"/>
        </w:rPr>
        <w:t>D</w:t>
      </w:r>
      <w:r>
        <w:rPr>
          <w:rStyle w:val="DefaultParagraphFont"/>
          <w:rFonts w:ascii="Arno Pro" w:hAnsi="Arno Pro"/>
          <w:i w:val="false"/>
          <w:iCs w:val="false"/>
          <w:kern w:val="2"/>
          <w:position w:val="0"/>
          <w:sz w:val="18"/>
          <w:sz w:val="18"/>
          <w:vertAlign w:val="baseline"/>
        </w:rPr>
        <w:t>s</w:t>
      </w:r>
      <w:r>
        <w:rPr>
          <w:rStyle w:val="DefaultParagraphFont"/>
          <w:rFonts w:ascii="Arno Pro" w:hAnsi="Arno Pro"/>
          <w:i w:val="false"/>
          <w:iCs w:val="false"/>
          <w:kern w:val="2"/>
          <w:sz w:val="18"/>
        </w:rPr>
        <w:t xml:space="preserve"> for phosphorylated metabolites (SI figure 1, SI Table 2). A fluorescence assay, </w:t>
      </w:r>
      <w:r>
        <w:rPr>
          <w:rStyle w:val="DefaultParagraphFont"/>
          <w:rFonts w:eastAsia="Noto Serif CJK SC" w:cs="Lohit Devanagari" w:ascii="Arno Pro" w:hAnsi="Arno Pro"/>
          <w:i w:val="false"/>
          <w:iCs w:val="false"/>
          <w:color w:val="auto"/>
          <w:kern w:val="2"/>
          <w:sz w:val="18"/>
          <w:szCs w:val="24"/>
          <w:lang w:val="en-US" w:eastAsia="zh-CN" w:bidi="hi-IN"/>
        </w:rPr>
        <w:t>that measures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concentration in a sample using the metal ion binding dye </w:t>
      </w:r>
      <w:bookmarkStart w:id="0" w:name="page38R_mcid10"/>
      <w:bookmarkEnd w:id="0"/>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8-Hydroxy-5-quinolinesulfonic (HQS) acid, was used to estimate the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for</w:t>
      </w:r>
      <w:r>
        <w:rPr>
          <w:rStyle w:val="DefaultParagraphFont"/>
          <w:rFonts w:ascii="Arno Pro" w:hAnsi="Arno Pro"/>
          <w:i w:val="false"/>
          <w:iCs w:val="false"/>
          <w:kern w:val="2"/>
          <w:sz w:val="18"/>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of metabolites that did not produce enough heat on binding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to measure with ITC (SI figure 2, SI Table </w:t>
      </w:r>
      <w:r>
        <w:rPr>
          <w:rStyle w:val="DefaultParagraphFont"/>
          <w:rFonts w:eastAsia="Noto Serif CJK SC" w:cs="Lohit Devanagari" w:ascii="Arno Pro" w:hAnsi="Arno Pro"/>
          <w:i w:val="false"/>
          <w:iCs w:val="false"/>
          <w:color w:val="auto"/>
          <w:kern w:val="2"/>
          <w:sz w:val="18"/>
          <w:szCs w:val="24"/>
          <w:lang w:val="en-US" w:eastAsia="zh-CN" w:bidi="hi-IN"/>
        </w:rPr>
        <w:t>3</w:t>
      </w:r>
      <w:r>
        <w:rPr>
          <w:rStyle w:val="DefaultParagraphFont"/>
          <w:rFonts w:ascii="Arno Pro" w:hAnsi="Arno Pro"/>
          <w:i w:val="false"/>
          <w:iCs w:val="false"/>
          <w:kern w:val="2"/>
          <w:sz w:val="18"/>
        </w:rPr>
        <w:t>). For the HQS assay,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is titrated into HQS solutions in the absence and presence of chelators. HQS emission as a function of the total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in the absence of chelators is then fit to a binding model (SI figure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w:t>
      </w:r>
      <w:r>
        <w:rPr>
          <w:rStyle w:val="DefaultParagraphFont"/>
          <w:rFonts w:ascii="Arno Pro" w:hAnsi="Arno Pro"/>
          <w:i w:val="false"/>
          <w:iCs w:val="false"/>
          <w:kern w:val="2"/>
          <w:position w:val="0"/>
          <w:sz w:val="18"/>
          <w:sz w:val="18"/>
          <w:vertAlign w:val="baseline"/>
        </w:rPr>
        <w:t>A, top blue data and black fit).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is then then calculated from the fluorescence emission for each data point using the binding model, providing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as a function of the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total</w:t>
      </w:r>
      <w:r>
        <w:rPr>
          <w:rStyle w:val="DefaultParagraphFont"/>
          <w:rFonts w:ascii="Arno Pro" w:hAnsi="Arno Pro"/>
          <w:i w:val="false"/>
          <w:iCs w:val="false"/>
          <w:kern w:val="2"/>
          <w:position w:val="0"/>
          <w:sz w:val="18"/>
          <w:sz w:val="18"/>
          <w:vertAlign w:val="baseline"/>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(SI figure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2A</w:t>
      </w:r>
      <w:r>
        <w:rPr>
          <w:rStyle w:val="DefaultParagraphFont"/>
          <w:rFonts w:ascii="Arno Pro" w:hAnsi="Arno Pro"/>
          <w:i w:val="false"/>
          <w:iCs w:val="false"/>
          <w:kern w:val="2"/>
          <w:position w:val="0"/>
          <w:sz w:val="18"/>
          <w:sz w:val="18"/>
          <w:vertAlign w:val="baseline"/>
        </w:rPr>
        <w:t>, b</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ottom</w:t>
      </w:r>
      <w:r>
        <w:rPr>
          <w:rStyle w:val="DefaultParagraphFont"/>
          <w:rFonts w:ascii="Arno Pro" w:hAnsi="Arno Pro"/>
          <w:i w:val="false"/>
          <w:iCs w:val="false"/>
          <w:kern w:val="2"/>
          <w:position w:val="0"/>
          <w:sz w:val="18"/>
          <w:sz w:val="18"/>
          <w:vertAlign w:val="baseline"/>
        </w:rPr>
        <w:t>).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binding by metabolites is thus observed by fitting the free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as a function of the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total</w:t>
      </w:r>
      <w:r>
        <w:rPr>
          <w:rStyle w:val="DefaultParagraphFont"/>
          <w:rFonts w:ascii="Arno Pro" w:hAnsi="Arno Pro"/>
          <w:i w:val="false"/>
          <w:iCs w:val="false"/>
          <w:kern w:val="2"/>
          <w:position w:val="0"/>
          <w:sz w:val="18"/>
          <w:sz w:val="18"/>
          <w:vertAlign w:val="baseline"/>
        </w:rPr>
        <w:t xml:space="preserve">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concentration, which is shifted to the right as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is sequestered by metabolites.</w:t>
      </w:r>
    </w:p>
    <w:p>
      <w:pPr>
        <w:pStyle w:val="Normal"/>
        <w:spacing w:lineRule="exact" w:line="288" w:before="0" w:after="86"/>
        <w:jc w:val="both"/>
        <w:rPr/>
      </w:pPr>
      <w:r>
        <w:rPr>
          <w:rStyle w:val="DefaultParagraphFont"/>
          <w:rFonts w:eastAsia="Noto Serif CJK SC" w:cs="Lohit Devanagari" w:ascii="Arno Pro" w:hAnsi="Arno Pro"/>
          <w:i w:val="false"/>
          <w:iCs w:val="false"/>
          <w:color w:val="auto"/>
          <w:kern w:val="2"/>
          <w:sz w:val="18"/>
          <w:szCs w:val="24"/>
          <w:lang w:val="en-US" w:eastAsia="zh-CN" w:bidi="hi-IN"/>
        </w:rPr>
        <w:t xml:space="preserve">The four nucleotide triphosphates, ATP, UTP, GTP, and dTTP, were classified as strong </w:t>
      </w:r>
      <w:r>
        <w:rPr>
          <w:rStyle w:val="DefaultParagraphFont"/>
          <w:rFonts w:ascii="Arno Pro" w:hAnsi="Arno Pro"/>
          <w:i w:val="false"/>
          <w:iCs w:val="false"/>
          <w:kern w:val="2"/>
          <w:sz w:val="18"/>
        </w:rPr>
        <w:t>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position w:val="0"/>
          <w:sz w:val="18"/>
          <w:sz w:val="18"/>
          <w:vertAlign w:val="baseline"/>
        </w:rPr>
        <w:t xml:space="preserve"> binders, with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values less than the approximate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w:t>
      </w:r>
      <w:r>
        <w:rPr>
          <w:rStyle w:val="DefaultParagraphFont"/>
          <w:rFonts w:eastAsia="Noto Serif CJK SC" w:cs="Lohit Devanagari" w:ascii="Arno Pro" w:hAnsi="Arno Pro"/>
          <w:i/>
          <w:iCs/>
          <w:color w:val="auto"/>
          <w:kern w:val="2"/>
          <w:position w:val="0"/>
          <w:sz w:val="18"/>
          <w:sz w:val="18"/>
          <w:szCs w:val="24"/>
          <w:vertAlign w:val="baseline"/>
          <w:lang w:val="en-US" w:eastAsia="zh-CN" w:bidi="hi-IN"/>
        </w:rPr>
        <w:t xml:space="preserve">E. coli,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2 mM (Table 1)</w:t>
      </w:r>
      <w:r>
        <w:rPr>
          <w:rStyle w:val="DefaultParagraphFont"/>
          <w:rFonts w:ascii="Arno Pro" w:hAnsi="Arno Pro"/>
          <w:i w:val="false"/>
          <w:iCs w:val="false"/>
          <w:kern w:val="2"/>
          <w:position w:val="0"/>
          <w:sz w:val="18"/>
          <w:sz w:val="18"/>
          <w:vertAlign w:val="baseline"/>
        </w:rPr>
        <w:t xml:space="preserve">. Conversely, 8 other metabolites, L-glutamic acid, fructose 1,6-BP, UDP-N-acetylglucosamine, Glucose 6-phosphate, L-aspartic acid,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6-Phospho-gluconic acid</w:t>
      </w:r>
      <w:r>
        <w:rPr>
          <w:rStyle w:val="DefaultParagraphFont"/>
          <w:rFonts w:ascii="Arno Pro" w:hAnsi="Arno Pro"/>
          <w:i w:val="false"/>
          <w:iCs w:val="false"/>
          <w:kern w:val="2"/>
          <w:position w:val="0"/>
          <w:sz w:val="18"/>
          <w:sz w:val="18"/>
          <w:vertAlign w:val="baseline"/>
        </w:rPr>
        <w:t xml:space="preserve">, dihydroxyacetone phosphate, and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pyruvic acid</w:t>
      </w:r>
      <w:r>
        <w:rPr>
          <w:rStyle w:val="DefaultParagraphFont"/>
          <w:rFonts w:ascii="Arno Pro" w:hAnsi="Arno Pro"/>
          <w:i w:val="false"/>
          <w:iCs w:val="false"/>
          <w:kern w:val="2"/>
          <w:position w:val="0"/>
          <w:sz w:val="18"/>
          <w:sz w:val="18"/>
          <w:vertAlign w:val="baseline"/>
        </w:rPr>
        <w:t xml:space="preserve"> were classified as weak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binders, with a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value greater than 2 mM (Table 1). Three metabolites, glutathione, L-valine, and L-glutamine had negligible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binding properties, as measured with HQS (SI figure 2). We thus broke Eco80 down into two other artificial cytoplasm, NTP chelated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(NTPCM), and weak metabolite chelated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(WMCM), composed of the strong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chelators (NTPs), and weak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chelators, respectively (Table 1).</w:t>
      </w:r>
    </w:p>
    <w:p>
      <w:pPr>
        <w:pStyle w:val="Normal"/>
        <w:spacing w:lineRule="exact" w:line="288" w:before="0" w:after="86"/>
        <w:jc w:val="both"/>
        <w:rPr/>
      </w:pPr>
      <w:r>
        <w:rPr>
          <w:rFonts w:ascii="Arno Pro" w:hAnsi="Arno Pro"/>
          <w:i w:val="false"/>
          <w:iCs w:val="false"/>
          <w:kern w:val="2"/>
          <w:sz w:val="18"/>
        </w:rPr>
        <w:t xml:space="preserve">We next used two methods to estimate how Eco80 metabolites effect the </w:t>
      </w:r>
      <w:r>
        <w:rPr>
          <w:rStyle w:val="DefaultParagraphFont"/>
          <w:rFonts w:ascii="Arno Pro" w:hAnsi="Arno Pro"/>
          <w:i w:val="false"/>
          <w:iCs w:val="false"/>
          <w:kern w:val="2"/>
          <w:sz w:val="18"/>
        </w:rPr>
        <w:t>speciation of free and chelated Mg</w:t>
      </w:r>
      <w:r>
        <w:rPr>
          <w:rStyle w:val="DefaultParagraphFont"/>
          <w:rFonts w:ascii="Arno Pro" w:hAnsi="Arno Pro"/>
          <w:i w:val="false"/>
          <w:iCs w:val="false"/>
          <w:kern w:val="2"/>
          <w:sz w:val="18"/>
          <w:vertAlign w:val="superscript"/>
        </w:rPr>
        <w:t>2+</w:t>
      </w:r>
      <w:r>
        <w:rPr>
          <w:rStyle w:val="DefaultParagraphFont"/>
          <w:rFonts w:ascii="Arno Pro" w:hAnsi="Arno Pro"/>
          <w:i w:val="false"/>
          <w:iCs w:val="false"/>
          <w:kern w:val="2"/>
          <w:sz w:val="18"/>
        </w:rPr>
        <w:t xml:space="preserve"> </w:t>
      </w:r>
      <w:r>
        <w:rPr>
          <w:rStyle w:val="DefaultParagraphFont"/>
          <w:rFonts w:eastAsia="Noto Serif CJK SC" w:cs="Lohit Devanagari" w:ascii="Arno Pro" w:hAnsi="Arno Pro"/>
          <w:i w:val="false"/>
          <w:iCs w:val="false"/>
          <w:color w:val="auto"/>
          <w:kern w:val="2"/>
          <w:sz w:val="18"/>
          <w:szCs w:val="24"/>
          <w:lang w:val="en-US" w:eastAsia="zh-CN" w:bidi="hi-IN"/>
        </w:rPr>
        <w:t xml:space="preserve">as a </w:t>
      </w:r>
      <w:r>
        <w:rPr>
          <w:rStyle w:val="DefaultParagraphFont"/>
          <w:rFonts w:ascii="Arno Pro" w:hAnsi="Arno Pro"/>
          <w:i w:val="false"/>
          <w:iCs w:val="false"/>
          <w:kern w:val="2"/>
          <w:sz w:val="18"/>
        </w:rPr>
        <w:t xml:space="preserve">mixture. The first method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was experimental, using HQS emission to estimate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the presence of metabolites (Figure 1B-C, SI Table 3)</w:t>
      </w:r>
      <w:r>
        <w:rPr>
          <w:rStyle w:val="DefaultParagraphFont"/>
          <w:rFonts w:ascii="Arno Pro" w:hAnsi="Arno Pro"/>
          <w:i w:val="false"/>
          <w:iCs w:val="false"/>
          <w:kern w:val="2"/>
          <w:position w:val="0"/>
          <w:sz w:val="18"/>
          <w:sz w:val="18"/>
          <w:vertAlign w:val="baseline"/>
        </w:rPr>
        <w:t xml:space="preserve">.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 second method was a statistical model that accounts for experimental uncertainty in metabolite concentrations and uncertainty in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determination, based on single-site binding (meaning that one metabolite associates one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The statistical model is described in detail in the Supplementary Methods. Briefly, concentration errors were propagated from uncertainties in reagent masses and volumes used during sample preparation, and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uncertainties were obtained from the fits (Table 1). Both uncertainties were then randomly seeded into Equation 1 to create 1000 virtual artificial cytoplasms, where [Mg]</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 xml:space="preserve">T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is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[Mg] is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 is an integer representing each metabolite in a mixture, N is the total number of metabolites in a mixture, [L</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i</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T</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the concentration of the “</w:t>
      </w:r>
      <w:r>
        <w:rPr>
          <w:rStyle w:val="DefaultParagraphFont"/>
          <w:rFonts w:eastAsia="Noto Serif CJK SC" w:cs="Lohit Devanagari" w:ascii="Arno Pro" w:hAnsi="Arno Pro"/>
          <w:i/>
          <w:iCs/>
          <w:color w:val="auto"/>
          <w:kern w:val="2"/>
          <w:position w:val="0"/>
          <w:sz w:val="18"/>
          <w:sz w:val="18"/>
          <w:szCs w:val="24"/>
          <w:vertAlign w:val="baseline"/>
          <w:lang w:val="en-US" w:eastAsia="zh-CN" w:bidi="hi-IN"/>
        </w:rPr>
        <w:t>i’th</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metabolite in a mixture, and K</w:t>
      </w:r>
      <w:r>
        <w:rPr>
          <w:rStyle w:val="DefaultParagraphFont"/>
          <w:rFonts w:eastAsia="Noto Serif CJK SC" w:cs="Lohit Devanagari" w:ascii="Arno Pro" w:hAnsi="Arno Pro"/>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the disassociation constant.</w:t>
      </w:r>
    </w:p>
    <w:p>
      <w:pPr>
        <w:pStyle w:val="Normal"/>
        <w:spacing w:lineRule="auto" w:line="480" w:before="0" w:after="86"/>
        <w:jc w:val="right"/>
        <w:rPr/>
      </w:pPr>
      <w:r>
        <w:rPr/>
      </w:r>
      <m:oMath xmlns:m="http://schemas.openxmlformats.org/officeDocument/2006/math">
        <m:sSub>
          <m:e>
            <m:d>
              <m:dPr>
                <m:begChr m:val="["/>
                <m:endChr m:val="]"/>
              </m:dPr>
              <m:e>
                <m:r>
                  <w:rPr>
                    <w:rFonts w:ascii="Cambria Math" w:hAnsi="Cambria Math"/>
                  </w:rPr>
                  <m:t xml:space="preserve">Mg</m:t>
                </m:r>
              </m:e>
            </m:d>
          </m:e>
          <m:sub>
            <m:r>
              <w:rPr>
                <w:rFonts w:ascii="Cambria Math" w:hAnsi="Cambria Math"/>
              </w:rPr>
              <m:t xml:space="preserve">T</m:t>
            </m:r>
          </m:sub>
        </m:sSub>
        <m:r>
          <w:rPr>
            <w:rFonts w:ascii="Cambria Math" w:hAnsi="Cambria Math"/>
          </w:rPr>
          <m:t xml:space="preserve">=</m:t>
        </m:r>
        <m:d>
          <m:dPr>
            <m:begChr m:val="["/>
            <m:endChr m:val="]"/>
          </m:dPr>
          <m:e>
            <m:r>
              <w:rPr>
                <w:rFonts w:ascii="Cambria Math" w:hAnsi="Cambria Math"/>
              </w:rPr>
              <m:t xml:space="preserve">Mg</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b>
                  <m:e>
                    <m:d>
                      <m:dPr>
                        <m:begChr m:val="["/>
                        <m:endChr m:val="]"/>
                      </m:dPr>
                      <m:e>
                        <m:sSub>
                          <m:e>
                            <m:r>
                              <w:rPr>
                                <w:rFonts w:ascii="Cambria Math" w:hAnsi="Cambria Math"/>
                              </w:rPr>
                              <m:t xml:space="preserve">L</m:t>
                            </m:r>
                          </m:e>
                          <m:sub>
                            <m:r>
                              <w:rPr>
                                <w:rFonts w:ascii="Cambria Math" w:hAnsi="Cambria Math"/>
                              </w:rPr>
                              <m:t xml:space="preserve">i</m:t>
                            </m:r>
                          </m:sub>
                        </m:sSub>
                      </m:e>
                    </m:d>
                  </m:e>
                  <m:sub>
                    <m:r>
                      <w:rPr>
                        <w:rFonts w:ascii="Cambria Math" w:hAnsi="Cambria Math"/>
                      </w:rPr>
                      <m:t xml:space="preserve">T</m:t>
                    </m:r>
                  </m:sub>
                </m:sSub>
                <m:d>
                  <m:dPr>
                    <m:begChr m:val="["/>
                    <m:endChr m:val="]"/>
                  </m:dPr>
                  <m:e>
                    <m:r>
                      <w:rPr>
                        <w:rFonts w:ascii="Cambria Math" w:hAnsi="Cambria Math"/>
                      </w:rPr>
                      <m:t xml:space="preserve">Mg</m:t>
                    </m:r>
                  </m:e>
                </m:d>
              </m:num>
              <m:den>
                <m:sSub>
                  <m:e>
                    <m:sSubSup>
                      <m:e>
                        <m:r>
                          <w:rPr>
                            <w:rFonts w:ascii="Cambria Math" w:hAnsi="Cambria Math"/>
                          </w:rPr>
                          <m:t xml:space="preserve">K</m:t>
                        </m:r>
                      </m:e>
                      <m:sub>
                        <m:r>
                          <w:rPr>
                            <w:rFonts w:ascii="Cambria Math" w:hAnsi="Cambria Math"/>
                          </w:rPr>
                          <m:t xml:space="preserve">D</m:t>
                        </m:r>
                      </m:sub>
                      <m:sup>
                        <m:r>
                          <w:rPr>
                            <w:rFonts w:ascii="Cambria Math" w:hAnsi="Cambria Math"/>
                          </w:rPr>
                          <m:t xml:space="preserve">'</m:t>
                        </m:r>
                      </m:sup>
                    </m:sSubSup>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Mg</m:t>
                    </m:r>
                  </m:e>
                </m:d>
              </m:den>
            </m:f>
            <m:d>
              <m:dPr>
                <m:begChr m:val="("/>
                <m:endChr m:val=")"/>
              </m:dPr>
              <m:e>
                <m:r>
                  <w:rPr>
                    <w:rFonts w:ascii="Cambria Math" w:hAnsi="Cambria Math"/>
                  </w:rPr>
                  <m:t xml:space="preserve">10</m:t>
                </m:r>
              </m:e>
            </m:d>
          </m:e>
        </m:nary>
      </m:oMath>
    </w:p>
    <w:p>
      <w:pPr>
        <w:pStyle w:val="Normal"/>
        <w:spacing w:lineRule="exact" w:line="288" w:before="0" w:after="86"/>
        <w:jc w:val="both"/>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Then, equation 1 is solved numerically to determine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produced at a given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in a virtual artificial cytoplasm.</w:t>
      </w:r>
    </w:p>
    <w:p>
      <w:pPr>
        <w:pStyle w:val="Normal"/>
        <w:spacing w:lineRule="exact" w:line="288" w:before="0" w:after="86"/>
        <w:jc w:val="both"/>
        <w:rPr>
          <w:rStyle w:val="DefaultParagraphFont"/>
          <w:rFonts w:ascii="Arno Pro" w:hAnsi="Arno Pro" w:eastAsia="Noto Serif CJK SC" w:cs="Lohit Devanagari"/>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The two methods indicate that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speciates in artificial cytoplasms according to a single-site model within or below the biological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range of 0.5 to 3 mM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but not at higher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(Figure 1 E-F). For example, in Eco80, the statistical model suggests that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should increase slowly as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is increased, until the strong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chelators (NTPs) become saturated at about 27 mM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(Figure 1E, hex bins). At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concentrations higher than 27 mM,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should increase faster because the NTPs are saturated by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and the weak chelators sequester less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calculated using HQS emission shows a similar trend to the statistical model below 3 mM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free (Figure 1E, data points). However ,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calculated from HQS emission does not increase with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 xml:space="preserve">2+ </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as fast as the single-site model would predict above 3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indicating that multivalent interactions, where one metabolite interacts with several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molecules, dominate the equilibrium. Non-single-site behavior above 3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also observed in the NTPCM and WMCM artificial cytoplasms (Figure 1 F &amp; G).</w:t>
      </w:r>
    </w:p>
    <w:p>
      <w:pPr>
        <w:pStyle w:val="Normal"/>
        <w:spacing w:lineRule="exact" w:line="288" w:before="0" w:after="86"/>
        <w:jc w:val="both"/>
        <w:rPr>
          <w:rStyle w:val="DefaultParagraphFont"/>
          <w:rFonts w:ascii="Arno Pro" w:hAnsi="Arno Pro" w:eastAsia="Noto Serif CJK SC" w:cs="Lohit Devanagari"/>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Lastly, we sought to empirically determine how much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is required to maintain a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of 2 mM in Eco80, NTPCM, and WMCM. The relationship between the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calculated from HQS emission and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was fit to a polynomial to empirically approximate the data (Figure 1 E-G, colored lines), and the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required to produce 2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was calculated from the polynomial fit. This resulted in a predicted 31.6, 25.0, and 6.5 mM total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concentration to produce 2 mM free Mg</w:t>
      </w:r>
      <w:r>
        <w:rPr>
          <w:rStyle w:val="DefaultParagraphFont"/>
          <w:rFonts w:eastAsia="Noto Serif CJK SC" w:cs="Lohit Devanagari" w:ascii="Arno Pro" w:hAnsi="Arno Pro"/>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i w:val="false"/>
          <w:iCs w:val="false"/>
          <w:color w:val="auto"/>
          <w:kern w:val="2"/>
          <w:position w:val="0"/>
          <w:sz w:val="18"/>
          <w:sz w:val="18"/>
          <w:szCs w:val="24"/>
          <w:vertAlign w:val="baseline"/>
          <w:lang w:val="en-US" w:eastAsia="zh-CN" w:bidi="hi-IN"/>
        </w:rPr>
        <w:t xml:space="preserve"> in Eco80, NTPCM, and WMCM, respectively (Table 2). </w:t>
      </w:r>
    </w:p>
    <w:p>
      <w:pPr>
        <w:pStyle w:val="Normal"/>
        <w:spacing w:lineRule="exact" w:line="288" w:before="0" w:after="86"/>
        <w:jc w:val="both"/>
        <w:rPr>
          <w:rFonts w:ascii="Arno Pro" w:hAnsi="Arno Pro" w:eastAsia="Noto Serif CJK SC" w:cs="Lohit Devanagari"/>
          <w:b/>
          <w:b/>
          <w:bCs/>
          <w:i w:val="false"/>
          <w:i w:val="false"/>
          <w:iCs w:val="false"/>
          <w:color w:val="auto"/>
          <w:kern w:val="2"/>
          <w:position w:val="0"/>
          <w:sz w:val="24"/>
          <w:sz w:val="18"/>
          <w:szCs w:val="24"/>
          <w:vertAlign w:val="baseline"/>
          <w:lang w:val="en-US" w:eastAsia="zh-CN" w:bidi="hi-IN"/>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Thermodynamic analysis of RNA helices in Eco80</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sought to understand how Eco80 effects the stability of RNA helices composed of Watson-Crick base pairs. RNA helix stability is traditionally measured with UV-absorbance melting curves, usually at 260 or 280 nm, which allows for accurate calculation of helix folding energies. However, absorbance melting curves were not appropriate for measuring helix stability in Eco80 because of the high absorbtivity of ATP, UTP, GTP, dTTP, and UDP-N-acetylglucosamine. Thus, we used a fluorescence binding isotherm assay, which is optically orthogonal to Eco80.</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Helix stability was measured using the emission of a 5’-fluorophore labeled RNA strand (FAM-RNA) in equilibrium with a complementary 3’-quencher labeled RNA strand (RNA-BHQ1), (Figure 2A). High emission indicates that the FAM-RNA is single-stranded and low emission indicates that the FAM-RNA is bound in duplex with a RNA-BHQ1 strand (Figure 2A). We used a binding isotherm method, where RNA-BHQ1 is titrated into a constant concentration of FAM-RNA at a single temperature (SI figure 3), resulting in an apparent binding isotherm (Figure 2B). Fluorescence binding isotherms were favored over fluorescence melts because of the unpredictable dependence of FAM emission on temperature. FAM emission was monitored in a Real-Time PCR instrument at different temperatures, resulting in a isotherm every 0.5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from 20 to 80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 (Figure 2B). Fluorescence isotherms were fit at each temperature to SI equation </w:t>
      </w:r>
      <w:r>
        <w:rPr>
          <w:rStyle w:val="DefaultParagraphFont"/>
          <w:rFonts w:eastAsia="Noto Serif CJK SC" w:cs="Lohit Devanagari" w:ascii="Arno Pro" w:hAnsi="Arno Pro"/>
          <w:b w:val="false"/>
          <w:bCs w:val="false"/>
          <w:i w:val="false"/>
          <w:iCs w:val="false"/>
          <w:color w:val="00FFFF"/>
          <w:kern w:val="2"/>
          <w:position w:val="0"/>
          <w:sz w:val="18"/>
          <w:sz w:val="18"/>
          <w:szCs w:val="24"/>
          <w:vertAlign w:val="baseline"/>
          <w:lang w:val="en-US" w:eastAsia="zh-CN" w:bidi="hi-IN"/>
        </w:rPr>
        <w:t>X</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thus determining the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between the FAM-RNA strand and the RNA-BHQ1 strand.</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Raw fluorecence was fit with a new program called MeltR, created by the authors, to determine folding energies. MeltR is a package of functions in the popular R programming language, that allows facile conversion of raw data to folding energies. Importantly, MeltR handles two sources of experimental error, uncertainty in RNA concentration and inaccurate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collected at low and high temperatures. MeltR then calculates folding energies using two Van’t Hoff methods, directly fitting a Van’t hoff plot (Figure 3C) and globally fitting raw fluorescence emission to SI equation X.</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found that helix energies from fitting fluorescence binding isotherms are highly dependent on the errors in the determination of RNA concentrations in stock solutions, which is propagated systematically during sample preparation (SI Figure 3). To understand why, we modeled data assuming a folding enthalpy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H), entropy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Gibb’s free energy at 37 </w:t>
      </w:r>
      <w:r>
        <w:rPr>
          <w:rStyle w:val="DefaultParagraphFont"/>
          <w:rFonts w:eastAsia="Noto Serif CJK SC" w:cs="Lohit Devanagari" w:ascii="Ani" w:hAnsi="Ani"/>
          <w:b w:val="false"/>
          <w:bCs w:val="false"/>
          <w:i w:val="false"/>
          <w:iCs w:val="false"/>
          <w:color w:val="auto"/>
          <w:kern w:val="2"/>
          <w:position w:val="0"/>
          <w:sz w:val="18"/>
          <w:sz w:val="18"/>
          <w:szCs w:val="24"/>
          <w:vertAlign w:val="baseline"/>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C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of -56.2 kcal/mol, -136. 4 cal/mol/K, and -13.9 kcal/mol respectively, 5% random fluorescence error, and perfectly accurate determination of RNA concentrations in concentrated stocks (a 200 nM FAM-RNA concentration, and 0, 1, 10, 50, 100, 150, 200, 250, 400, 600, 800, and 1000 nM RNA-BHQ1 concentrations). We then used MeltR to fit the modeled data, resulting in accurate determination of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 -56.0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 -135.7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 -13.9 kcal/mol. We next considered how assuming incorrect RNA stock concentrations, thus incorporating a systematic error, could effect the accuracy of the fits. Systematic error (-50% to +50%) was seeded into virtual stock concentrations and the data were refit (SI figure 4A). We found that fit accuracy what highly dependent on error in stock concentrations, unless the FAM-RNA error and the RNA-BHQ1 error compensated for each other, e.g. %RNA-BHQ1 error  = %FAM-RNA error.</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We next considered a more realistic scenario, where the experiment assumes perfectly accurate determination of RNA concentrations but there is actually +20% FAM-RNA concentration error. Data was modeled using the same folding energies and RNA-BHQ1 concentrations, but with a 240 nM FAM-RNA concentration (+20% error). We then used MeltR to fit the modeled data, assuming a 200 nM FAM-RNA concentration, resulting in inaccurate determination of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 -35.8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 -75.5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 -12.3 kcal/mol. Once again, we seeded systematic error (-50% to +50%) into virtual stock concentrations and the data were refit (SI figure 4B). Similar to SI figure 4A, we found that fit accuracy what highly dependent on errors in stock concentrations. However, the fits were most accurate according to Equation 1 instead of where %RNA-BHQ1 error  = %FAM-RNA error:</w:t>
      </w:r>
    </w:p>
    <w:p>
      <w:pPr>
        <w:pStyle w:val="Normal"/>
        <w:spacing w:lineRule="exact" w:line="720" w:before="0" w:after="86"/>
        <w:jc w:val="right"/>
        <w:rPr/>
      </w:pPr>
      <w:r>
        <w:rPr/>
      </w:r>
      <m:oMath xmlns:m="http://schemas.openxmlformats.org/officeDocument/2006/math">
        <m:sSub>
          <m:e>
            <m:r>
              <w:rPr>
                <w:rFonts w:ascii="Cambria Math" w:hAnsi="Cambria Math"/>
              </w:rPr>
              <m:t xml:space="preserve">%BHQ1</m:t>
            </m:r>
          </m:e>
          <m:sub>
            <m:r>
              <w:rPr>
                <w:rFonts w:ascii="Cambria Math" w:hAnsi="Cambria Math"/>
              </w:rPr>
              <m:t xml:space="preserve">error</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X</m:t>
            </m:r>
          </m:den>
        </m:f>
        <m:sSub>
          <m:e>
            <m:r>
              <w:rPr>
                <w:rFonts w:ascii="Cambria Math" w:hAnsi="Cambria Math"/>
              </w:rPr>
              <m:t xml:space="preserve">%FAM</m:t>
            </m:r>
          </m:e>
          <m:sub>
            <m:r>
              <w:rPr>
                <w:rFonts w:ascii="Cambria Math" w:hAnsi="Cambria Math"/>
              </w:rPr>
              <m:t xml:space="preserve">error</m:t>
            </m:r>
          </m:sub>
        </m:sSub>
        <m:r>
          <w:rPr>
            <w:rFonts w:ascii="Cambria Math" w:hAnsi="Cambria Math"/>
          </w:rPr>
          <m:t xml:space="preserve">+</m:t>
        </m:r>
        <m:f>
          <m:num>
            <m:r>
              <w:rPr>
                <w:rFonts w:ascii="Cambria Math" w:hAnsi="Cambria Math"/>
              </w:rPr>
              <m:t xml:space="preserve">100</m:t>
            </m:r>
            <m:r>
              <w:rPr>
                <w:rFonts w:ascii="Cambria Math" w:hAnsi="Cambria Math"/>
              </w:rPr>
              <m:t xml:space="preserve">−</m:t>
            </m:r>
            <m:r>
              <w:rPr>
                <w:rFonts w:ascii="Cambria Math" w:hAnsi="Cambria Math"/>
              </w:rPr>
              <m:t xml:space="preserve">100</m:t>
            </m:r>
            <m:r>
              <w:rPr>
                <w:rFonts w:ascii="Cambria Math" w:hAnsi="Cambria Math"/>
              </w:rPr>
              <m:t xml:space="preserve">X</m:t>
            </m:r>
          </m:num>
          <m:den>
            <m:r>
              <w:rPr>
                <w:rFonts w:ascii="Cambria Math" w:hAnsi="Cambria Math"/>
              </w:rPr>
              <m:t xml:space="preserve">X</m:t>
            </m:r>
          </m:den>
        </m:f>
      </m:oMath>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Where X is the actual FAM-RNA concentration divided by the estimated FAM-RNA concentration (240 nM/200 nmol = 1.2 in this example). Thus, MeltR does not need perfectly accurate concentrations, just an optimization algorithm that finds the FAM-RNA concentration correction factor X. To find X, MeltR selects an isotherm (usually the lowest temperature), where the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is more than 10 times less than the FAM-RNA labeled concentration (SI figure 4C). At this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range, the shape of the binding curve is independent of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and MeltR uses the isotherm as a Job plot to determine X. MeltR then uses X to correct the FAM-RNA concentration. We next tested the MeltR optimization algorithm. The modeled data, with +20% FAM-RNA concentration error, was fit using MeltR with the concentration optimization algorithm on, resulting in an accurate determination of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 -51.9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 -123.5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G = -13.6 kcal/mol. We then seeded additional error into the data set (-50% to +50%), refit the data using the MeltR concentration optimization algorithm, and found that MeltR calculates accurate folding energies (within 0.2 kcal/mol in terms of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even with large inaccuracies in reagent concentration estimates (SI Figure 4D).</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MeltR then filters out isotherms that produce inaccurate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according to user specifications. Fits are first filtered by magnitude because fits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are most accurate in the range of more than the FAM-RNA concentration/10  and less than the FAM-RNA concentration times 10 (SI figure 5).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below the FAM-RNA concentration/10 are inaccurate because the shape of the isotherm curve is independent of the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as the FAM-RNA stand is stoichiometrically bound by RNA-BHQ1. Likewise,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above 10 times the FAM-RNA concentration are also inaccurate because not enough FAM-RNA is binding to RNA-BHQ1 to generate a curve. After filtering by magnitude, MeltR filters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by the standard error in the fit, so that the most accurate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are used to determine folding energies. Both the MeltR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range, and K</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D</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error threshold can be adjusted by the user to refine fits. For example, with the MeltR fit of the modeled data with +20% FAM-RNA concentration error and the concentration optimization algorithm on, can be improved to more accurate helix energies,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 -56.4 kcal/mol,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 -136.9 cal/mol/K,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 = -13.9 kcal/mol</w:t>
      </w:r>
    </w:p>
    <w:p>
      <w:pPr>
        <w:pStyle w:val="Normal"/>
        <w:spacing w:lineRule="exact" w:line="288" w:before="0" w:after="86"/>
        <w:jc w:val="both"/>
        <w:rPr>
          <w:rFonts w:ascii="Arno Pro" w:hAnsi="Arno Pro" w:eastAsia="Noto Serif CJK SC" w:cs="Lohit Devanagari"/>
          <w:b w:val="false"/>
          <w:b w:val="false"/>
          <w:bCs w:val="false"/>
          <w:i w:val="false"/>
          <w:i w:val="false"/>
          <w:iCs w:val="false"/>
          <w:color w:val="00FFFF"/>
          <w:kern w:val="2"/>
          <w:position w:val="0"/>
          <w:sz w:val="24"/>
          <w:sz w:val="18"/>
          <w:szCs w:val="24"/>
          <w:vertAlign w:val="baseline"/>
          <w:lang w:val="en-US" w:eastAsia="zh-CN" w:bidi="hi-IN"/>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Eco80 destabilizes RNA helices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We used fluorescence binding isotherms to determine helix folding energies in background monovalent metal ion control (</w:t>
      </w:r>
      <w:r>
        <w:rPr>
          <w:rStyle w:val="DefaultParagraphFont"/>
          <w:rFonts w:eastAsia="Times New Roman" w:cs="Times New Roman" w:ascii="arial" w:hAnsi="arial"/>
          <w:b w:val="false"/>
          <w:bCs w:val="false"/>
          <w:i w:val="false"/>
          <w:iCs w:val="false"/>
          <w:color w:val="auto"/>
          <w:kern w:val="2"/>
          <w:position w:val="0"/>
          <w:sz w:val="20"/>
          <w:sz w:val="20"/>
          <w:szCs w:val="20"/>
          <w:vertAlign w:val="baseline"/>
          <w:lang w:val="en-US" w:eastAsia="zh-CN" w:bidi="hi-IN"/>
        </w:rPr>
        <w:t>240 mM NaCl 140 mM KCl), Eco80, NTPCM, and WMCM,</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for a data set of five representative RNA helices. All solutions contain 2 mM </w:t>
      </w:r>
      <w:r>
        <w:rPr>
          <w:rStyle w:val="DefaultParagraphFont"/>
          <w:rFonts w:eastAsia="Times New Roman" w:cs="Times New Roman" w:ascii="arial" w:hAnsi="arial"/>
          <w:b w:val="false"/>
          <w:bCs w:val="false"/>
          <w:i w:val="false"/>
          <w:iCs w:val="false"/>
          <w:color w:val="auto"/>
          <w:kern w:val="2"/>
          <w:position w:val="0"/>
          <w:sz w:val="20"/>
          <w:sz w:val="20"/>
          <w:szCs w:val="20"/>
          <w:vertAlign w:val="baseline"/>
          <w:lang w:val="en-US" w:eastAsia="zh-CN" w:bidi="hi-IN"/>
        </w:rPr>
        <w:t>Mg</w:t>
      </w:r>
      <w:r>
        <w:rPr>
          <w:rStyle w:val="DefaultParagraphFont"/>
          <w:rFonts w:eastAsia="Times New Roman" w:cs="Times New Roman" w:ascii="arial" w:hAnsi="arial"/>
          <w:b w:val="false"/>
          <w:bCs w:val="false"/>
          <w:i w:val="false"/>
          <w:iCs w:val="false"/>
          <w:color w:val="auto"/>
          <w:kern w:val="2"/>
          <w:sz w:val="20"/>
          <w:szCs w:val="20"/>
          <w:vertAlign w:val="superscript"/>
          <w:lang w:val="en-US" w:eastAsia="zh-CN" w:bidi="hi-IN"/>
        </w:rPr>
        <w:t>2+</w:t>
      </w:r>
      <w:r>
        <w:rPr>
          <w:rStyle w:val="DefaultParagraphFont"/>
          <w:rFonts w:eastAsia="Times New Roman" w:cs="Times New Roman" w:ascii="arial" w:hAnsi="arial"/>
          <w:b w:val="false"/>
          <w:bCs w:val="false"/>
          <w:i w:val="false"/>
          <w:iCs w:val="false"/>
          <w:color w:val="auto"/>
          <w:kern w:val="2"/>
          <w:sz w:val="20"/>
          <w:szCs w:val="20"/>
          <w:vertAlign w:val="subscript"/>
          <w:lang w:val="en-US" w:eastAsia="zh-CN" w:bidi="hi-IN"/>
        </w:rPr>
        <w:t>,</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as per Table 2.  We used both methods to determine folding energies in MeltR, where method 1 was fitting the Van’t Hoff relationship between the disassociation constant and temperature and method 2 was directly globally fitting the raw fluorescence binding isotherms (SI table 4). Standard errors estimated from the fit for method 1 were  1.7%, 2%, and 0.3 % on average for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Standard errors estimated from the fit for method 2 were larger, at 21.7%, 26.5%, and 3.4 % on average for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However, the difference in helix folding energies between the two methods between the two methods was much smaller, at 1.2%, 1.4%, and 0.2% on average for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Given that the two methods provide similar helix folding energies, but different standard errors, the discrepancy in standard error likely reflects differences in the number of parameters that must be estimated by the fit (two for method 1,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2+2*number of raw isotherms for method 1,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S, and a F</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max</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/F</w:t>
      </w:r>
      <w:r>
        <w:rPr>
          <w:rStyle w:val="DefaultParagraphFont"/>
          <w:rFonts w:eastAsia="Noto Serif CJK SC" w:cs="Lohit Devanagari" w:ascii="Arno Pro" w:hAnsi="Arno Pro"/>
          <w:b w:val="false"/>
          <w:bCs w:val="false"/>
          <w:i w:val="false"/>
          <w:iCs w:val="false"/>
          <w:color w:val="auto"/>
          <w:kern w:val="2"/>
          <w:sz w:val="18"/>
          <w:szCs w:val="24"/>
          <w:vertAlign w:val="subscript"/>
          <w:lang w:val="en-US" w:eastAsia="zh-CN" w:bidi="hi-IN"/>
        </w:rPr>
        <w:t>min</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for each raw isotherm), more than it reflects systematic and random errors in helix folding energy estimation. Turner and colleagues estimated an uncertainty of 12%, 13.5%, and 4% for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H,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S, and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respectively, conservatively reflect systematic and random errors in error determination for absorbance melting curves by comparing helix energies collected on the same sequences by different labs. Given that the discrepancy between method 1 and method 2 were smaller than the Turner uncertainty for all fluorescence binding isotherms in this study, and that we are determining differences between conditions on the same sequences collected in the same lab, the 4% value in terms of the is too conservative. We determined that there was on average 0.2 kcal/mol, or 1.5%, error for MeltR fitting modeled fluorescence data using the concentration optimization algorithm (SI Figure 4),  Thus, we reported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of helix formation from method 1 with an uncertainty of 1.5%  in Table 3 and the 1.5% uncertainty was propagated to the association constant in Figure 2D.</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All five representative helices were significantly destabilized in Eco80, meaning the the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between the background monovalent condition and Eco80 was larger than the propagated uncertainty in </w:t>
      </w:r>
      <w:r>
        <w:rPr>
          <w:rStyle w:val="DefaultParagraphFont"/>
          <w:rFonts w:eastAsia="Noto Serif CJK SC" w:cs="Lohit Devanagari" w:ascii="C059" w:hAnsi="C059"/>
          <w:b w:val="false"/>
          <w:bCs w:val="false"/>
          <w:i w:val="false"/>
          <w:iCs w:val="false"/>
          <w:color w:val="auto"/>
          <w:kern w:val="2"/>
          <w:position w:val="0"/>
          <w:sz w:val="18"/>
          <w:sz w:val="18"/>
          <w:szCs w:val="24"/>
          <w:vertAlign w:val="baseline"/>
          <w:lang w:val="en-US" w:eastAsia="zh-CN" w:bidi="hi-IN"/>
        </w:rPr>
        <w:t>ΔΔ</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37</w:t>
      </w:r>
      <w:r>
        <w:rPr>
          <w:rStyle w:val="DefaultParagraphFont"/>
          <w:rFonts w:eastAsia="Noto Serif CJK SC" w:cs="Lohit Devanagari" w:ascii="Ani" w:hAnsi="Ani"/>
          <w:b w:val="false"/>
          <w:bCs w:val="false"/>
          <w:i w:val="false"/>
          <w:iCs w:val="false"/>
          <w:color w:val="auto"/>
          <w:kern w:val="2"/>
          <w:sz w:val="18"/>
          <w:szCs w:val="24"/>
          <w:vertAlign w:val="superscript"/>
          <w:lang w:val="en-US" w:eastAsia="zh-CN" w:bidi="hi-IN"/>
        </w:rPr>
        <w:t>°</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C</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by 0.44 to 1.12 kcal/mol (Table 3, Figure 2D). To better understand how components of Eco80 destabilize RNA helices, we then analyzed the effects of strong Mg2+ chelating metabolites and weak Mg2+ chelating metabolites, separately.  NTPCM, which is composed of strong Mg2+ chelating metabolites, consistently destabilized RNA helices (Figure 2D). Helices 1, 2, 3, and 5 were significantly destabilized by 0.41 to 0.60 kcal/mol (Table 3). NTPCM did not significantly destabilize Helix 4, however, the  the 0.32 kcal/mol destabilization effect is consistent with the other 5 helices. In contrast to NTPCM,  WMCM,  which is composed of strong Mg2+ chelating metabolites, destabilized, had no effect, or stabilized RNA helices depending on the helix identity (Figure 2D). WMCM significantly destabilized helix 3 and 4 by 0.82 and 0.40 kcal/mol respetively. No significant change in stability was observed for helices 2 and 5 in WMCM.  Lastly, helix 1 was significantly stabilized in WMCM by about -0.4 kcal/mol. Thus, the net effect of Eco80 on RNA helices is destabilization, with destabilizing interactions dominating for strong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chelating metabolites, and a mixture of stabilizing and destabilizing interactions for weak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chelating metabolites.</w:t>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Eco80 protects RNA from degradation</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48D1CC"/>
          <w:kern w:val="2"/>
          <w:position w:val="0"/>
          <w:sz w:val="18"/>
          <w:sz w:val="18"/>
          <w:szCs w:val="24"/>
          <w:vertAlign w:val="baseline"/>
          <w:lang w:val="en-US" w:eastAsia="zh-CN" w:bidi="hi-IN"/>
        </w:rPr>
        <w:t>Paragraph 1: Transition</w:t>
      </w:r>
    </w:p>
    <w:p>
      <w:pPr>
        <w:pStyle w:val="Normal"/>
        <w:spacing w:lineRule="exact" w:line="288" w:before="0" w:after="86"/>
        <w:jc w:val="both"/>
        <w:rPr>
          <w:color w:val="000000"/>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A number of studies indicate that weak and strong Mg</w:t>
      </w:r>
      <w:r>
        <w:rPr>
          <w:rStyle w:val="DefaultParagraphFont"/>
          <w:rFonts w:eastAsia="Noto Serif CJK SC" w:cs="Lohit Devanagari" w:ascii="Arno Pro" w:hAnsi="Arno Pro"/>
          <w:b w:val="false"/>
          <w:bCs w:val="false"/>
          <w:i w:val="false"/>
          <w:iCs w:val="false"/>
          <w:color w:val="auto"/>
          <w:kern w:val="2"/>
          <w:sz w:val="18"/>
          <w:szCs w:val="24"/>
          <w:vertAlign w:val="superscript"/>
          <w:lang w:val="en-US" w:eastAsia="zh-CN" w:bidi="hi-IN"/>
        </w:rPr>
        <w:t>2+</w:t>
      </w: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chelating metabolites </w:t>
      </w:r>
    </w:p>
    <w:p>
      <w:pPr>
        <w:pStyle w:val="Normal"/>
        <w:spacing w:lineRule="exact" w:line="288" w:before="0" w:after="86"/>
        <w:jc w:val="both"/>
        <w:rPr>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Style w:val="DefaultParagraphFont"/>
          <w:rFonts w:eastAsia="Noto Serif CJK SC" w:cs="Lohit Devanagari" w:ascii="Arno Pro" w:hAnsi="Arno Pro"/>
          <w:b w:val="false"/>
          <w:bCs w:val="false"/>
          <w:i w:val="false"/>
          <w:iCs w:val="false"/>
          <w:color w:val="48D1CC"/>
          <w:kern w:val="2"/>
          <w:position w:val="0"/>
          <w:sz w:val="18"/>
          <w:sz w:val="18"/>
          <w:szCs w:val="24"/>
          <w:vertAlign w:val="baseline"/>
          <w:lang w:val="en-US" w:eastAsia="zh-CN" w:bidi="hi-IN"/>
        </w:rPr>
        <w:t>Paragraph 2: Guanine riboswitch structure</w:t>
      </w:r>
    </w:p>
    <w:p>
      <w:pPr>
        <w:pStyle w:val="Normal"/>
        <w:spacing w:lineRule="exact" w:line="288" w:before="0" w:after="86"/>
        <w:jc w:val="both"/>
        <w:rPr>
          <w:rStyle w:val="DefaultParagraphFont"/>
          <w:color w:val="48D1CC"/>
        </w:rPr>
      </w:pPr>
      <w:r>
        <w:rPr>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w:p>
    <w:p>
      <w:pPr>
        <w:pStyle w:val="Normal"/>
        <w:spacing w:lineRule="exact" w:line="288" w:before="0" w:after="86"/>
        <w:jc w:val="both"/>
        <w:rPr>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Style w:val="DefaultParagraphFont"/>
          <w:rFonts w:eastAsia="Noto Serif CJK SC" w:cs="Lohit Devanagari" w:ascii="Arno Pro" w:hAnsi="Arno Pro"/>
          <w:b w:val="false"/>
          <w:bCs w:val="false"/>
          <w:i w:val="false"/>
          <w:iCs w:val="false"/>
          <w:color w:val="48D1CC"/>
          <w:kern w:val="2"/>
          <w:position w:val="0"/>
          <w:sz w:val="18"/>
          <w:sz w:val="18"/>
          <w:szCs w:val="24"/>
          <w:vertAlign w:val="baseline"/>
          <w:lang w:val="en-US" w:eastAsia="zh-CN" w:bidi="hi-IN"/>
        </w:rPr>
        <w:t xml:space="preserve">Paragraph 3: </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E. coli metabolites promote RNA compactness and RNA catalysis</w:t>
      </w:r>
    </w:p>
    <w:p>
      <w:pPr>
        <w:pStyle w:val="Normal"/>
        <w:spacing w:lineRule="exact" w:line="288" w:before="0" w:after="86"/>
        <w:jc w:val="both"/>
        <w:rPr/>
      </w:pPr>
      <w:r>
        <w:rPr>
          <w:rStyle w:val="DefaultParagraphFont"/>
          <w:rFonts w:eastAsia="Noto Serif CJK SC" w:cs="Lohit Devanagari" w:ascii="Arno Pro" w:hAnsi="Arno Pro"/>
          <w:b/>
          <w:bCs/>
          <w:i w:val="false"/>
          <w:iCs w:val="false"/>
          <w:color w:val="auto"/>
          <w:kern w:val="2"/>
          <w:position w:val="0"/>
          <w:sz w:val="18"/>
          <w:sz w:val="18"/>
          <w:szCs w:val="24"/>
          <w:vertAlign w:val="baseline"/>
          <w:lang w:val="en-US" w:eastAsia="zh-CN" w:bidi="hi-IN"/>
        </w:rPr>
        <w:t>Discussion</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Making Eco80 artificial cytoplasm</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-Complex but manageable  </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Effects on helices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-Mg stabilizes (from lit)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-Polor osmolytes destabilize (from lit)</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-Here we analyze their effects together and see opposing effects</w:t>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Propose model that summaries effects</w:t>
      </w:r>
    </w:p>
    <w:p>
      <w:pPr>
        <w:pStyle w:val="Normal"/>
        <w:spacing w:lineRule="exact" w:line="288" w:before="0" w:after="86"/>
        <w:jc w:val="both"/>
        <w:rPr>
          <w:rStyle w:val="DefaultParagraphFont"/>
          <w:rFonts w:ascii="Arno Pro" w:hAnsi="Arno Pro" w:eastAsia="Noto Serif CJK SC" w:cs="Lohit Devanagari"/>
          <w:b w:val="false"/>
          <w:b w:val="false"/>
          <w:bCs w:val="false"/>
          <w:i w:val="false"/>
          <w:i w:val="false"/>
          <w:iCs w:val="false"/>
          <w:color w:val="auto"/>
          <w:kern w:val="2"/>
          <w:position w:val="0"/>
          <w:sz w:val="18"/>
          <w:sz w:val="18"/>
          <w:szCs w:val="24"/>
          <w:vertAlign w:val="baseline"/>
          <w:lang w:val="en-US" w:eastAsia="zh-CN" w:bidi="hi-IN"/>
        </w:rPr>
      </w:pPr>
      <w:r>
        <w:rPr>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r>
    </w:p>
    <w:p>
      <w:pPr>
        <w:pStyle w:val="Normal"/>
        <w:spacing w:lineRule="exact" w:line="288" w:before="0" w:after="86"/>
        <w:jc w:val="both"/>
        <w:rPr/>
      </w:pPr>
      <w:r>
        <w:rPr>
          <w:rStyle w:val="DefaultParagraphFont"/>
          <w:rFonts w:eastAsia="Noto Serif CJK SC" w:cs="Lohit Devanagari" w:ascii="Arno Pro" w:hAnsi="Arno Pro"/>
          <w:b w:val="false"/>
          <w:bCs w:val="false"/>
          <w:i w:val="false"/>
          <w:iCs w:val="false"/>
          <w:color w:val="auto"/>
          <w:kern w:val="2"/>
          <w:position w:val="0"/>
          <w:sz w:val="18"/>
          <w:sz w:val="18"/>
          <w:szCs w:val="24"/>
          <w:vertAlign w:val="baseline"/>
          <w:lang w:val="en-US" w:eastAsia="zh-CN" w:bidi="hi-IN"/>
        </w:rPr>
        <w:t xml:space="preserve"> </w:t>
      </w:r>
      <w:r>
        <w:br w:type="page"/>
      </w:r>
    </w:p>
    <w:p>
      <w:pPr>
        <w:pStyle w:val="VAFigureCaption"/>
        <w:bidi w:val="0"/>
        <w:spacing w:before="0" w:after="72"/>
        <w:jc w:val="left"/>
        <w:rPr>
          <w:rStyle w:val="DefaultParagraphFont"/>
          <w:rFonts w:eastAsia="Times New Roman" w:cs="Times New Roman"/>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no Pro">
    <w:charset w:val="01"/>
    <w:family w:val="roman"/>
    <w:pitch w:val="variable"/>
  </w:font>
  <w:font w:name="Liberation Sans">
    <w:altName w:val="Arial"/>
    <w:charset w:val="01"/>
    <w:family w:val="roman"/>
    <w:pitch w:val="variable"/>
  </w:font>
  <w:font w:name="Ani">
    <w:charset w:val="01"/>
    <w:family w:val="roman"/>
    <w:pitch w:val="variable"/>
  </w:font>
  <w:font w:name="C059">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BDAbstractTitleChar">
    <w:name w:val="BD_Abstract_Title Char"/>
    <w:qFormat/>
    <w:rPr>
      <w:rFonts w:ascii="Arno Pro" w:hAnsi="Arno Pro" w:eastAsia="Arno Pro" w:cs="Arno Pro"/>
      <w:b/>
      <w:kern w:val="2"/>
      <w:sz w:val="19"/>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VAFigureCaption">
    <w:name w:val="VA_Figure_Caption"/>
    <w:basedOn w:val="Normal"/>
    <w:next w:val="Normal"/>
    <w:qFormat/>
    <w:pPr>
      <w:suppressAutoHyphens w:val="false"/>
      <w:spacing w:before="0" w:after="72"/>
    </w:pPr>
    <w:rPr>
      <w:rFonts w:ascii="Arno Pro" w:hAnsi="Arno Pro" w:eastAsia="Arno Pro" w:cs="Arno Pro"/>
      <w:kern w:val="2"/>
      <w:sz w:val="18"/>
    </w:rPr>
  </w:style>
  <w:style w:type="paragraph" w:styleId="BIEmailAddress">
    <w:name w:val="BI_Email_Address"/>
    <w:basedOn w:val="Normal"/>
    <w:next w:val="AIReceivedDate"/>
    <w:qFormat/>
    <w:pPr>
      <w:suppressAutoHyphens w:val="false"/>
      <w:spacing w:before="0" w:after="100"/>
      <w:jc w:val="left"/>
    </w:pPr>
    <w:rPr>
      <w:rFonts w:ascii="Arno Pro" w:hAnsi="Arno Pro" w:eastAsia="Arno Pro" w:cs="Arno Pro"/>
      <w:sz w:val="18"/>
    </w:rPr>
  </w:style>
  <w:style w:type="paragraph" w:styleId="AIReceivedDate">
    <w:name w:val="AI_Received_Date"/>
    <w:basedOn w:val="Normal"/>
    <w:next w:val="Normal"/>
    <w:qFormat/>
    <w:pPr>
      <w:suppressAutoHyphens w:val="false"/>
      <w:spacing w:before="0" w:after="100"/>
      <w:jc w:val="left"/>
    </w:pPr>
    <w:rPr>
      <w:rFonts w:ascii="Arno Pro" w:hAnsi="Arno Pro" w:eastAsia="Arno Pro" w:cs="Arno Pro"/>
      <w:sz w:val="18"/>
    </w:rPr>
  </w:style>
  <w:style w:type="paragraph" w:styleId="StyleBIEmailAddress95pt">
    <w:name w:val="Style BI_Email_Address + 9.5 pt"/>
    <w:basedOn w:val="BIEmailAddress"/>
    <w:qFormat/>
    <w:pPr>
      <w:suppressAutoHyphens w:val="false"/>
      <w:spacing w:before="0" w:after="60"/>
    </w:pPr>
    <w:rPr>
      <w:sz w:val="19"/>
    </w:rPr>
  </w:style>
  <w:style w:type="paragraph" w:styleId="BDAbstract">
    <w:name w:val="BD_Abstract"/>
    <w:basedOn w:val="Normal"/>
    <w:next w:val="TAMainText"/>
    <w:qFormat/>
    <w:pPr>
      <w:pBdr>
        <w:top w:val="single" w:sz="4" w:space="1" w:color="000000"/>
        <w:bottom w:val="single" w:sz="4" w:space="1" w:color="000000"/>
      </w:pBdr>
      <w:suppressAutoHyphens w:val="false"/>
      <w:spacing w:before="101" w:after="101"/>
    </w:pPr>
    <w:rPr>
      <w:rFonts w:ascii="Arno Pro" w:hAnsi="Arno Pro" w:eastAsia="Arno Pro" w:cs="Arno Pro"/>
      <w:kern w:val="2"/>
      <w:sz w:val="19"/>
    </w:rPr>
  </w:style>
  <w:style w:type="paragraph" w:styleId="TAMainText">
    <w:name w:val="TA_Main_Text"/>
    <w:basedOn w:val="Normal"/>
    <w:qFormat/>
    <w:pPr>
      <w:tabs>
        <w:tab w:val="clear" w:pos="709"/>
      </w:tabs>
      <w:suppressAutoHyphens w:val="false"/>
      <w:spacing w:before="0" w:after="60"/>
      <w:ind w:left="720" w:right="0" w:hanging="0"/>
    </w:pPr>
    <w:rPr>
      <w:rFonts w:ascii="Arno Pro" w:hAnsi="Arno Pro" w:eastAsia="Arno Pro" w:cs="Arno Pro"/>
      <w:kern w:val="2"/>
      <w:sz w:val="19"/>
    </w:rPr>
  </w:style>
  <w:style w:type="paragraph" w:styleId="VDTableTitle">
    <w:name w:val="VD_Table_Title"/>
    <w:basedOn w:val="Normal"/>
    <w:next w:val="Normal"/>
    <w:qFormat/>
    <w:pPr>
      <w:suppressAutoHyphens w:val="false"/>
      <w:spacing w:before="0" w:after="0"/>
    </w:pPr>
    <w:rPr>
      <w:rFonts w:ascii="Arno Pro" w:hAnsi="Arno Pro" w:eastAsia="Arno Pro" w:cs="Arno Pro"/>
      <w:b/>
      <w:kern w:val="2"/>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3433</TotalTime>
  <Application>LibreOffice/6.4.7.2$Linux_X86_64 LibreOffice_project/40$Build-2</Application>
  <Pages>7</Pages>
  <Words>3132</Words>
  <Characters>16891</Characters>
  <CharactersWithSpaces>20009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2022-04-07T14:20:02Z</dcterms:created>
  <dc:creator/>
  <dc:description/>
  <dc:language>en-US</dc:language>
  <cp:lastModifiedBy/>
  <dcterms:modified xsi:type="dcterms:W3CDTF">2022-06-08T14:06:26Z</dcterms:modified>
  <cp:revision>51</cp:revision>
  <dc:subject/>
  <dc:title/>
</cp:coreProperties>
</file>