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no Pro" w:hAnsi="Arno Pro" w:eastAsia="Times New Roman" w:cs="Times New Roman"/>
          <w:i w:val="false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pPr>
      <w:r>
        <w:rPr>
          <w:rStyle w:val="DefaultParagraphFont"/>
          <w:rFonts w:eastAsia="Times New Roman" w:cs="Times New Roman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The Metabolome Weakens RNA Helix Stability and Increases RNA Chemical Stability</w:t>
      </w:r>
    </w:p>
    <w:p>
      <w:pPr>
        <w:pStyle w:val="Normal"/>
        <w:bidi w:val="0"/>
        <w:jc w:val="left"/>
        <w:rPr>
          <w:rStyle w:val="DefaultParagraphFont"/>
          <w:rFonts w:ascii="Arno Pro" w:hAnsi="Arno Pro" w:eastAsia="Times New Roman" w:cs="Times New Roman"/>
          <w:i w:val="false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pPr>
      <w:r>
        <w:rPr>
          <w:rFonts w:eastAsia="Times New Roman" w:cs="Times New Roman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r>
    </w:p>
    <w:p>
      <w:pPr>
        <w:pStyle w:val="StyleBIEmailAddress95pt"/>
        <w:rPr/>
      </w:pPr>
      <w:r>
        <w:rPr/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DAbstract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10 mM Mg2+, using a Mg2+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 contrast, we take a bottom up, “aufbau”, approach that builds up complexity, to 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aufbau approach allows us to understand the effects of most of the metabolite and metal ions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Eco80: A artificial cytoplasm containing 80% of E. coli metabolites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cells contain hundreds of metabolites for a total metabolite concentration of about 243 mM, too many metabolites to test systematically . However, 15 abundant metabolites comprise 80% (194 mM) of total metabolites, and 15 metabolites is an experimentally manageable number (Figure 1A). 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>pH (~7) and require electrostatic neutralization with metal ions. Thus, we prepared Eco80 so that the final monovalent ion concentration was close to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(SI 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 in volumetric flasks,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recorded. Lastly, NaCl and KCl was added to a final 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>All 15 of the most abundant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liturature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environmental factors such as pH, ionic strength, composition of background ions, and temperature. Thus, we sought to better characterize the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chelation by the top 15 most abundant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>E. coli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metabolites at the physiological 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, 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 determined apparent disassociation constants 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 for the Eco90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C (Table 1)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. Isothermal titration calorimetry (ITC) was used to determine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for phosphorylated metabolites (SI figure 1, SI Table 2). A fluorescence assay,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that uses the emission of the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binding dye </w:t>
      </w:r>
      <w:bookmarkStart w:id="0" w:name="page38R_mcid10"/>
      <w:bookmarkEnd w:id="0"/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8-Hydroxy-5-quinolinesulfonic (HQS) acid was used to estimate the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for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binders metabolites that did not produce enough heat on binding to measure with ITC (SI figure 2, SI Table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3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four nucleotide triphosphates, ATP, UTP, GTP, and dTTP, were classified as strong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binders with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values less than the approximate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</w:t>
      </w:r>
      <w:r>
        <w:rPr>
          <w:rStyle w:val="DefaultParagraphFont"/>
          <w:rFonts w:eastAsia="Noto Serif CJK SC" w:cs="Lohit Devanagari" w:ascii="Arno Pro" w:hAnsi="Arno Pro"/>
          <w:i/>
          <w:iCs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E. coli,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 mM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Conversely, 8 other metabolites, L-glutamic acid, glutathione, fructose 1,6-BP, UDP-GlcNAC, Glucose 6-P, L-aspartic acid,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6-P-gluconic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and dihydroxyacetone phosphate were classified as weak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binders, with a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 greater than 2 mM but with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observed. Three metabolites, L-valine, L-glutamine, and pyruvic acid had negligible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properties, as measured with HQS.</w:t>
      </w:r>
    </w:p>
    <w:p>
      <w:pPr>
        <w:pStyle w:val="Normal"/>
        <w:spacing w:lineRule="exact" w:line="288" w:before="0" w:after="86"/>
        <w:jc w:val="both"/>
        <w:rPr/>
      </w:pPr>
      <w:r>
        <w:rPr>
          <w:rFonts w:ascii="Arno Pro" w:hAnsi="Arno Pro"/>
          <w:i w:val="false"/>
          <w:iCs w:val="false"/>
          <w:kern w:val="2"/>
          <w:sz w:val="18"/>
        </w:rPr>
        <w:t xml:space="preserve">We next used two methods to estimate how the metabolites effect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speciation of free and chelated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mixture in the Eco80 artificial cytoplasm. The first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experimental, using HQS emission to estimate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the presence of Eco80 metabolites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second method  was a statistical model that accounts for experimental uncertainties in metabolite concentrations,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concentrations, and uncertainty in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determination.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HQS assay, 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statistical model is described in detail in the Supplementary Methods. Briefly, concentration errors were propagated from uncertainties in reagent masses and volumes used during sample preparation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uncertainties were obtained from the fits (Table 1), then randomly seeded into Equation 1 to create 1000 virtual artificial cytoplasm.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Equation 1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Then, equation 1 is solved numerically to determine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produced at a given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</w:pPr>
      <w:r>
        <w:rPr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destabilizes RNA helices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protects RNA from degradation</w:t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3</Pages>
  <Words>923</Words>
  <Characters>5064</Characters>
  <CharactersWithSpaces>5976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2022-05-04T14:12:08Z</dcterms:modified>
  <cp:revision>7</cp:revision>
  <dc:subject/>
  <dc:title/>
</cp:coreProperties>
</file>