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0AAA" w14:textId="77777777" w:rsidR="008E1C51" w:rsidRDefault="008E1C51">
      <w:pPr>
        <w:spacing w:line="480" w:lineRule="auto"/>
        <w:rPr>
          <w:rFonts w:ascii="Arial" w:hAnsi="Arial"/>
          <w:b/>
          <w:bCs/>
          <w:i/>
          <w:iCs/>
          <w:color w:val="708090"/>
          <w:sz w:val="16"/>
          <w:szCs w:val="16"/>
        </w:rPr>
      </w:pPr>
    </w:p>
    <w:p w14:paraId="58DC009C" w14:textId="77777777" w:rsidR="008E1C51" w:rsidRDefault="008E1C51">
      <w:pPr>
        <w:spacing w:line="480" w:lineRule="auto"/>
        <w:rPr>
          <w:rFonts w:ascii="Arial" w:hAnsi="Arial"/>
        </w:rPr>
      </w:pPr>
    </w:p>
    <w:p w14:paraId="0B104D3F" w14:textId="77777777" w:rsidR="008E1C51" w:rsidRDefault="008E1C51">
      <w:pPr>
        <w:spacing w:line="480" w:lineRule="auto"/>
        <w:rPr>
          <w:rFonts w:ascii="Arial" w:hAnsi="Arial"/>
        </w:rPr>
      </w:pPr>
    </w:p>
    <w:p w14:paraId="0B7024EF" w14:textId="77777777" w:rsidR="008E1C51" w:rsidRDefault="008E1C51">
      <w:pPr>
        <w:spacing w:line="480" w:lineRule="auto"/>
        <w:rPr>
          <w:rFonts w:ascii="Arial" w:hAnsi="Arial"/>
        </w:rPr>
      </w:pPr>
    </w:p>
    <w:p w14:paraId="68459D65" w14:textId="77777777" w:rsidR="008E1C51" w:rsidRDefault="008E1C51">
      <w:pPr>
        <w:spacing w:line="480" w:lineRule="auto"/>
        <w:rPr>
          <w:rFonts w:ascii="Arial" w:hAnsi="Arial"/>
        </w:rPr>
      </w:pPr>
    </w:p>
    <w:p w14:paraId="51B40AD9" w14:textId="77777777" w:rsidR="008E1C51" w:rsidRDefault="008E1C51">
      <w:pPr>
        <w:spacing w:line="480" w:lineRule="auto"/>
        <w:rPr>
          <w:rFonts w:ascii="Arial" w:hAnsi="Arial"/>
        </w:rPr>
      </w:pPr>
    </w:p>
    <w:p w14:paraId="03111AE6" w14:textId="77777777" w:rsidR="008E1C51" w:rsidRDefault="008E1C51">
      <w:pPr>
        <w:spacing w:line="480" w:lineRule="auto"/>
        <w:rPr>
          <w:rFonts w:ascii="Arial" w:hAnsi="Arial"/>
        </w:rPr>
      </w:pPr>
    </w:p>
    <w:p w14:paraId="4241AAE4" w14:textId="77777777" w:rsidR="008E1C51" w:rsidRDefault="00000000">
      <w:pPr>
        <w:spacing w:line="480" w:lineRule="auto"/>
        <w:jc w:val="center"/>
      </w:pPr>
      <w:bookmarkStart w:id="0" w:name="_Hlk118109055"/>
      <w:r>
        <w:rPr>
          <w:rFonts w:ascii="Arial" w:hAnsi="Arial"/>
          <w:sz w:val="28"/>
          <w:szCs w:val="28"/>
        </w:rPr>
        <w:t>MeltR is a Software Package that Provides Facile Determination of Biopolymer Thermodynamics: Application to RNA UV-Absorbance Data</w:t>
      </w:r>
    </w:p>
    <w:p w14:paraId="6C45D5A7" w14:textId="7FF35A13" w:rsidR="008E1C51" w:rsidRDefault="00000000">
      <w:pPr>
        <w:spacing w:line="480" w:lineRule="auto"/>
        <w:jc w:val="center"/>
      </w:pPr>
      <w:r>
        <w:rPr>
          <w:rFonts w:ascii="Arial" w:hAnsi="Arial"/>
          <w:sz w:val="22"/>
          <w:szCs w:val="22"/>
        </w:rPr>
        <w:t>Jacob P. Sieg</w:t>
      </w:r>
      <w:r>
        <w:rPr>
          <w:rFonts w:ascii="Arial" w:hAnsi="Arial"/>
          <w:sz w:val="22"/>
          <w:szCs w:val="22"/>
          <w:vertAlign w:val="superscript"/>
        </w:rPr>
        <w:t>1,2</w:t>
      </w:r>
      <w:r>
        <w:rPr>
          <w:rFonts w:ascii="Arial" w:hAnsi="Arial"/>
          <w:sz w:val="22"/>
          <w:szCs w:val="22"/>
        </w:rPr>
        <w:t>, Sebastian J. Arteaga</w:t>
      </w:r>
      <w:r>
        <w:rPr>
          <w:rFonts w:ascii="Arial" w:hAnsi="Arial"/>
          <w:sz w:val="22"/>
          <w:szCs w:val="22"/>
          <w:vertAlign w:val="superscript"/>
        </w:rPr>
        <w:t>3</w:t>
      </w:r>
      <w:r>
        <w:rPr>
          <w:rFonts w:ascii="Arial" w:hAnsi="Arial"/>
          <w:sz w:val="22"/>
          <w:szCs w:val="22"/>
        </w:rPr>
        <w:t>, Brent M. Znosko</w:t>
      </w:r>
      <w:r>
        <w:rPr>
          <w:rFonts w:ascii="Arial" w:hAnsi="Arial"/>
          <w:sz w:val="22"/>
          <w:szCs w:val="22"/>
          <w:vertAlign w:val="superscript"/>
        </w:rPr>
        <w:t>3</w:t>
      </w:r>
      <w:r>
        <w:rPr>
          <w:rFonts w:ascii="Arial" w:hAnsi="Arial"/>
          <w:sz w:val="22"/>
          <w:szCs w:val="22"/>
        </w:rPr>
        <w:t>, Philip C. Bevilacqua</w:t>
      </w:r>
      <w:r w:rsidR="004A6486">
        <w:rPr>
          <w:rFonts w:ascii="Arial" w:hAnsi="Arial"/>
          <w:sz w:val="22"/>
          <w:szCs w:val="22"/>
        </w:rPr>
        <w:t>*</w:t>
      </w:r>
      <w:r>
        <w:rPr>
          <w:rFonts w:ascii="Arial" w:hAnsi="Arial"/>
          <w:sz w:val="22"/>
          <w:szCs w:val="22"/>
          <w:vertAlign w:val="superscript"/>
        </w:rPr>
        <w:t>1,2,4</w:t>
      </w:r>
    </w:p>
    <w:p w14:paraId="4E225CEE" w14:textId="77777777" w:rsidR="008E1C51" w:rsidRDefault="008E1C51">
      <w:pPr>
        <w:spacing w:line="480" w:lineRule="auto"/>
        <w:jc w:val="center"/>
        <w:rPr>
          <w:rFonts w:ascii="Arial" w:hAnsi="Arial"/>
          <w:sz w:val="22"/>
          <w:szCs w:val="22"/>
          <w:vertAlign w:val="superscript"/>
        </w:rPr>
      </w:pPr>
    </w:p>
    <w:p w14:paraId="1753FAA5" w14:textId="77777777" w:rsidR="008E1C51" w:rsidRDefault="00000000">
      <w:pPr>
        <w:spacing w:line="480" w:lineRule="auto"/>
      </w:pPr>
      <w:r>
        <w:rPr>
          <w:rFonts w:ascii="Arial" w:hAnsi="Arial"/>
          <w:sz w:val="22"/>
          <w:szCs w:val="22"/>
          <w:vertAlign w:val="superscript"/>
        </w:rPr>
        <w:t>1</w:t>
      </w:r>
      <w:r>
        <w:rPr>
          <w:rFonts w:ascii="Arial" w:hAnsi="Arial"/>
          <w:sz w:val="22"/>
          <w:szCs w:val="22"/>
        </w:rPr>
        <w:t>Department of Chemistry, Pennsylvania State University, University Park, PA 16802.</w:t>
      </w:r>
    </w:p>
    <w:p w14:paraId="0BC339CD" w14:textId="77777777" w:rsidR="008E1C51" w:rsidRDefault="00000000">
      <w:pPr>
        <w:spacing w:line="480" w:lineRule="auto"/>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14:paraId="5B8D273E" w14:textId="77777777" w:rsidR="008E1C51" w:rsidRDefault="00000000">
      <w:pPr>
        <w:spacing w:line="480" w:lineRule="auto"/>
        <w:contextualSpacing/>
      </w:pPr>
      <w:r>
        <w:rPr>
          <w:rFonts w:ascii="Arial" w:hAnsi="Arial"/>
          <w:sz w:val="22"/>
          <w:szCs w:val="22"/>
          <w:vertAlign w:val="superscript"/>
        </w:rPr>
        <w:t>3</w:t>
      </w:r>
      <w:r>
        <w:rPr>
          <w:rFonts w:ascii="Arial" w:hAnsi="Arial"/>
          <w:sz w:val="22"/>
          <w:szCs w:val="22"/>
        </w:rPr>
        <w:t>Department of Chemistry, Saint Louis University, Saint Louis, MO 63103.</w:t>
      </w:r>
    </w:p>
    <w:p w14:paraId="51275116" w14:textId="37933C63" w:rsidR="008E1C51" w:rsidRDefault="00000000">
      <w:pPr>
        <w:spacing w:line="480" w:lineRule="auto"/>
        <w:rPr>
          <w:rFonts w:ascii="Arial" w:hAnsi="Arial"/>
          <w:sz w:val="22"/>
          <w:szCs w:val="22"/>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14:paraId="26806BC5" w14:textId="7E864433" w:rsidR="004A6486" w:rsidRDefault="004A6486">
      <w:pPr>
        <w:spacing w:line="480" w:lineRule="auto"/>
      </w:pPr>
      <w:r>
        <w:rPr>
          <w:rFonts w:ascii="Arial" w:hAnsi="Arial"/>
          <w:sz w:val="22"/>
          <w:szCs w:val="22"/>
        </w:rPr>
        <w:t>*Correspondence should be directed to pcb5@psu.edu</w:t>
      </w:r>
    </w:p>
    <w:p w14:paraId="6C5E917B" w14:textId="77777777" w:rsidR="008E1C51" w:rsidRDefault="00000000">
      <w:pPr>
        <w:spacing w:line="480" w:lineRule="auto"/>
        <w:rPr>
          <w:rFonts w:ascii="Arial" w:hAnsi="Arial"/>
          <w:sz w:val="22"/>
          <w:szCs w:val="22"/>
        </w:rPr>
      </w:pPr>
      <w:r>
        <w:rPr>
          <w:rFonts w:ascii="Arial" w:hAnsi="Arial"/>
          <w:sz w:val="22"/>
          <w:szCs w:val="22"/>
        </w:rPr>
        <w:t>Keywords: Absorbance melting curves, thermodynamics, RNA</w:t>
      </w:r>
      <w:bookmarkEnd w:id="0"/>
      <w:r>
        <w:br w:type="page"/>
      </w:r>
    </w:p>
    <w:p w14:paraId="03000962" w14:textId="77777777" w:rsidR="008E1C51" w:rsidRDefault="00000000" w:rsidP="00814CB6">
      <w:pPr>
        <w:pStyle w:val="Heading1"/>
      </w:pPr>
      <w:r>
        <w:lastRenderedPageBreak/>
        <w:t>Abstract</w:t>
      </w:r>
    </w:p>
    <w:p w14:paraId="0FE298AE" w14:textId="16637E09" w:rsidR="004A6486" w:rsidRDefault="00172929" w:rsidP="00172929">
      <w:pPr>
        <w:spacing w:line="480" w:lineRule="auto"/>
        <w:jc w:val="both"/>
        <w:rPr>
          <w:rFonts w:ascii="Arial" w:hAnsi="Arial"/>
          <w:sz w:val="22"/>
          <w:szCs w:val="22"/>
        </w:rPr>
      </w:pPr>
      <w:r>
        <w:rPr>
          <w:rFonts w:ascii="Arial" w:hAnsi="Arial"/>
          <w:sz w:val="22"/>
          <w:szCs w:val="22"/>
        </w:rPr>
        <w:t xml:space="preserve">Themodenaturation (melting) curves of macromolecules are used to determine folding thermodynamic parameters. Notably, this thermodynamic insight into RNA and DNA structure underlies a plethora of structure prediction tools. Appropriate analysis of absorbance melting curves is complex, requiring many data preprocessing, regression, and error analysis steps. The absorbance melting curve-fitting software </w:t>
      </w:r>
      <w:r>
        <w:rPr>
          <w:rFonts w:ascii="Arial" w:hAnsi="Arial"/>
          <w:i/>
          <w:iCs/>
          <w:sz w:val="22"/>
          <w:szCs w:val="22"/>
        </w:rPr>
        <w:t>MeltWin</w:t>
      </w:r>
      <w:r>
        <w:rPr>
          <w:rFonts w:ascii="Arial" w:hAnsi="Arial"/>
          <w:sz w:val="22"/>
          <w:szCs w:val="22"/>
        </w:rPr>
        <w:t xml:space="preserve">, introduced in 1996, provided researchers with a consistent and facile absorbance melting curve analysis platform that provided a generation of RNA folding parameters. Unfortunately, </w:t>
      </w:r>
      <w:r>
        <w:rPr>
          <w:rFonts w:ascii="Arial" w:hAnsi="Arial"/>
          <w:i/>
          <w:iCs/>
          <w:sz w:val="22"/>
          <w:szCs w:val="22"/>
        </w:rPr>
        <w:t>MeltWin</w:t>
      </w:r>
      <w:r>
        <w:rPr>
          <w:rFonts w:ascii="Arial" w:hAnsi="Arial"/>
          <w:sz w:val="22"/>
          <w:szCs w:val="22"/>
        </w:rPr>
        <w:t xml:space="preserve"> software has non-transparent source code, is not maintained, and relies on idiosyncratic choices by the user. Herein, we provide </w:t>
      </w:r>
      <w:r>
        <w:rPr>
          <w:rFonts w:ascii="Arial" w:hAnsi="Arial"/>
          <w:i/>
          <w:iCs/>
          <w:sz w:val="22"/>
          <w:szCs w:val="22"/>
        </w:rPr>
        <w:t>MeltR</w:t>
      </w:r>
      <w:r>
        <w:rPr>
          <w:rFonts w:ascii="Arial" w:hAnsi="Arial"/>
          <w:sz w:val="22"/>
          <w:szCs w:val="22"/>
        </w:rPr>
        <w:t>, an open-source, curve-fitting package in the popular R programming language for analysis of macromolecular thermodynamics data. The</w:t>
      </w:r>
      <w:r>
        <w:rPr>
          <w:rFonts w:ascii="Arial" w:hAnsi="Arial"/>
          <w:i/>
          <w:iCs/>
          <w:sz w:val="22"/>
          <w:szCs w:val="22"/>
        </w:rPr>
        <w:t xml:space="preserve"> MeltR </w:t>
      </w:r>
      <w:r>
        <w:rPr>
          <w:rFonts w:ascii="Arial" w:hAnsi="Arial"/>
          <w:sz w:val="22"/>
          <w:szCs w:val="22"/>
        </w:rPr>
        <w:t xml:space="preserve">provides the same facile conversion of absorbance melting curve data to folding energies provided by </w:t>
      </w:r>
      <w:r>
        <w:rPr>
          <w:rFonts w:ascii="Arial" w:hAnsi="Arial"/>
          <w:i/>
          <w:iCs/>
          <w:sz w:val="22"/>
          <w:szCs w:val="22"/>
        </w:rPr>
        <w:t>MeltWin</w:t>
      </w:r>
      <w:r>
        <w:rPr>
          <w:rFonts w:ascii="Arial" w:hAnsi="Arial"/>
          <w:sz w:val="22"/>
          <w:szCs w:val="22"/>
        </w:rPr>
        <w:t xml:space="preserve"> but has additional features for experiments. </w:t>
      </w:r>
      <w:r>
        <w:rPr>
          <w:rFonts w:ascii="Arial" w:hAnsi="Arial"/>
          <w:i/>
          <w:iCs/>
          <w:sz w:val="22"/>
          <w:szCs w:val="22"/>
        </w:rPr>
        <w:t>MeltR</w:t>
      </w:r>
      <w:r>
        <w:rPr>
          <w:rFonts w:ascii="Arial" w:hAnsi="Arial"/>
          <w:sz w:val="22"/>
          <w:szCs w:val="22"/>
        </w:rPr>
        <w:t xml:space="preserve"> can be a useful tool for analyzing the next generation of DNA and RNA absorbance melting curve experiments. and can be used to analyze other types of melting data, collected on diverse biological macromolecules.</w:t>
      </w:r>
    </w:p>
    <w:p w14:paraId="59ED68C0" w14:textId="77777777" w:rsidR="004A6486" w:rsidRDefault="004A6486" w:rsidP="004A6486">
      <w:pPr>
        <w:pStyle w:val="Heading1"/>
      </w:pPr>
      <w:r>
        <w:t>Why it matters</w:t>
      </w:r>
    </w:p>
    <w:p w14:paraId="175DFBFC" w14:textId="16237000" w:rsidR="004A6486" w:rsidRDefault="00172929" w:rsidP="004E43C0">
      <w:pPr>
        <w:spacing w:line="480" w:lineRule="auto"/>
        <w:jc w:val="both"/>
        <w:rPr>
          <w:rFonts w:ascii="Arial" w:hAnsi="Arial"/>
          <w:sz w:val="22"/>
          <w:szCs w:val="22"/>
        </w:rPr>
      </w:pPr>
      <w:r>
        <w:rPr>
          <w:rFonts w:ascii="Arial" w:hAnsi="Arial"/>
          <w:sz w:val="22"/>
          <w:szCs w:val="22"/>
        </w:rPr>
        <w:t xml:space="preserve">Melting curves provide the thermodynamic parameters used in a plethora of algorithms that predict nucleic acid structure and function. Appropriate analysis of melting curves is complex and hard to perform on a large scale. Herein, we provide </w:t>
      </w:r>
      <w:r w:rsidRPr="008D591B">
        <w:rPr>
          <w:rFonts w:ascii="Arial" w:hAnsi="Arial"/>
          <w:i/>
          <w:iCs/>
          <w:sz w:val="22"/>
          <w:szCs w:val="22"/>
        </w:rPr>
        <w:t>MeltR</w:t>
      </w:r>
      <w:r>
        <w:rPr>
          <w:rFonts w:ascii="Arial" w:hAnsi="Arial"/>
          <w:sz w:val="22"/>
          <w:szCs w:val="22"/>
        </w:rPr>
        <w:t xml:space="preserve">, a replacement and improvement on the popular melting-curve fitting software, </w:t>
      </w:r>
      <w:r>
        <w:rPr>
          <w:rFonts w:ascii="Arial" w:hAnsi="Arial"/>
          <w:i/>
          <w:iCs/>
          <w:sz w:val="22"/>
          <w:szCs w:val="22"/>
        </w:rPr>
        <w:t>MeltWin</w:t>
      </w:r>
      <w:r>
        <w:rPr>
          <w:rFonts w:ascii="Arial" w:hAnsi="Arial"/>
          <w:sz w:val="22"/>
          <w:szCs w:val="22"/>
        </w:rPr>
        <w:t xml:space="preserve">. </w:t>
      </w:r>
      <w:r w:rsidRPr="008D591B">
        <w:rPr>
          <w:rFonts w:ascii="Arial" w:hAnsi="Arial"/>
          <w:i/>
          <w:iCs/>
          <w:sz w:val="22"/>
          <w:szCs w:val="22"/>
        </w:rPr>
        <w:t>MeltR</w:t>
      </w:r>
      <w:r>
        <w:rPr>
          <w:rFonts w:ascii="Arial" w:hAnsi="Arial"/>
          <w:sz w:val="22"/>
          <w:szCs w:val="22"/>
        </w:rPr>
        <w:t xml:space="preserve"> uses a facile command-line interface, automates idiosyncrasies in data analysis, and a MeltR analysis is easy to distribute and reproduce.</w:t>
      </w:r>
      <w:r w:rsidR="004E43C0">
        <w:rPr>
          <w:rFonts w:ascii="Arial" w:hAnsi="Arial"/>
          <w:sz w:val="22"/>
          <w:szCs w:val="22"/>
        </w:rPr>
        <w:t xml:space="preserve"> Lastly, </w:t>
      </w:r>
      <w:r w:rsidR="004E43C0" w:rsidRPr="004E43C0">
        <w:rPr>
          <w:rFonts w:ascii="Arial" w:hAnsi="Arial"/>
          <w:i/>
          <w:iCs/>
          <w:sz w:val="22"/>
          <w:szCs w:val="22"/>
        </w:rPr>
        <w:t>MeltR</w:t>
      </w:r>
      <w:r w:rsidR="004E43C0">
        <w:rPr>
          <w:rFonts w:ascii="Arial" w:hAnsi="Arial"/>
          <w:sz w:val="22"/>
          <w:szCs w:val="22"/>
        </w:rPr>
        <w:t xml:space="preserve"> is written in the popular R statistical programming language and can be copied, improved, and redistributed without restriction.</w:t>
      </w:r>
      <w:r>
        <w:rPr>
          <w:rFonts w:ascii="Arial" w:hAnsi="Arial"/>
          <w:sz w:val="22"/>
          <w:szCs w:val="22"/>
        </w:rPr>
        <w:t xml:space="preserve"> We believe that </w:t>
      </w:r>
      <w:r>
        <w:rPr>
          <w:rFonts w:ascii="Arial" w:hAnsi="Arial"/>
          <w:i/>
          <w:iCs/>
          <w:sz w:val="22"/>
          <w:szCs w:val="22"/>
        </w:rPr>
        <w:t>MeltR</w:t>
      </w:r>
      <w:r>
        <w:rPr>
          <w:rFonts w:ascii="Arial" w:hAnsi="Arial"/>
          <w:sz w:val="22"/>
          <w:szCs w:val="22"/>
        </w:rPr>
        <w:t xml:space="preserve"> is a valuable tool for analyzing melting data collected on diverse biological macromolecules, particularly RNA</w:t>
      </w:r>
      <w:r w:rsidR="00C11BE8">
        <w:rPr>
          <w:rFonts w:ascii="Arial" w:hAnsi="Arial"/>
          <w:sz w:val="22"/>
          <w:szCs w:val="22"/>
        </w:rPr>
        <w:t xml:space="preserve"> and DNA</w:t>
      </w:r>
      <w:r>
        <w:rPr>
          <w:rFonts w:ascii="Arial" w:hAnsi="Arial"/>
          <w:sz w:val="22"/>
          <w:szCs w:val="22"/>
        </w:rPr>
        <w:t>.</w:t>
      </w:r>
      <w:r w:rsidR="004E43C0">
        <w:rPr>
          <w:rFonts w:ascii="Arial" w:hAnsi="Arial"/>
          <w:sz w:val="22"/>
          <w:szCs w:val="22"/>
        </w:rPr>
        <w:t xml:space="preserve"> </w:t>
      </w:r>
    </w:p>
    <w:p w14:paraId="3374A515" w14:textId="072E5420" w:rsidR="008E1C51" w:rsidRDefault="00000000">
      <w:pPr>
        <w:spacing w:line="480" w:lineRule="auto"/>
        <w:rPr>
          <w:rFonts w:ascii="Arial" w:hAnsi="Arial"/>
          <w:sz w:val="22"/>
          <w:szCs w:val="22"/>
        </w:rPr>
      </w:pPr>
      <w:r>
        <w:br w:type="page"/>
      </w:r>
    </w:p>
    <w:p w14:paraId="1CEDDE1E" w14:textId="77777777" w:rsidR="008E1C51" w:rsidRDefault="00000000" w:rsidP="00814CB6">
      <w:pPr>
        <w:pStyle w:val="Heading1"/>
      </w:pPr>
      <w:r>
        <w:lastRenderedPageBreak/>
        <w:t>Introduction</w:t>
      </w:r>
    </w:p>
    <w:p w14:paraId="6C6ED3F3" w14:textId="3FC63E83" w:rsidR="008E1C51" w:rsidRDefault="00000000" w:rsidP="008D55AE">
      <w:pPr>
        <w:spacing w:after="120" w:line="480" w:lineRule="auto"/>
        <w:jc w:val="both"/>
      </w:pPr>
      <w:r>
        <w:rPr>
          <w:rFonts w:ascii="Arial" w:hAnsi="Arial"/>
          <w:sz w:val="22"/>
          <w:szCs w:val="22"/>
        </w:rPr>
        <w:t xml:space="preserve">Thermodenaturation (melting) curves monitor macromolecular structure as a function of temperature and provide </w:t>
      </w:r>
      <w:r w:rsidR="003E6A2E">
        <w:rPr>
          <w:rFonts w:ascii="Arial" w:hAnsi="Arial"/>
          <w:sz w:val="22"/>
          <w:szCs w:val="22"/>
        </w:rPr>
        <w:t xml:space="preserve">valuable </w:t>
      </w:r>
      <w:r>
        <w:rPr>
          <w:rFonts w:ascii="Arial" w:hAnsi="Arial"/>
          <w:sz w:val="22"/>
          <w:szCs w:val="22"/>
        </w:rPr>
        <w:t>thermodynamic insight. UV-detected absorbance melting curves of nucleic acid helices have provided extensive thermodynamic characterization of the sequence dependence RNA and DNA structure.</w:t>
      </w:r>
      <w:r w:rsidR="004B6B2C">
        <w:rPr>
          <w:rFonts w:ascii="Arial" w:hAnsi="Arial"/>
          <w:sz w:val="22"/>
          <w:szCs w:val="22"/>
        </w:rPr>
        <w:fldChar w:fldCharType="begin"/>
      </w:r>
      <w:r w:rsidR="00986971">
        <w:rPr>
          <w:rFonts w:ascii="Arial" w:hAnsi="Arial"/>
          <w:sz w:val="22"/>
          <w:szCs w:val="22"/>
        </w:rPr>
        <w:instrText xml:space="preserve"> ADDIN ZOTERO_ITEM CSL_CITATION {"citationID":"d6NbedZS","properties":{"formattedCitation":"\\super 1,2\\nosupersub{}","plainCitation":"1,2","noteIndex":0},"citationItems":[{"id":252,"uris":["http://zotero.org/users/4485201/items/J7UJLVKY"],"itemData":{"id":252,"type":"chapter","abstract":"This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D."},{"family":"Tinoco","given":"Ignacio"}],"accessed":{"date-parts":[["2018",3,23]]},"issued":{"date-parts":[["1989",1,1]]}}},{"id":428,"uris":["http://zotero.org/users/4485201/items/JBPEVIGB"],"itemData":{"id":428,"type":"article-journal","abstract":"Optical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H."}],"issued":{"date-parts":[["2009"]]}}}],"schema":"https://github.com/citation-style-language/schema/raw/master/csl-citation.json"} </w:instrText>
      </w:r>
      <w:r w:rsidR="004B6B2C">
        <w:rPr>
          <w:rFonts w:ascii="Arial" w:hAnsi="Arial"/>
          <w:sz w:val="22"/>
          <w:szCs w:val="22"/>
        </w:rPr>
        <w:fldChar w:fldCharType="separate"/>
      </w:r>
      <w:r w:rsidR="00986971" w:rsidRPr="00986971">
        <w:rPr>
          <w:rFonts w:ascii="Arial" w:hAnsi="Arial" w:cs="Arial"/>
          <w:sz w:val="22"/>
          <w:vertAlign w:val="superscript"/>
        </w:rPr>
        <w:t>1,2</w:t>
      </w:r>
      <w:r w:rsidR="004B6B2C">
        <w:rPr>
          <w:rFonts w:ascii="Arial" w:hAnsi="Arial"/>
          <w:sz w:val="22"/>
          <w:szCs w:val="22"/>
        </w:rPr>
        <w:fldChar w:fldCharType="end"/>
      </w:r>
      <w:r>
        <w:rPr>
          <w:rFonts w:ascii="Arial" w:hAnsi="Arial"/>
          <w:sz w:val="22"/>
          <w:szCs w:val="22"/>
        </w:rPr>
        <w:t xml:space="preserve"> This thermodynamic characterization has provided the nearest neighbor model for calculating the energy</w:t>
      </w:r>
      <w:r w:rsidR="002C5D7A">
        <w:rPr>
          <w:rFonts w:ascii="Arial" w:hAnsi="Arial"/>
          <w:sz w:val="22"/>
          <w:szCs w:val="22"/>
        </w:rPr>
        <w:t xml:space="preserve"> of</w:t>
      </w:r>
      <w:r>
        <w:rPr>
          <w:rFonts w:ascii="Arial" w:hAnsi="Arial"/>
          <w:sz w:val="22"/>
          <w:szCs w:val="22"/>
        </w:rPr>
        <w:t xml:space="preserve"> nucleic acid structure,</w:t>
      </w:r>
      <w:r w:rsidR="002C5D7A">
        <w:rPr>
          <w:rFonts w:ascii="Arial" w:hAnsi="Arial"/>
          <w:sz w:val="22"/>
          <w:szCs w:val="22"/>
        </w:rPr>
        <w:fldChar w:fldCharType="begin"/>
      </w:r>
      <w:r w:rsidR="00E414F9">
        <w:rPr>
          <w:rFonts w:ascii="Arial" w:hAnsi="Arial"/>
          <w:sz w:val="22"/>
          <w:szCs w:val="22"/>
        </w:rPr>
        <w:instrText xml:space="preserve"> ADDIN ZOTERO_ITEM CSL_CITATION {"citationID":"nAA1ScVa","properties":{"formattedCitation":"\\super 3\\uc0\\u8211{}8\\nosupersub{}","plainCitation":"3–8","noteIndex":0},"citationItems":[{"id":2315,"uris":["http://zotero.org/users/4485201/items/VXEXE6BQ"],"itemData":{"id":2315,"type":"article-journal","abstract":"A simple method for estimating the secondary structure of an RNA molecule has been proposed on the basis of the knowledge of its sequence.","container-title":"Nature","DOI":"10.1038/230362a0","ISSN":"1476-4687","issue":"5293","language":"en","license":"1971 Nature Publishing Group","note":"number: 5293\npublisher: Nature Publishing Group","page":"362-367","source":"www.nature.com","title":"Estimation of Secondary Structure in Ribonucleic Acids","volume":"230","author":[{"family":"Tinoco","given":"Ignacio"},{"family":"Uhlenbeck","given":"Olke C."},{"family":"Levine","given":"Mark D."}],"issued":{"date-parts":[["1971",4]]}}},{"id":1518,"uris":["http://zotero.org/users/4485201/items/F8MEEUDN"],"itemData":{"id":1518,"type":"article-journal","container-title":"Bulletin of mathematical biology","issue":"4","page":"591–621","source":"Google Scholar","title":"RNA secondary structures and their prediction","volume":"46","author":[{"family":"Zuker","given":"Michael"},{"family":"Sankoff","given":"David"}],"issued":{"date-parts":[["1984"]]}},"label":"page"},{"id":2317,"uris":["http://zotero.org/users/4485201/items/EHRTWEXK"],"itemData":{"id":2317,"type":"article-journal","container-title":"Biochemistry","DOI":"10.1021/bi00035a029","ISSN":"0006-2960","issue":"35","journalAbbreviation":"Biochemistry","note":"publisher: American Chemical Society","page":"11211-11216","source":"ACS Publications","title":"Thermodynamic Parameters To Predict Stability of RNA/DNA Hybrid Duplexes","volume":"34","author":[{"family":"Sugimoto","given":"Naoki"},{"family":"Nakano","given":"Shu-ichi"},{"family":"Katoh","given":"Misa"},{"family":"Matsumura","given":"Akiko"},{"family":"Nakamuta","given":"Hiroyuki"},{"family":"Ohmichi","given":"Tatsuo"},{"family":"Yoneyama","given":"Mari"},{"family":"Sasaki","given":"Muneo"}],"issued":{"date-parts":[["1995",9,5]]}}},{"id":2322,"uris":["http://zotero.org/users/4485201/items/TQZGENE5"],"itemData":{"id":2322,"type":"article-journal","abstract":"Thermodynamic data were determined from UV absorbance vs temperature profiles of 23 oligonucleotides. These data were combined with data from the literature for 21 sequences to derive improved parameters for the 10 Watson−Crick nearest neighbors. The observed trend in nearest-neighbor stabilities at 37 °C is GC &gt; CG &gt; GG &gt; GA ≈ GT ≈ CA &gt; CT &gt; AA &gt; AT &gt; TA (where only the top strand is shown for each nearest neighbor). This trend suggests that both sequence and base composition are important determinants of DNA duplex stability. On average, the improved parameters predict ΔG°37, ΔH°, ΔS°, and TM within 4%, 7%, 8%, and 2 °C, respectively. The parameters are optimized for the prediction of oligonucleotides dissolved in 1 M NaCl.","container-title":"Biochemistry","DOI":"10.1021/bi951907q","ISSN":"0006-2960","issue":"11","journalAbbreviation":"Biochemistry","note":"publisher: American Chemical Society","page":"3555-3562","source":"ACS Publications","title":"Improved Nearest-Neighbor Parameters for Predicting DNA Duplex Stability","volume":"35","author":[{"family":"SantaLucia","given":"","suffix":"John"},{"family":"Allawi","given":"Hatim T."},{"family":"Seneviratne","given":"P. Ananda"}],"issued":{"date-parts":[["1996",1,1]]}}},{"id":556,"uris":["http://zotero.org/users/4485201/items/W9LEI5CR"],"itemData":{"id":556,"type":"article-journal","abstract":"Improved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H."}],"issued":{"date-parts":[["1998",10]]}},"label":"page"},{"id":129,"uris":["http://zotero.org/users/4485201/items/9MJZ66JQ"],"itemData":{"id":129,"type":"article-journal","abstract":"The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Research","DOI":"10.1093/nar/gkp892","ISSN":"0305-1048","issue":"Database issue","journalAbbreviation":"Nucleic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2C5D7A">
        <w:rPr>
          <w:rFonts w:ascii="Arial" w:hAnsi="Arial"/>
          <w:sz w:val="22"/>
          <w:szCs w:val="22"/>
        </w:rPr>
        <w:fldChar w:fldCharType="separate"/>
      </w:r>
      <w:r w:rsidR="00E414F9" w:rsidRPr="00E414F9">
        <w:rPr>
          <w:rFonts w:ascii="Arial" w:hAnsi="Arial" w:cs="Arial"/>
          <w:sz w:val="22"/>
          <w:vertAlign w:val="superscript"/>
        </w:rPr>
        <w:t>3–8</w:t>
      </w:r>
      <w:r w:rsidR="002C5D7A">
        <w:rPr>
          <w:rFonts w:ascii="Arial" w:hAnsi="Arial"/>
          <w:sz w:val="22"/>
          <w:szCs w:val="22"/>
        </w:rPr>
        <w:fldChar w:fldCharType="end"/>
      </w:r>
      <w:r>
        <w:rPr>
          <w:rFonts w:ascii="Arial" w:hAnsi="Arial"/>
          <w:sz w:val="22"/>
          <w:szCs w:val="22"/>
        </w:rPr>
        <w:t xml:space="preserve"> which underlies a plethora of popular algorithms for predicting the behavior of nucleic acids (Figure 1A).</w:t>
      </w:r>
      <w:r w:rsidR="00986971">
        <w:rPr>
          <w:rFonts w:ascii="Arial" w:hAnsi="Arial"/>
          <w:sz w:val="22"/>
          <w:szCs w:val="22"/>
        </w:rPr>
        <w:fldChar w:fldCharType="begin"/>
      </w:r>
      <w:r w:rsidR="00DB0832">
        <w:rPr>
          <w:rFonts w:ascii="Arial" w:hAnsi="Arial"/>
          <w:sz w:val="22"/>
          <w:szCs w:val="22"/>
        </w:rPr>
        <w:instrText xml:space="preserve"> ADDIN ZOTERO_ITEM CSL_CITATION {"citationID":"DRbjqams","properties":{"formattedCitation":"\\super 9\\uc0\\u8211{}15\\nosupersub{}","plainCitation":"9–15","noteIndex":0},"citationItems":[{"id":125,"uris":["http://zotero.org/users/4485201/items/ALJV9Q6Q"],"itemData":{"id":125,"type":"article-journal","abstract":"The abbreviated name, ‘mfold web server’, describes a number of closely related software applications available on the World Wide Web (WWW) for the prediction of the secondary structure of single stranded nucleic acids. The objective of this web server is to provide easy access to RNA and DNA folding and hybridization software to the scientific community at large. By making use of universally available web GUIs (Graphical User Interfaces), the server circumvents the problem of portability of this software. Detailed output, in the form of structure plots with or without reliability information, single strand frequency plots and ‘energy dot plots’, are available for the folding of single sequences. A variety of ‘bulk’ servers give less information, but in a shorter time and for up to hundreds of sequences at once. The portal for the mfold web server is http://www.bioinfo.rpi.edu/applications/mfold. This URL will be referred to as ‘MFOLDROOT’.","container-title":"Nucleic Acids Research","ISSN":"0305-1048","issue":"13","journalAbbreviation":"Nucleic Acids Res","note":"PMID: 12824337\nPMCID: PMC169194","page":"3406-3415","source":"PubMed Central","title":"Mfold web server for nucleic acid folding and hybridization prediction","volume":"31","author":[{"family":"Zuker","given":"Michael"}],"issued":{"date-parts":[["2003",7,1]]}}},{"id":548,"uris":["http://zotero.org/users/4485201/items/DBUDQ52F"],"itemData":{"id":548,"type":"article-journal","abstract":"Abstract.   The DINAMelt web server simulates the melting of one or two single-stranded nucleic acids in solution. The goal is to predict not just a melting tem","container-title":"Nucleic Acids Research","DOI":"10.1093/nar/gki591","ISSN":"0305-1048","issue":"suppl_2","journalAbbreviation":"Nucleic Acids Res","language":"en","page":"W577-W581","source":"academic.oup.com","title":"DINAMelt web server for nucleic acid melting prediction","volume":"33","author":[{"family":"Markham","given":"Nicholas R."},{"family":"Zuker","given":"Michael"}],"issued":{"date-parts":[["2005",7,1]]}}},{"id":124,"uris":["http://zotero.org/users/4485201/items/WALQE9V5"],"itemData":{"id":124,"type":"article-journal","abstract":"The Vienna RNA Websuite is a comprehensive collection of tools for folding, design and analysis of RNA sequences. It provides a web interface to the most commonly used programs of the Vienna RNA package. Among them, we find folding of single and aligned sequences, prediction of RNA–RNA interactions, and design of sequences with a given structure. Additionally, we provide analysis of folding landscapes using the barriers program and structural RNA alignments using LocARNA. The web server together with software packages for download is freely accessible at http://rna.tbi.univie.ac.at/.","container-title":"Nucleic Acids Research","DOI":"10.1093/nar/gkn188","ISSN":"0305-1048","issue":"Web Server issue","journalAbbreviation":"Nucleic Acids Res","note":"PMID: 18424795\nPMCID: PMC2447809","page":"W70-W74","source":"PubMed Central","title":"The Vienna RNA Websuite","volume":"36","author":[{"family":"Gruber","given":"Andreas R."},{"family":"Lorenz","given":"Ronny"},{"family":"Bernhart","given":"Stephan H."},{"family":"Neuböck","given":"Richard"},{"family":"Hofacker","given":"Ivo L."}],"issued":{"date-parts":[["2008",7,1]]}}},{"id":126,"uris":["http://zotero.org/users/4485201/items/TZP57CUD"],"itemData":{"id":126,"type":"article-journal","abstract":"BACKGROUND: 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sequence.\nRESULTS: RNAstructure is a software package for RNA secondary structure prediction and analysis. It uses thermodynamics and utilizes the most recent set of nearest neighbor parameters from the Turner group. It includes methods for secondary structure prediction (using several algorithms), prediction of base pair probabilities, bimolecular structure prediction, and prediction of a structure common to two sequences. This contribution describes new extensions to the package, including a library of C++ classes for incorporation into other programs, a user-friendly graphical user interface written in JAVA, and new Unix-style text interfaces. The original graphical user interface for Microsoft Windows is still maintained.\nCONCLUSION: The extensions to RNAstructure serve to make RNA secondary structure prediction user-friendly. The package is available for download from the Mathews lab homepage at http://rna.urmc.rochester.edu/RNAstructure.html.","container-title":"BMC bioinformatics","DOI":"10.1186/1471-2105-11-129","ISSN":"1471-2105","journalAbbreviation":"BMC Bioinformatics","language":"eng","note":"PMID: 20230624\nPMCID: PMC2984261","page":"129","source":"PubMed","title":"RNAstructure: software for RNA secondary structure prediction and analysis","title-short":"RNAstructure","volume":"11","author":[{"family":"Reuter","given":"Jessica S."},{"family":"Mathews","given":"David H."}],"issued":{"date-parts":[["2010",3,15]]}}},{"id":2319,"uris":["http://zotero.org/users/4485201/items/H8SXQWSJ"],"itemData":{"id":2319,"type":"article-journal","abstract":"The Nucleic Acid Package (NUPACK) is a growing software suite for the analysis and design of nucleic acid systems. The NUPACK web server (http://www.nupack.org) currently enables: Analysis: thermodynamic analysis of dilute solutions of interacting nucleic acid strands. Design: sequence design for complexes of nucleic acid strands intended to adopt a target secondary structure at equilibrium. Utilities: evaluation, display, and annotation of equilibrium properties of a complex of nucleic acid strands. NUPACK algorithms are formulated in terms of nucleic acid secondary structure. In most cases, pseudoknots are excluded from the structural ensemble. © 2010 Wiley Periodicals, Inc. J Comput Chem, 2010","container-title":"Journal of Computational Chemistry","DOI":"10.1002/jcc.21596","ISSN":"1096-987X","issue":"1","language":"en","note":"_eprint: https://onlinelibrary.wiley.com/doi/pdf/10.1002/jcc.21596","page":"170-173","source":"Wiley Online Library","title":"NUPACK: Analysis and design of nucleic acid systems","title-short":"NUPACK","volume":"32","author":[{"family":"Zadeh","given":"Joseph N."},{"family":"Steenberg","given":"Conrad D."},{"family":"Bois","given":"Justin S."},{"family":"Wolfe","given":"Brian R."},{"family":"Pierce","given":"Marshall B."},{"family":"Khan","given":"Asif R."},{"family":"Dirks","given":"Robert M."},{"family":"Pierce","given":"Niles A."}],"issued":{"date-parts":[["2011"]]}}},{"id":2324,"uris":["http://zotero.org/users/4485201/items/BNRW3EQ7"],"itemData":{"id":2324,"type":"article-journal","abstract":"Choosing appropriate primers is probably the single most important factor affecting the polymerase chain reaction (PCR). Specific amplification of the intended target requires that primers do not have matches to other targets in certain orientations and within certain distances that allow undesired amplification. The process of designing specific primers typically involves two stages. First, the primers flanking regions of interest are generated either manually or using software tools; then they are searched against an appropriate nucleotide sequence database using tools such as BLAST to examine the potential targets. However, the latter is not an easy process as one needs to examine many details between primers and targets, such as the number and the positions of matched bases, the primer orientations and distance between forward and reverse primers. The complexity of such analysis usually makes this a time-consuming and very difficult task for users, especially when the primers have a large number of hits. Furthermore, although the BLAST program has been widely used for primer target detection, it is in fact not an ideal tool for this purpose as BLAST is a local alignment algorithm and does not necessarily return complete match information over the entire primer range.","container-title":"BMC Bioinformatics","DOI":"10.1186/1471-2105-13-134","ISSN":"1471-2105","issue":"1","journalAbbreviation":"BMC Bioinformatics","page":"134","source":"BioMed Central","title":"Primer-BLAST: A tool to design target-specific primers for polymerase chain reaction","title-short":"Primer-BLAST","volume":"13","author":[{"family":"Ye","given":"Jian"},{"family":"Coulouris","given":"George"},{"family":"Zaretskaya","given":"Irena"},{"family":"Cutcutache","given":"Ioana"},{"family":"Rozen","given":"Steve"},{"family":"Madden","given":"Thomas L."}],"issued":{"date-parts":[["2012",6,18]]}}},{"id":2326,"uris":["http://zotero.org/users/4485201/items/H9P7RAPY"],"itemData":{"id":2326,"type":"article-journal","abstract":"Recent development of CRISPR-Cas9 genome editing has enabled highly efficient and versatile manipulation of a variety of organisms and adaptation of the CRISPR-Cas9 system to eukaryotic pathogens has opened new avenues for studying these otherwise hard to manipulate organisms. Here we describe a webtool, Eukaryotic Pathogen gRNA Design Tool (EuPaGDT; available at http://grna.ctegd.uga.edu), which identifies guide RNA (gRNA) in input gene(s) to guide users in arriving at well-informed and appropriate gRNA design for many eukaryotic pathogens. Flexibility in gRNA design, accommodating unique eukaryotic pathogen (gene and genome) attributes and high-throughput gRNA design are the main features that distinguish EuPaGDT from other gRNA design tools. In addition to employing an array of known principles to score and rank gRNAs, EuPaGDT implements an effective on-target search algorithm to identify gRNA targeting multi-gene families, which are highly represented in these pathogens and play important roles in host–pathogen interactions. EuPaGDT also identifies and scores microhomology sequences flanking each gRNA targeted cut-site; these sites are often essential for the microhomology-mediated end joining process used for double-stranded break repair in these organisms. EuPaGDT also assists users in designing single-stranded oligonucleotides for homology directed repair. In batch processing mode, EuPaGDT is able to process genome-scale sequences, enabling preparation of gRNA libraries for large-scale screening projects.,","container-title":"Microbial Genomics","DOI":"10.1099/mgen.0.000033","ISSN":"2057-5858,","issue":"4","note":"publisher: Microbiology Society,","page":"e000033","source":"Microbiology Society Journals","title":"EuPaGDT: a web tool tailored to design CRISPR guide RNAs for eukaryotic pathogens","title-short":"EuPaGDT","volume":"1","author":[{"family":"Peng","given":"Duo"},{"family":"Tarleton","given":"RickYR 2015"}]}}],"schema":"https://github.com/citation-style-language/schema/raw/master/csl-citation.json"} </w:instrText>
      </w:r>
      <w:r w:rsidR="00986971">
        <w:rPr>
          <w:rFonts w:ascii="Arial" w:hAnsi="Arial"/>
          <w:sz w:val="22"/>
          <w:szCs w:val="22"/>
        </w:rPr>
        <w:fldChar w:fldCharType="separate"/>
      </w:r>
      <w:r w:rsidR="00DB0832" w:rsidRPr="00DB0832">
        <w:rPr>
          <w:rFonts w:ascii="Arial" w:hAnsi="Arial" w:cs="Arial"/>
          <w:sz w:val="22"/>
          <w:vertAlign w:val="superscript"/>
        </w:rPr>
        <w:t>9–15</w:t>
      </w:r>
      <w:r w:rsidR="00986971">
        <w:rPr>
          <w:rFonts w:ascii="Arial" w:hAnsi="Arial"/>
          <w:sz w:val="22"/>
          <w:szCs w:val="22"/>
        </w:rPr>
        <w:fldChar w:fldCharType="end"/>
      </w:r>
    </w:p>
    <w:p w14:paraId="72C6142D" w14:textId="0126901F" w:rsidR="008E1C51" w:rsidRDefault="00000000" w:rsidP="008D55AE">
      <w:pPr>
        <w:spacing w:after="120" w:line="480" w:lineRule="auto"/>
        <w:jc w:val="both"/>
      </w:pPr>
      <w:r>
        <w:rPr>
          <w:rFonts w:ascii="Arial" w:hAnsi="Arial"/>
          <w:sz w:val="22"/>
          <w:szCs w:val="22"/>
        </w:rPr>
        <w:t xml:space="preserve">Extraction of thermodynamic parameters from raw melting data requires many preprocessing, regression, and error analysis steps, which can be difficult to achieve </w:t>
      </w:r>
      <w:r w:rsidR="00986971">
        <w:rPr>
          <w:rFonts w:ascii="Arial" w:hAnsi="Arial"/>
          <w:sz w:val="22"/>
          <w:szCs w:val="22"/>
        </w:rPr>
        <w:t xml:space="preserve">manually </w:t>
      </w:r>
      <w:r>
        <w:rPr>
          <w:rFonts w:ascii="Arial" w:hAnsi="Arial"/>
          <w:sz w:val="22"/>
          <w:szCs w:val="22"/>
        </w:rPr>
        <w:t>on a large scale (Figure 1B).</w:t>
      </w:r>
      <w:r w:rsidR="0084490E">
        <w:rPr>
          <w:rFonts w:ascii="Arial" w:hAnsi="Arial"/>
          <w:sz w:val="22"/>
          <w:szCs w:val="22"/>
        </w:rPr>
        <w:fldChar w:fldCharType="begin"/>
      </w:r>
      <w:r w:rsidR="0084490E">
        <w:rPr>
          <w:rFonts w:ascii="Arial" w:hAnsi="Arial"/>
          <w:sz w:val="22"/>
          <w:szCs w:val="22"/>
        </w:rPr>
        <w:instrText xml:space="preserve"> ADDIN ZOTERO_ITEM CSL_CITATION {"citationID":"SGlGhipQ","properties":{"formattedCitation":"\\super 16\\nosupersub{}","plainCitation":"16","noteIndex":0},"citationItems":[{"id":2330,"uris":["http://zotero.org/users/4485201/items/RF73MNZX"],"itemData":{"id":2330,"type":"article-journal","abstract":"The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16</w:t>
      </w:r>
      <w:r w:rsidR="0084490E">
        <w:rPr>
          <w:rFonts w:ascii="Arial" w:hAnsi="Arial"/>
          <w:sz w:val="22"/>
          <w:szCs w:val="22"/>
        </w:rPr>
        <w:fldChar w:fldCharType="end"/>
      </w:r>
      <w:r>
        <w:rPr>
          <w:rFonts w:ascii="Arial" w:hAnsi="Arial"/>
          <w:sz w:val="22"/>
          <w:szCs w:val="22"/>
        </w:rPr>
        <w:t xml:space="preserve"> The program </w:t>
      </w:r>
      <w:r w:rsidRPr="008D591B">
        <w:rPr>
          <w:rFonts w:ascii="Arial" w:hAnsi="Arial"/>
          <w:i/>
          <w:iCs/>
          <w:sz w:val="22"/>
          <w:szCs w:val="22"/>
        </w:rPr>
        <w:t>MeltWin</w:t>
      </w:r>
      <w:r>
        <w:rPr>
          <w:rFonts w:ascii="Arial" w:hAnsi="Arial"/>
          <w:sz w:val="22"/>
          <w:szCs w:val="22"/>
        </w:rPr>
        <w:t>,</w:t>
      </w:r>
      <w:r w:rsidR="0084490E">
        <w:rPr>
          <w:rFonts w:ascii="Arial" w:hAnsi="Arial"/>
          <w:sz w:val="22"/>
          <w:szCs w:val="22"/>
        </w:rPr>
        <w:fldChar w:fldCharType="begin"/>
      </w:r>
      <w:r w:rsidR="0084490E">
        <w:rPr>
          <w:rFonts w:ascii="Arial" w:hAnsi="Arial"/>
          <w:sz w:val="22"/>
          <w:szCs w:val="22"/>
        </w:rPr>
        <w:instrText xml:space="preserve"> ADDIN ZOTERO_ITEM CSL_CITATION {"citationID":"WLA5PENq","properties":{"formattedCitation":"\\super 17\\nosupersub{}","plainCitation":"17","noteIndex":0},"citationItems":[{"id":385,"uris":["http://zotero.org/users/4485201/items/BJR9Q4GA"],"itemData":{"id":385,"type":"article-journal","container-title":"Biochemistry","DOI":"10.1021/bi9615710","ISSN":"0006-2960,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17</w:t>
      </w:r>
      <w:r w:rsidR="0084490E">
        <w:rPr>
          <w:rFonts w:ascii="Arial" w:hAnsi="Arial"/>
          <w:sz w:val="22"/>
          <w:szCs w:val="22"/>
        </w:rPr>
        <w:fldChar w:fldCharType="end"/>
      </w:r>
      <w:r>
        <w:rPr>
          <w:rFonts w:ascii="Arial" w:hAnsi="Arial"/>
          <w:sz w:val="22"/>
          <w:szCs w:val="22"/>
        </w:rPr>
        <w:t xml:space="preserve"> introduced in 1996, provided researchers with a consistent and facile data analysis, which underlies the </w:t>
      </w:r>
      <w:r w:rsidR="00DB0832">
        <w:rPr>
          <w:rFonts w:ascii="Arial" w:hAnsi="Arial"/>
          <w:sz w:val="22"/>
          <w:szCs w:val="22"/>
        </w:rPr>
        <w:t>aforementioned</w:t>
      </w:r>
      <w:r>
        <w:rPr>
          <w:rFonts w:ascii="Arial" w:hAnsi="Arial"/>
          <w:sz w:val="22"/>
          <w:szCs w:val="22"/>
        </w:rPr>
        <w:t xml:space="preserve"> thermodynamic characterization of nucleic acid structure. While the current characterization of nucleic acid structure in many environments</w:t>
      </w:r>
      <w:r w:rsidR="0084490E">
        <w:rPr>
          <w:rFonts w:ascii="Arial" w:hAnsi="Arial"/>
          <w:sz w:val="22"/>
          <w:szCs w:val="22"/>
        </w:rPr>
        <w:t xml:space="preserve"> is extensive</w:t>
      </w:r>
      <w:r>
        <w:rPr>
          <w:rFonts w:ascii="Arial" w:hAnsi="Arial"/>
          <w:sz w:val="22"/>
          <w:szCs w:val="22"/>
        </w:rPr>
        <w:t>, in particular RNA secondary structure in 1 M NaCl,</w:t>
      </w:r>
      <w:r w:rsidR="0084490E">
        <w:rPr>
          <w:rFonts w:ascii="Arial" w:hAnsi="Arial"/>
          <w:sz w:val="22"/>
          <w:szCs w:val="22"/>
        </w:rPr>
        <w:fldChar w:fldCharType="begin"/>
      </w:r>
      <w:r w:rsidR="0084490E">
        <w:rPr>
          <w:rFonts w:ascii="Arial" w:hAnsi="Arial"/>
          <w:sz w:val="22"/>
          <w:szCs w:val="22"/>
        </w:rPr>
        <w:instrText xml:space="preserve"> ADDIN ZOTERO_ITEM CSL_CITATION {"citationID":"mzpckSrO","properties":{"formattedCitation":"\\super 8\\nosupersub{}","plainCitation":"8","noteIndex":0},"citationItems":[{"id":129,"uris":["http://zotero.org/users/4485201/items/9MJZ66JQ"],"itemData":{"id":129,"type":"article-journal","abstract":"The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Research","DOI":"10.1093/nar/gkp892","ISSN":"0305-1048","issue":"Database issue","journalAbbreviation":"Nucleic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8</w:t>
      </w:r>
      <w:r w:rsidR="0084490E">
        <w:rPr>
          <w:rFonts w:ascii="Arial" w:hAnsi="Arial"/>
          <w:sz w:val="22"/>
          <w:szCs w:val="22"/>
        </w:rPr>
        <w:fldChar w:fldCharType="end"/>
      </w:r>
      <w:r>
        <w:rPr>
          <w:rFonts w:ascii="Arial" w:hAnsi="Arial"/>
          <w:sz w:val="22"/>
          <w:szCs w:val="22"/>
        </w:rPr>
        <w:t xml:space="preserve"> a lot of questions remain. In particular, the thermodynamic contribution of the cellular environment</w:t>
      </w:r>
      <w:r w:rsidR="0084490E">
        <w:rPr>
          <w:rFonts w:ascii="Arial" w:hAnsi="Arial"/>
          <w:sz w:val="22"/>
          <w:szCs w:val="22"/>
        </w:rPr>
        <w:fldChar w:fldCharType="begin"/>
      </w:r>
      <w:r w:rsidR="0084490E">
        <w:rPr>
          <w:rFonts w:ascii="Arial" w:hAnsi="Arial"/>
          <w:sz w:val="22"/>
          <w:szCs w:val="22"/>
        </w:rPr>
        <w:instrText xml:space="preserve"> ADDIN ZOTERO_ITEM CSL_CITATION {"citationID":"8iDIvA3J","properties":{"formattedCitation":"\\super 18,19\\nosupersub{}","plainCitation":"18,19","noteIndex":0},"citationItems":[{"id":396,"uris":["http://zotero.org/users/4485201/items/B5EGUTAK"],"itemData":{"id":396,"type":"article-journal","abstract":"The intracellular environment is crowded and heterogeneous. Although the thermodynamic stability of nucleic acid duplexes is predictable in dilute solutions, methods of predicting such stability under specific intracellular conditions are not yet available. We recently showed that the nearest-neighbor model for self-complementary DNA is valid under molecular crowding condition of 40% polyethylene glycol with an average molecular weight of 200 (PEG 200) in 100 mM NaCl. Here, we determined nearest-neighbor parameters for DNA duplex formation under the same crowding condition to predict the thermodynamics of DNA duplexes in the intracellular environment. Preferential hydration of the nucleotides was found to be the key factor for nearest-neighbor parameters in the crowding condition. The determined parameters were shown to predict the thermodynamic parameters (∆H°, ∆S°, and ∆G°37) and melting temperatures (Tm) of the DNA duplexes in the crowding condition with significant accuracy. Moreover, we proposed a general method for predicting the stability of short DNA duplexes in different cosolutes based on the relationship between duplex stability and the water activity of the cosolute solution. The method described herein would be valuable for investigating biological processes that occur under specific intracellular crowded conditions and for the application of DNA-based biotechnologies in crowded environments.","container-title":"Proceedings of the National Academy of Sciences","DOI":"10.1073/pnas.1920886117","ISSN":"0027-8424, 1091-6490","issue":"25","journalAbbreviation":"PNAS","language":"en","license":"© 2020 . https://www.pnas.org/site/aboutpnas/licenses.xhtmlPublished under the PNAS license.","note":"ISBN: 9781920886110\npublisher: National Academy of Sciences\nsection: Biological Sciences\nPMID: 32522884","page":"14194-14201","source":"www.pnas.org","title":"Nearest-neighbor parameters for predicting DNA duplex stability in diverse molecular crowding conditions","volume":"117","author":[{"family":"Ghosh","given":"Saptarshi"},{"family":"Takahashi","given":"Shuntaro"},{"family":"Ohyama","given":"Tatsuya"},{"family":"Endoh","given":"Tamaki"},{"family":"Tateishi-Karimata","given":"Hisae"},{"family":"Sugimoto","given":"Naoki"}],"issued":{"date-parts":[["2020",6,23]]}}},{"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84490E">
        <w:rPr>
          <w:rFonts w:ascii="Cambria Math" w:hAnsi="Cambria Math" w:cs="Cambria Math"/>
          <w:sz w:val="22"/>
          <w:szCs w:val="22"/>
        </w:rPr>
        <w:instrText>∼</w:instrText>
      </w:r>
      <w:r w:rsidR="0084490E">
        <w:rPr>
          <w:rFonts w:ascii="Arial" w:hAnsi="Arial"/>
          <w:sz w:val="22"/>
          <w:szCs w:val="22"/>
        </w:rPr>
        <w:instrText xml:space="preserve">0.65 kcal/mol closer to experimental </w:instrText>
      </w:r>
      <w:r w:rsidR="0084490E">
        <w:rPr>
          <w:rFonts w:ascii="Arial" w:hAnsi="Arial" w:cs="Arial"/>
          <w:sz w:val="22"/>
          <w:szCs w:val="22"/>
        </w:rPr>
        <w:instrText>Δ</w:instrText>
      </w:r>
      <w:r w:rsidR="0084490E">
        <w:rPr>
          <w:rFonts w:ascii="Arial" w:hAnsi="Arial"/>
          <w:sz w:val="22"/>
          <w:szCs w:val="22"/>
        </w:rPr>
        <w:instrText>G</w:instrText>
      </w:r>
      <w:r w:rsidR="0084490E">
        <w:rPr>
          <w:rFonts w:ascii="Arial" w:hAnsi="Arial" w:cs="Arial"/>
          <w:sz w:val="22"/>
          <w:szCs w:val="22"/>
        </w:rPr>
        <w:instrText>°</w:instrText>
      </w:r>
      <w:r w:rsidR="0084490E">
        <w:rPr>
          <w:rFonts w:ascii="Arial" w:hAnsi="Arial"/>
          <w:sz w:val="22"/>
          <w:szCs w:val="22"/>
        </w:rPr>
        <w:instrText xml:space="preserve">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18,19</w:t>
      </w:r>
      <w:r w:rsidR="0084490E">
        <w:rPr>
          <w:rFonts w:ascii="Arial" w:hAnsi="Arial"/>
          <w:sz w:val="22"/>
          <w:szCs w:val="22"/>
        </w:rPr>
        <w:fldChar w:fldCharType="end"/>
      </w:r>
      <w:r>
        <w:rPr>
          <w:rFonts w:ascii="Arial" w:hAnsi="Arial"/>
          <w:sz w:val="22"/>
          <w:szCs w:val="22"/>
        </w:rPr>
        <w:t xml:space="preserve"> and </w:t>
      </w:r>
      <w:r w:rsidR="00DB0832">
        <w:rPr>
          <w:rFonts w:ascii="Arial" w:hAnsi="Arial"/>
          <w:sz w:val="22"/>
          <w:szCs w:val="22"/>
        </w:rPr>
        <w:t>naturally</w:t>
      </w:r>
      <w:r>
        <w:rPr>
          <w:rFonts w:ascii="Arial" w:hAnsi="Arial"/>
          <w:sz w:val="22"/>
          <w:szCs w:val="22"/>
        </w:rPr>
        <w:t>-modified nucleotides</w:t>
      </w:r>
      <w:r w:rsidR="00230DBA">
        <w:rPr>
          <w:rFonts w:ascii="Arial" w:hAnsi="Arial"/>
          <w:sz w:val="22"/>
          <w:szCs w:val="22"/>
        </w:rPr>
        <w:fldChar w:fldCharType="begin"/>
      </w:r>
      <w:r w:rsidR="00230DBA">
        <w:rPr>
          <w:rFonts w:ascii="Arial" w:hAnsi="Arial"/>
          <w:sz w:val="22"/>
          <w:szCs w:val="22"/>
        </w:rPr>
        <w:instrText xml:space="preserve"> ADDIN ZOTERO_ITEM CSL_CITATION {"citationID":"aE50Yhib","properties":{"formattedCitation":"\\super 20\\nosupersub{}","plainCitation":"20","noteIndex":0},"citationItems":[{"id":2334,"uris":["http://zotero.org/users/4485201/items/A7CMKXL5"],"itemData":{"id":2334,"type":"article-journal","abstract":"The most popular RNA secondary structure prediction programs utilize free energy (ΔG°37) minimization and rely upon thermodynamic parameters from the nearest neighbor (NN) model. Experimental parameters are derived from a series of optical melting experiments; however, acquiring enough melt data to derive accurate NN parameters with modified base pairs is expensive and time consuming. Given the multitude of known natural modifications and the continuing use and development of unnatural nucleotides, experimentally characterizing all modified NNs is impractical. This dilemma necessitates a computational model that can predict NN thermodynamics where experimental data is scarce or absent. Here, we present a combined molecular dynamics/quantum mechanics protocol that accurately predicts experimental NN ΔG°37 parameters for modified nucleotides with neighboring Watson–Crick base pairs. NN predictions for Watson-Crick and modified base pairs yielded an overall RMSD of 0.32 kcal/mol when compared with experimentally derived parameters. NN predictions involving modified bases without experimental parameters (N6-methyladenosine, 2-aminopurineriboside, and 5-methylcytidine) demonstrated promising agreement with available experimental melt data. This procedure not only yields accurate NN ΔG°37 predictions but also quantifies stacking and hydrogen bonding differences between modified NNs and their canonical counterparts, allowing investigators to identify energetic differences and providing insight into sources of (de)stabilization from nucleotide modifications.","container-title":"Nucleic Acids Research","DOI":"10.1093/nar/gkaa654","ISSN":"0305-1048","issue":"16","journalAbbreviation":"Nucleic Acids Research","page":"8901-8913","source":"Silverchair","title":"Predictions and analyses of RNA nearest neighbor parameters for modified nucleotides","volume":"48","author":[{"family":"Hopfinger","given":"Melissa C"},{"family":"Kirkpatrick","given":"Charles C"},{"family":"Znosko","given":"Brent M"}],"issued":{"date-parts":[["2020",9,18]]}}}],"schema":"https://github.com/citation-style-language/schema/raw/master/csl-citation.json"} </w:instrText>
      </w:r>
      <w:r w:rsidR="00230DBA">
        <w:rPr>
          <w:rFonts w:ascii="Arial" w:hAnsi="Arial"/>
          <w:sz w:val="22"/>
          <w:szCs w:val="22"/>
        </w:rPr>
        <w:fldChar w:fldCharType="separate"/>
      </w:r>
      <w:r w:rsidR="00230DBA" w:rsidRPr="00230DBA">
        <w:rPr>
          <w:rFonts w:ascii="Arial" w:hAnsi="Arial" w:cs="Arial"/>
          <w:sz w:val="22"/>
          <w:vertAlign w:val="superscript"/>
        </w:rPr>
        <w:t>20</w:t>
      </w:r>
      <w:r w:rsidR="00230DBA">
        <w:rPr>
          <w:rFonts w:ascii="Arial" w:hAnsi="Arial"/>
          <w:sz w:val="22"/>
          <w:szCs w:val="22"/>
        </w:rPr>
        <w:fldChar w:fldCharType="end"/>
      </w:r>
      <w:r>
        <w:rPr>
          <w:rFonts w:ascii="Arial" w:hAnsi="Arial"/>
          <w:sz w:val="22"/>
          <w:szCs w:val="22"/>
        </w:rPr>
        <w:t xml:space="preserve"> are areas of active research. Unfortunately, </w:t>
      </w:r>
      <w:r w:rsidRPr="008D591B">
        <w:rPr>
          <w:rFonts w:ascii="Arial" w:hAnsi="Arial"/>
          <w:i/>
          <w:iCs/>
          <w:sz w:val="22"/>
          <w:szCs w:val="22"/>
        </w:rPr>
        <w:t>Meltwin</w:t>
      </w:r>
      <w:r>
        <w:rPr>
          <w:rFonts w:ascii="Arial" w:hAnsi="Arial"/>
          <w:sz w:val="22"/>
          <w:szCs w:val="22"/>
        </w:rPr>
        <w:t xml:space="preserve"> is no-longer maintained, has non-transparent algorithms, and relies on idiosyncratic choices by the user to process data.</w:t>
      </w:r>
    </w:p>
    <w:p w14:paraId="3400E8C7" w14:textId="71D8529E" w:rsidR="008E1C51" w:rsidRDefault="0084490E" w:rsidP="008D55AE">
      <w:pPr>
        <w:spacing w:after="120" w:line="480" w:lineRule="auto"/>
        <w:jc w:val="both"/>
      </w:pPr>
      <w:r>
        <w:rPr>
          <w:rFonts w:ascii="Arial" w:hAnsi="Arial"/>
          <w:sz w:val="22"/>
          <w:szCs w:val="22"/>
        </w:rPr>
        <w:t>Her</w:t>
      </w:r>
      <w:r w:rsidR="00230DBA">
        <w:rPr>
          <w:rFonts w:ascii="Arial" w:hAnsi="Arial"/>
          <w:sz w:val="22"/>
          <w:szCs w:val="22"/>
        </w:rPr>
        <w:t>e</w:t>
      </w:r>
      <w:r>
        <w:rPr>
          <w:rFonts w:ascii="Arial" w:hAnsi="Arial"/>
          <w:sz w:val="22"/>
          <w:szCs w:val="22"/>
        </w:rPr>
        <w:t xml:space="preserve">in, we introduce </w:t>
      </w:r>
      <w:r w:rsidRPr="008D591B">
        <w:rPr>
          <w:rFonts w:ascii="Arial" w:hAnsi="Arial"/>
          <w:i/>
          <w:iCs/>
          <w:sz w:val="22"/>
          <w:szCs w:val="22"/>
        </w:rPr>
        <w:t>MeltR</w:t>
      </w:r>
      <w:r>
        <w:rPr>
          <w:rFonts w:ascii="Arial" w:hAnsi="Arial"/>
          <w:sz w:val="22"/>
          <w:szCs w:val="22"/>
        </w:rPr>
        <w:t xml:space="preserve">: an </w:t>
      </w:r>
      <w:r w:rsidR="00230DBA">
        <w:rPr>
          <w:rFonts w:ascii="Arial" w:hAnsi="Arial"/>
          <w:sz w:val="22"/>
          <w:szCs w:val="22"/>
        </w:rPr>
        <w:t>open-source</w:t>
      </w:r>
      <w:r>
        <w:rPr>
          <w:rFonts w:ascii="Arial" w:hAnsi="Arial"/>
          <w:sz w:val="22"/>
          <w:szCs w:val="22"/>
        </w:rPr>
        <w:t xml:space="preserve"> package in the popular R programming language</w:t>
      </w:r>
      <w:r w:rsidR="00D012D8">
        <w:rPr>
          <w:rFonts w:ascii="Arial" w:hAnsi="Arial"/>
          <w:sz w:val="22"/>
          <w:szCs w:val="22"/>
        </w:rPr>
        <w:t xml:space="preserve"> </w:t>
      </w:r>
      <w:r w:rsidR="00D012D8" w:rsidRPr="00D012D8">
        <w:rPr>
          <w:rStyle w:val="Hyperlink"/>
          <w:color w:val="auto"/>
        </w:rPr>
        <w:t>(</w:t>
      </w:r>
      <w:hyperlink r:id="rId6" w:history="1">
        <w:r w:rsidR="00D012D8" w:rsidRPr="00D012D8">
          <w:rPr>
            <w:rStyle w:val="Hyperlink"/>
            <w:rFonts w:ascii="Arial" w:hAnsi="Arial"/>
            <w:color w:val="auto"/>
            <w:sz w:val="22"/>
            <w:szCs w:val="22"/>
          </w:rPr>
          <w:t>https://www.R-project.org/</w:t>
        </w:r>
      </w:hyperlink>
      <w:r w:rsidR="00D012D8" w:rsidRPr="00D012D8">
        <w:rPr>
          <w:rStyle w:val="Hyperlink"/>
          <w:rFonts w:ascii="Arial" w:hAnsi="Arial"/>
          <w:color w:val="auto"/>
          <w:sz w:val="22"/>
          <w:szCs w:val="22"/>
        </w:rPr>
        <w:t>)</w:t>
      </w:r>
      <w:r>
        <w:rPr>
          <w:rFonts w:ascii="Arial" w:hAnsi="Arial"/>
          <w:sz w:val="22"/>
          <w:szCs w:val="22"/>
        </w:rPr>
        <w:t xml:space="preserve"> that provides facile conversion of raw data to thermodynamic parameters. </w:t>
      </w:r>
      <w:r w:rsidRPr="008D591B">
        <w:rPr>
          <w:rFonts w:ascii="Arial" w:hAnsi="Arial"/>
          <w:i/>
          <w:iCs/>
          <w:sz w:val="22"/>
          <w:szCs w:val="22"/>
        </w:rPr>
        <w:t>MeltR</w:t>
      </w:r>
      <w:r>
        <w:rPr>
          <w:rFonts w:ascii="Arial" w:hAnsi="Arial"/>
          <w:sz w:val="22"/>
          <w:szCs w:val="22"/>
        </w:rPr>
        <w:t xml:space="preserve"> provides fitting protocols for fluorescence binding isotherms (previously reported)</w:t>
      </w:r>
      <w:r w:rsidR="00D012D8">
        <w:rPr>
          <w:rFonts w:ascii="Arial" w:hAnsi="Arial"/>
          <w:sz w:val="22"/>
          <w:szCs w:val="22"/>
        </w:rPr>
        <w:fldChar w:fldCharType="begin"/>
      </w:r>
      <w:r w:rsidR="00D012D8">
        <w:rPr>
          <w:rFonts w:ascii="Arial" w:hAnsi="Arial"/>
          <w:sz w:val="22"/>
          <w:szCs w:val="22"/>
        </w:rPr>
        <w:instrText xml:space="preserve"> ADDIN ZOTERO_ITEM CSL_CITATION {"citationID":"UfbC72PV","properties":{"formattedCitation":"\\super 21\\nosupersub{}","plainCitation":"21","noteIndex":0},"citationItems":[{"id":2308,"uris":["http://zotero.org/users/4485201/items/XX4469Y4"],"itemData":{"id":2308,"type":"article-journal","abstract":"We examined the complex network of interactions among RNA, the metabolome, and divalent Mg2+ under conditions that mimic the Escherichia coli cytoplasm. We determined Mg2+ binding constants for the top 15 E. coli metabolites, comprising 80% of the metabolome by concentration at physiological pH and monovalent ion concentrations. These data were used to inform the development of an artificial cytoplasm that mimics in vivo E. coli conditions, which we term “Eco80”. We empirically determined that the mixture of E. coli metabolites in Eco80 approximated single-site binding behavior toward Mg2+ in the biologically relevant free Mg2+ range of </w:instrText>
      </w:r>
      <w:r w:rsidR="00D012D8">
        <w:rPr>
          <w:rFonts w:ascii="Cambria Math" w:hAnsi="Cambria Math" w:cs="Cambria Math"/>
          <w:sz w:val="22"/>
          <w:szCs w:val="22"/>
        </w:rPr>
        <w:instrText>∼</w:instrText>
      </w:r>
      <w:r w:rsidR="00D012D8">
        <w:rPr>
          <w:rFonts w:ascii="Arial" w:hAnsi="Arial"/>
          <w:sz w:val="22"/>
          <w:szCs w:val="22"/>
        </w:rPr>
        <w:instrText xml:space="preserve">0.5 to 3 mM Mg2+, using a Mg2+-sensitive fluorescent dye. Effects of Eco80 conditions on the thermodynamic stability, chemical stability, structure, and catalysis of RNA were examined. We found that Eco80 conditions lead to opposing effects on the thermodynamic and chemical stabilities of RNA. In particular, the thermodynamic stability of RNA helices was weakened by 0.69 ± 0.12 kcal/mol, while the chemical stability was enhanced </w:instrText>
      </w:r>
      <w:r w:rsidR="00D012D8">
        <w:rPr>
          <w:rFonts w:ascii="Cambria Math" w:hAnsi="Cambria Math" w:cs="Cambria Math"/>
          <w:sz w:val="22"/>
          <w:szCs w:val="22"/>
        </w:rPr>
        <w:instrText>∼</w:instrText>
      </w:r>
      <w:r w:rsidR="00D012D8">
        <w:rPr>
          <w:rFonts w:ascii="Arial" w:hAnsi="Arial"/>
          <w:sz w:val="22"/>
          <w:szCs w:val="22"/>
        </w:rPr>
        <w:instrText>2-fold, which can be understood using the speciation of Mg2+ between weak and strong Mg2+</w:instrText>
      </w:r>
      <w:r w:rsidR="00D012D8">
        <w:rPr>
          <w:rFonts w:ascii="Arial" w:hAnsi="Arial" w:cs="Arial"/>
          <w:sz w:val="22"/>
          <w:szCs w:val="22"/>
        </w:rPr>
        <w:instrText>–</w:instrText>
      </w:r>
      <w:r w:rsidR="00D012D8">
        <w:rPr>
          <w:rFonts w:ascii="Arial" w:hAnsi="Arial"/>
          <w:sz w:val="22"/>
          <w:szCs w:val="22"/>
        </w:rPr>
        <w:instrText xml:space="preserve">metabolite complexes in Eco80. Overall, the use of Eco80 reflects RNA function in vivo and enhances the biological relevance of mechanistic studies of RNA.","container-title":"Biochemistry","DOI":"10.1021/acs.biochem.2c00488","ISSN":"0006-2960","journalAbbreviation":"Biochemistry","note":"publisher: American Chemical Society","source":"ACS Publications","title":"The Metabolome Weakens RNA Thermodynamic Stability and Strengthens RNA Chemical Stability","URL":"https://doi.org/10.1021/acs.biochem.2c00488","author":[{"family":"Sieg","given":"Jacob P."},{"family":"McKinley","given":"Lauren N."},{"family":"Huot","given":"Melanie J."},{"family":"Yennawar","given":"Neela H."},{"family":"Bevilacqua","given":"Philip C."}],"accessed":{"date-parts":[["2022",10,31]]},"issued":{"date-parts":[["2022",10,28]]}}}],"schema":"https://github.com/citation-style-language/schema/raw/master/csl-citation.json"} </w:instrText>
      </w:r>
      <w:r w:rsidR="00D012D8">
        <w:rPr>
          <w:rFonts w:ascii="Arial" w:hAnsi="Arial"/>
          <w:sz w:val="22"/>
          <w:szCs w:val="22"/>
        </w:rPr>
        <w:fldChar w:fldCharType="separate"/>
      </w:r>
      <w:r w:rsidR="00D012D8" w:rsidRPr="00D012D8">
        <w:rPr>
          <w:rFonts w:ascii="Arial" w:hAnsi="Arial" w:cs="Arial"/>
          <w:sz w:val="22"/>
          <w:vertAlign w:val="superscript"/>
        </w:rPr>
        <w:t>21</w:t>
      </w:r>
      <w:r w:rsidR="00D012D8">
        <w:rPr>
          <w:rFonts w:ascii="Arial" w:hAnsi="Arial"/>
          <w:sz w:val="22"/>
          <w:szCs w:val="22"/>
        </w:rPr>
        <w:fldChar w:fldCharType="end"/>
      </w:r>
      <w:r>
        <w:rPr>
          <w:rFonts w:ascii="Arial" w:hAnsi="Arial"/>
          <w:sz w:val="22"/>
          <w:szCs w:val="22"/>
        </w:rPr>
        <w:t xml:space="preserve"> and melting curves similar to </w:t>
      </w:r>
      <w:r w:rsidRPr="008D591B">
        <w:rPr>
          <w:rFonts w:ascii="Arial" w:hAnsi="Arial"/>
          <w:i/>
          <w:iCs/>
          <w:sz w:val="22"/>
          <w:szCs w:val="22"/>
        </w:rPr>
        <w:t>MeltWin</w:t>
      </w:r>
      <w:r>
        <w:rPr>
          <w:rFonts w:ascii="Arial" w:hAnsi="Arial"/>
          <w:sz w:val="22"/>
          <w:szCs w:val="22"/>
        </w:rPr>
        <w:t xml:space="preserve">. Herein, we describe the application of </w:t>
      </w:r>
      <w:r w:rsidRPr="008D591B">
        <w:rPr>
          <w:rFonts w:ascii="Arial" w:hAnsi="Arial"/>
          <w:i/>
          <w:iCs/>
          <w:sz w:val="22"/>
          <w:szCs w:val="22"/>
        </w:rPr>
        <w:t>MeltR</w:t>
      </w:r>
      <w:r>
        <w:rPr>
          <w:rFonts w:ascii="Arial" w:hAnsi="Arial"/>
          <w:sz w:val="22"/>
          <w:szCs w:val="22"/>
        </w:rPr>
        <w:t xml:space="preserve"> for fitting UV-detected absorbance melting curves of RNA, describe unique features to automate data processing not provided by </w:t>
      </w:r>
      <w:r w:rsidRPr="008D591B">
        <w:rPr>
          <w:rFonts w:ascii="Arial" w:hAnsi="Arial"/>
          <w:i/>
          <w:iCs/>
          <w:sz w:val="22"/>
          <w:szCs w:val="22"/>
        </w:rPr>
        <w:t>MeltWin</w:t>
      </w:r>
      <w:r>
        <w:rPr>
          <w:rFonts w:ascii="Arial" w:hAnsi="Arial"/>
          <w:sz w:val="22"/>
          <w:szCs w:val="22"/>
        </w:rPr>
        <w:t>, and benchmark the accuracy of MeltR on real and modeled data.</w:t>
      </w:r>
    </w:p>
    <w:p w14:paraId="21EED976" w14:textId="012448F1" w:rsidR="008E1C51" w:rsidRDefault="00000000" w:rsidP="008D55AE">
      <w:pPr>
        <w:spacing w:after="120" w:line="480" w:lineRule="auto"/>
        <w:jc w:val="both"/>
      </w:pPr>
      <w:r>
        <w:rPr>
          <w:rFonts w:ascii="Arial" w:hAnsi="Arial"/>
          <w:sz w:val="22"/>
          <w:szCs w:val="22"/>
        </w:rPr>
        <w:t xml:space="preserve">Using </w:t>
      </w:r>
      <w:r w:rsidRPr="008D591B">
        <w:rPr>
          <w:rFonts w:ascii="Arial" w:hAnsi="Arial"/>
          <w:i/>
          <w:iCs/>
          <w:sz w:val="22"/>
          <w:szCs w:val="22"/>
        </w:rPr>
        <w:t>MeltR</w:t>
      </w:r>
      <w:r>
        <w:rPr>
          <w:rFonts w:ascii="Arial" w:hAnsi="Arial"/>
          <w:sz w:val="22"/>
          <w:szCs w:val="22"/>
        </w:rPr>
        <w:t xml:space="preserve"> requires a </w:t>
      </w:r>
      <w:r w:rsidR="00230DBA">
        <w:rPr>
          <w:rFonts w:ascii="Arial" w:hAnsi="Arial"/>
          <w:sz w:val="22"/>
          <w:szCs w:val="22"/>
        </w:rPr>
        <w:t>little</w:t>
      </w:r>
      <w:r>
        <w:rPr>
          <w:rFonts w:ascii="Arial" w:hAnsi="Arial"/>
          <w:sz w:val="22"/>
          <w:szCs w:val="22"/>
        </w:rPr>
        <w:t xml:space="preserve"> knowledge of the R programming language. This knowledge is easily picked up from the help provided at </w:t>
      </w:r>
      <w:hyperlink r:id="rId7">
        <w:r>
          <w:rPr>
            <w:rStyle w:val="Hyperlink"/>
            <w:rFonts w:ascii="Arial" w:hAnsi="Arial"/>
            <w:color w:val="auto"/>
            <w:sz w:val="22"/>
            <w:szCs w:val="22"/>
          </w:rPr>
          <w:t>https://github.com/JPSieg/MeltR</w:t>
        </w:r>
      </w:hyperlink>
      <w:r>
        <w:rPr>
          <w:rFonts w:ascii="Arial" w:hAnsi="Arial"/>
          <w:sz w:val="22"/>
          <w:szCs w:val="22"/>
        </w:rPr>
        <w:t>. A small number of R specific words that are helpful for the reader of this paper are underlined and definitions are provided at the end of the text.</w:t>
      </w:r>
    </w:p>
    <w:p w14:paraId="63193C10" w14:textId="77777777" w:rsidR="008E1C51" w:rsidRDefault="00000000" w:rsidP="00814CB6">
      <w:pPr>
        <w:pStyle w:val="Heading1"/>
      </w:pPr>
      <w:r>
        <w:lastRenderedPageBreak/>
        <w:t>Results</w:t>
      </w:r>
    </w:p>
    <w:p w14:paraId="5A22147E" w14:textId="77777777" w:rsidR="008E1C51" w:rsidRDefault="00000000" w:rsidP="00814CB6">
      <w:pPr>
        <w:pStyle w:val="Heading2"/>
      </w:pPr>
      <w:r>
        <w:t>Facile fitting of raw absorbance data with meltR.A</w:t>
      </w:r>
    </w:p>
    <w:p w14:paraId="68790814" w14:textId="74D80FD9" w:rsidR="008E1C51" w:rsidRDefault="00000000" w:rsidP="008D55AE">
      <w:pPr>
        <w:spacing w:after="120" w:line="480" w:lineRule="auto"/>
        <w:jc w:val="both"/>
      </w:pPr>
      <w:r w:rsidRPr="008D591B">
        <w:rPr>
          <w:rFonts w:ascii="Arial" w:hAnsi="Arial"/>
          <w:i/>
          <w:iCs/>
          <w:sz w:val="22"/>
          <w:szCs w:val="22"/>
        </w:rPr>
        <w:t>MeltR</w:t>
      </w:r>
      <w:r>
        <w:rPr>
          <w:rFonts w:ascii="Arial" w:hAnsi="Arial"/>
          <w:sz w:val="22"/>
          <w:szCs w:val="22"/>
        </w:rPr>
        <w:t xml:space="preserve"> includes the </w:t>
      </w:r>
      <w:r>
        <w:rPr>
          <w:rFonts w:ascii="Arial" w:hAnsi="Arial"/>
          <w:sz w:val="22"/>
          <w:szCs w:val="22"/>
          <w:u w:val="single"/>
        </w:rPr>
        <w:t>function</w:t>
      </w:r>
      <w:r>
        <w:rPr>
          <w:rFonts w:ascii="Arial" w:hAnsi="Arial"/>
          <w:sz w:val="22"/>
          <w:szCs w:val="22"/>
        </w:rPr>
        <w:t xml:space="preserve"> </w:t>
      </w:r>
      <w:r w:rsidRPr="008D591B">
        <w:rPr>
          <w:rFonts w:ascii="Arial" w:hAnsi="Arial"/>
          <w:i/>
          <w:iCs/>
          <w:sz w:val="22"/>
          <w:szCs w:val="22"/>
        </w:rPr>
        <w:t>meltR.A</w:t>
      </w:r>
      <w:r>
        <w:rPr>
          <w:rFonts w:ascii="Arial" w:hAnsi="Arial"/>
          <w:sz w:val="22"/>
          <w:szCs w:val="22"/>
        </w:rPr>
        <w:t xml:space="preserve">, which provides </w:t>
      </w:r>
      <w:r w:rsidR="008D591B">
        <w:rPr>
          <w:rFonts w:ascii="Arial" w:hAnsi="Arial"/>
          <w:sz w:val="22"/>
          <w:szCs w:val="22"/>
        </w:rPr>
        <w:t>a comparable</w:t>
      </w:r>
      <w:r>
        <w:rPr>
          <w:rFonts w:ascii="Arial" w:hAnsi="Arial"/>
          <w:sz w:val="22"/>
          <w:szCs w:val="22"/>
        </w:rPr>
        <w:t xml:space="preserve"> analysis </w:t>
      </w:r>
      <w:r w:rsidR="008D591B">
        <w:rPr>
          <w:rFonts w:ascii="Arial" w:hAnsi="Arial"/>
          <w:sz w:val="22"/>
          <w:szCs w:val="22"/>
        </w:rPr>
        <w:t>to</w:t>
      </w:r>
      <w:r>
        <w:rPr>
          <w:rFonts w:ascii="Arial" w:hAnsi="Arial"/>
          <w:sz w:val="22"/>
          <w:szCs w:val="22"/>
        </w:rPr>
        <w:t xml:space="preserve"> </w:t>
      </w:r>
      <w:r w:rsidRPr="008D591B">
        <w:rPr>
          <w:rFonts w:ascii="Arial" w:hAnsi="Arial"/>
          <w:i/>
          <w:iCs/>
          <w:sz w:val="22"/>
          <w:szCs w:val="22"/>
        </w:rPr>
        <w:t>MeltWin</w:t>
      </w:r>
      <w:r>
        <w:rPr>
          <w:rFonts w:ascii="Arial" w:hAnsi="Arial"/>
          <w:sz w:val="22"/>
          <w:szCs w:val="22"/>
        </w:rPr>
        <w:t xml:space="preserve"> (Figure 1C). The </w:t>
      </w:r>
      <w:r w:rsidRPr="008D591B">
        <w:rPr>
          <w:rFonts w:ascii="Arial" w:hAnsi="Arial"/>
          <w:i/>
          <w:iCs/>
          <w:sz w:val="22"/>
          <w:szCs w:val="22"/>
        </w:rPr>
        <w:t>meltR.A</w:t>
      </w:r>
      <w:r>
        <w:rPr>
          <w:rFonts w:ascii="Arial" w:hAnsi="Arial"/>
          <w:sz w:val="22"/>
          <w:szCs w:val="22"/>
        </w:rPr>
        <w:t xml:space="preserve"> function requires </w:t>
      </w:r>
      <w:r w:rsidR="008D591B">
        <w:rPr>
          <w:rFonts w:ascii="Arial" w:hAnsi="Arial"/>
          <w:sz w:val="22"/>
          <w:szCs w:val="22"/>
        </w:rPr>
        <w:t>3</w:t>
      </w:r>
      <w:r>
        <w:rPr>
          <w:rFonts w:ascii="Arial" w:hAnsi="Arial"/>
          <w:sz w:val="22"/>
          <w:szCs w:val="22"/>
        </w:rPr>
        <w:t xml:space="preserve"> user-defined </w:t>
      </w:r>
      <w:r>
        <w:rPr>
          <w:rFonts w:ascii="Arial" w:hAnsi="Arial"/>
          <w:sz w:val="22"/>
          <w:szCs w:val="22"/>
          <w:u w:val="single"/>
        </w:rPr>
        <w:t>arguments</w:t>
      </w:r>
      <w:r>
        <w:rPr>
          <w:rFonts w:ascii="Arial" w:hAnsi="Arial"/>
          <w:sz w:val="22"/>
          <w:szCs w:val="22"/>
        </w:rPr>
        <w:t xml:space="preserve">: data set, nucleic acid, and molecular model. The first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text file into a R </w:t>
      </w:r>
      <w:r>
        <w:rPr>
          <w:rFonts w:ascii="Arial" w:hAnsi="Arial"/>
          <w:sz w:val="22"/>
          <w:szCs w:val="22"/>
          <w:u w:val="single"/>
        </w:rPr>
        <w:t>data frame</w:t>
      </w:r>
      <w:r>
        <w:rPr>
          <w:rFonts w:ascii="Arial" w:hAnsi="Arial"/>
          <w:sz w:val="22"/>
          <w:szCs w:val="22"/>
        </w:rPr>
        <w:t xml:space="preserve"> (Figure 1C.1). The second essential argument, specifies the nucleic acid in the melt. This is provided in R as a </w:t>
      </w:r>
      <w:r>
        <w:rPr>
          <w:rFonts w:ascii="Arial" w:hAnsi="Arial"/>
          <w:sz w:val="22"/>
          <w:szCs w:val="22"/>
          <w:u w:val="single"/>
        </w:rPr>
        <w:t>vector</w:t>
      </w:r>
      <w:r>
        <w:rPr>
          <w:rFonts w:ascii="Arial" w:hAnsi="Arial"/>
          <w:sz w:val="22"/>
          <w:szCs w:val="22"/>
        </w:rPr>
        <w:t xml:space="preserve"> and is used to determine the extinction coefficient of the nucleic acid</w:t>
      </w:r>
      <w:r w:rsidR="008D591B">
        <w:rPr>
          <w:rFonts w:ascii="Arial" w:hAnsi="Arial"/>
          <w:sz w:val="22"/>
          <w:szCs w:val="22"/>
        </w:rPr>
        <w:t xml:space="preserve"> (Figure 1C.2)</w:t>
      </w:r>
      <w:r>
        <w:rPr>
          <w:rFonts w:ascii="Arial" w:hAnsi="Arial"/>
          <w:sz w:val="22"/>
          <w:szCs w:val="22"/>
        </w:rPr>
        <w:t xml:space="preserve">. The first element of the </w:t>
      </w:r>
      <w:r>
        <w:rPr>
          <w:rFonts w:ascii="Arial" w:hAnsi="Arial"/>
          <w:sz w:val="22"/>
          <w:szCs w:val="22"/>
          <w:u w:val="single"/>
        </w:rPr>
        <w:t>vector</w:t>
      </w:r>
      <w:r>
        <w:rPr>
          <w:rFonts w:ascii="Arial" w:hAnsi="Arial"/>
          <w:sz w:val="22"/>
          <w:szCs w:val="22"/>
        </w:rPr>
        <w:t xml:space="preserve"> is the type of nucleic acid, either “DNA” or “RNA”, and the remaining elements are the individual residues in the sample. Alternatively, the first element can be “custom”, and the remaining elements can be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sidR="008D591B">
        <w:rPr>
          <w:rFonts w:ascii="Arial" w:hAnsi="Arial"/>
          <w:sz w:val="22"/>
          <w:szCs w:val="22"/>
        </w:rPr>
        <w:t xml:space="preserve"> or can be a series of concentrations for each sample for non-absorbance data</w:t>
      </w:r>
      <w:r>
        <w:rPr>
          <w:rFonts w:ascii="Arial" w:hAnsi="Arial"/>
          <w:sz w:val="22"/>
          <w:szCs w:val="22"/>
        </w:rPr>
        <w:t xml:space="preserve"> The third element is the molecular model, either "Monomolecular.2State", "Heteroduplex.2State", or "Homoduplex.2State", for a single self-structured strand, two non-self-complementary strands forming a duplex, or a bimolecular association of a self-complementary strand forming a duplex, respectively (Figure 1C.3). The </w:t>
      </w:r>
      <w:r w:rsidRPr="008D591B">
        <w:rPr>
          <w:rFonts w:ascii="Arial" w:hAnsi="Arial"/>
          <w:i/>
          <w:iCs/>
          <w:sz w:val="22"/>
          <w:szCs w:val="22"/>
        </w:rPr>
        <w:t>meltR.A</w:t>
      </w:r>
      <w:r>
        <w:rPr>
          <w:rFonts w:ascii="Arial" w:hAnsi="Arial"/>
          <w:sz w:val="22"/>
          <w:szCs w:val="22"/>
        </w:rPr>
        <w:t xml:space="preserve"> function has other </w:t>
      </w:r>
      <w:r w:rsidRPr="005C5980">
        <w:rPr>
          <w:rFonts w:ascii="Arial" w:hAnsi="Arial"/>
          <w:sz w:val="22"/>
          <w:szCs w:val="22"/>
          <w:u w:val="single"/>
        </w:rPr>
        <w:t>arguments</w:t>
      </w:r>
      <w:r>
        <w:rPr>
          <w:rFonts w:ascii="Arial" w:hAnsi="Arial"/>
          <w:sz w:val="22"/>
          <w:szCs w:val="22"/>
        </w:rPr>
        <w:t xml:space="preserve"> with default settings that can be adjusted. Importantly, the “concT”</w:t>
      </w:r>
      <w:r w:rsidR="008D591B">
        <w:rPr>
          <w:rFonts w:ascii="Arial" w:hAnsi="Arial"/>
          <w:sz w:val="22"/>
          <w:szCs w:val="22"/>
        </w:rPr>
        <w:t xml:space="preserve"> is</w:t>
      </w:r>
      <w:r>
        <w:rPr>
          <w:rFonts w:ascii="Arial" w:hAnsi="Arial"/>
          <w:sz w:val="22"/>
          <w:szCs w:val="22"/>
        </w:rPr>
        <w:t xml:space="preserve"> the </w:t>
      </w:r>
      <w:r w:rsidR="008D591B">
        <w:rPr>
          <w:rFonts w:ascii="Arial" w:hAnsi="Arial"/>
          <w:sz w:val="22"/>
          <w:szCs w:val="22"/>
        </w:rPr>
        <w:t>temperature</w:t>
      </w:r>
      <w:r>
        <w:rPr>
          <w:rFonts w:ascii="Arial" w:hAnsi="Arial"/>
          <w:sz w:val="22"/>
          <w:szCs w:val="22"/>
        </w:rPr>
        <w:t xml:space="preserve"> used to calculate the concentration (Figure 1C.4) and </w:t>
      </w:r>
      <w:r w:rsidR="008D591B">
        <w:rPr>
          <w:rFonts w:ascii="Arial" w:hAnsi="Arial"/>
          <w:sz w:val="22"/>
          <w:szCs w:val="22"/>
        </w:rPr>
        <w:t>“</w:t>
      </w:r>
      <w:r>
        <w:rPr>
          <w:rFonts w:ascii="Arial" w:hAnsi="Arial"/>
          <w:sz w:val="22"/>
          <w:szCs w:val="22"/>
        </w:rPr>
        <w:t>fitTs”</w:t>
      </w:r>
      <w:r w:rsidR="008D591B">
        <w:rPr>
          <w:rFonts w:ascii="Arial" w:hAnsi="Arial"/>
          <w:sz w:val="22"/>
          <w:szCs w:val="22"/>
        </w:rPr>
        <w:t xml:space="preserve"> is</w:t>
      </w:r>
      <w:r>
        <w:rPr>
          <w:rFonts w:ascii="Arial" w:hAnsi="Arial"/>
          <w:sz w:val="22"/>
          <w:szCs w:val="22"/>
        </w:rPr>
        <w:t xml:space="preserve"> the temperature range used in the fit (Figure 1A.5). The </w:t>
      </w:r>
      <w:r w:rsidR="008D591B">
        <w:rPr>
          <w:rFonts w:ascii="Arial" w:hAnsi="Arial"/>
          <w:sz w:val="22"/>
          <w:szCs w:val="22"/>
        </w:rPr>
        <w:t>“</w:t>
      </w:r>
      <w:r>
        <w:rPr>
          <w:rFonts w:ascii="Arial" w:hAnsi="Arial"/>
          <w:sz w:val="22"/>
          <w:szCs w:val="22"/>
        </w:rPr>
        <w:t>fitTs</w:t>
      </w:r>
      <w:r w:rsidR="008D591B">
        <w:rPr>
          <w:rFonts w:ascii="Arial" w:hAnsi="Arial"/>
          <w:sz w:val="22"/>
          <w:szCs w:val="22"/>
        </w:rPr>
        <w:t>”</w:t>
      </w:r>
      <w:r>
        <w:rPr>
          <w:rFonts w:ascii="Arial" w:hAnsi="Arial"/>
          <w:sz w:val="22"/>
          <w:szCs w:val="22"/>
        </w:rPr>
        <w:t xml:space="preserve"> </w:t>
      </w:r>
      <w:r w:rsidRPr="005C5980">
        <w:rPr>
          <w:rFonts w:ascii="Arial" w:hAnsi="Arial"/>
          <w:sz w:val="22"/>
          <w:szCs w:val="22"/>
          <w:u w:val="single"/>
        </w:rPr>
        <w:t>argument</w:t>
      </w:r>
      <w:r>
        <w:rPr>
          <w:rFonts w:ascii="Arial" w:hAnsi="Arial"/>
          <w:sz w:val="22"/>
          <w:szCs w:val="22"/>
        </w:rPr>
        <w:t xml:space="preserve"> is used for baseline trimming (discussed in detail below), and can be a </w:t>
      </w:r>
      <w:r>
        <w:rPr>
          <w:rFonts w:ascii="Arial" w:hAnsi="Arial"/>
          <w:sz w:val="22"/>
          <w:szCs w:val="22"/>
          <w:u w:val="single"/>
        </w:rPr>
        <w:t>vector</w:t>
      </w:r>
      <w:r>
        <w:rPr>
          <w:rFonts w:ascii="Arial" w:hAnsi="Arial"/>
          <w:sz w:val="22"/>
          <w:szCs w:val="22"/>
        </w:rPr>
        <w:t xml:space="preserve"> containing the temperature range to be fit for all samples. Alternatively, the </w:t>
      </w:r>
      <w:r w:rsidR="005C5980">
        <w:rPr>
          <w:rFonts w:ascii="Arial" w:hAnsi="Arial"/>
          <w:sz w:val="22"/>
          <w:szCs w:val="22"/>
        </w:rPr>
        <w:t>“</w:t>
      </w:r>
      <w:r>
        <w:rPr>
          <w:rFonts w:ascii="Arial" w:hAnsi="Arial"/>
          <w:sz w:val="22"/>
          <w:szCs w:val="22"/>
        </w:rPr>
        <w:t>fitTs</w:t>
      </w:r>
      <w:r w:rsidR="005C5980">
        <w:rPr>
          <w:rFonts w:ascii="Arial" w:hAnsi="Arial"/>
          <w:sz w:val="22"/>
          <w:szCs w:val="22"/>
        </w:rPr>
        <w:t>”</w:t>
      </w:r>
      <w:r>
        <w:rPr>
          <w:rFonts w:ascii="Arial" w:hAnsi="Arial"/>
          <w:sz w:val="22"/>
          <w:szCs w:val="22"/>
        </w:rPr>
        <w:t xml:space="preserve">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 a temperature range for each sample.</w:t>
      </w:r>
    </w:p>
    <w:p w14:paraId="0637CD19" w14:textId="0DD2BB81" w:rsidR="008E1C51" w:rsidRDefault="00000000" w:rsidP="008D55AE">
      <w:pPr>
        <w:spacing w:after="120" w:line="480" w:lineRule="auto"/>
        <w:jc w:val="both"/>
      </w:pPr>
      <w:r>
        <w:rPr>
          <w:rFonts w:ascii="Arial" w:hAnsi="Arial"/>
          <w:sz w:val="22"/>
          <w:szCs w:val="22"/>
        </w:rPr>
        <w:t xml:space="preserve">The </w:t>
      </w:r>
      <w:r w:rsidRPr="005C5980">
        <w:rPr>
          <w:rFonts w:ascii="Arial" w:hAnsi="Arial"/>
          <w:i/>
          <w:iCs/>
          <w:sz w:val="22"/>
          <w:szCs w:val="22"/>
        </w:rPr>
        <w:t>meltR.A</w:t>
      </w:r>
      <w:r>
        <w:rPr>
          <w:rFonts w:ascii="Arial" w:hAnsi="Arial"/>
          <w:sz w:val="22"/>
          <w:szCs w:val="22"/>
        </w:rPr>
        <w:t xml:space="preserve"> function provides three analyses: individual fits,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sidR="005C5980">
        <w:rPr>
          <w:rFonts w:ascii="Arial" w:hAnsi="Arial"/>
          <w:sz w:val="22"/>
          <w:szCs w:val="22"/>
        </w:rPr>
        <w:t>concentration (</w:t>
      </w:r>
      <w:r>
        <w:rPr>
          <w:rFonts w:ascii="Arial" w:hAnsi="Arial"/>
          <w:i/>
          <w:iCs/>
          <w:sz w:val="22"/>
          <w:szCs w:val="22"/>
        </w:rPr>
        <w:t>C</w:t>
      </w:r>
      <w:r>
        <w:rPr>
          <w:rFonts w:ascii="Arial" w:hAnsi="Arial"/>
          <w:sz w:val="22"/>
          <w:szCs w:val="22"/>
          <w:vertAlign w:val="subscript"/>
        </w:rPr>
        <w:t>t</w:t>
      </w:r>
      <w:r w:rsidR="005C5980">
        <w:rPr>
          <w:rFonts w:ascii="Arial" w:hAnsi="Arial"/>
          <w:sz w:val="22"/>
          <w:szCs w:val="22"/>
        </w:rPr>
        <w:t>)</w:t>
      </w:r>
      <w:r>
        <w:rPr>
          <w:rFonts w:ascii="Arial" w:hAnsi="Arial"/>
          <w:sz w:val="22"/>
          <w:szCs w:val="22"/>
        </w:rPr>
        <w:t xml:space="preserve">, and global fitting (Figure 1D). The first analysis is individual fits (method 1), which fits each sample to an individual model to calculate thermodynamic parameters (Figure 1D.1). For method 1, the averages of thermodynamic energies are reported (Figure 1D.2). The second analysis is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(method 2) fits the relationship between the T</w:t>
      </w:r>
      <w:r>
        <w:rPr>
          <w:rFonts w:ascii="Arial" w:hAnsi="Arial"/>
          <w:sz w:val="22"/>
          <w:szCs w:val="22"/>
          <w:vertAlign w:val="subscript"/>
        </w:rPr>
        <w:t>m</w:t>
      </w:r>
      <w:r>
        <w:rPr>
          <w:rFonts w:ascii="Arial" w:hAnsi="Arial"/>
          <w:sz w:val="22"/>
          <w:szCs w:val="22"/>
        </w:rPr>
        <w:t xml:space="preserve"> and the C</w:t>
      </w:r>
      <w:r>
        <w:rPr>
          <w:rFonts w:ascii="Arial" w:hAnsi="Arial"/>
          <w:sz w:val="22"/>
          <w:szCs w:val="22"/>
          <w:vertAlign w:val="subscript"/>
        </w:rPr>
        <w:t>t</w:t>
      </w:r>
      <w:r>
        <w:rPr>
          <w:rFonts w:ascii="Arial" w:hAnsi="Arial"/>
          <w:sz w:val="22"/>
          <w:szCs w:val="22"/>
        </w:rPr>
        <w:t xml:space="preserve"> from different samples to calculate thermodynamic parameters (Figure 1D.2). Methods 1 and 2 were both provided by MeltWin.</w:t>
      </w:r>
      <w:r w:rsidR="00D012D8">
        <w:rPr>
          <w:rFonts w:ascii="Arial" w:hAnsi="Arial"/>
          <w:sz w:val="22"/>
          <w:szCs w:val="22"/>
        </w:rPr>
        <w:fldChar w:fldCharType="begin"/>
      </w:r>
      <w:r w:rsidR="00D012D8">
        <w:rPr>
          <w:rFonts w:ascii="Arial" w:hAnsi="Arial"/>
          <w:sz w:val="22"/>
          <w:szCs w:val="22"/>
        </w:rPr>
        <w:instrText xml:space="preserve"> ADDIN ZOTERO_ITEM CSL_CITATION {"citationID":"PiiNayNw","properties":{"formattedCitation":"\\super 17\\nosupersub{}","plainCitation":"17","noteIndex":0},"citationItems":[{"id":385,"uris":["http://zotero.org/users/4485201/items/BJR9Q4GA"],"itemData":{"id":385,"type":"article-journal","container-title":"Biochemistry","DOI":"10.1021/bi9615710","ISSN":"0006-2960,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D012D8">
        <w:rPr>
          <w:rFonts w:ascii="Arial" w:hAnsi="Arial"/>
          <w:sz w:val="22"/>
          <w:szCs w:val="22"/>
        </w:rPr>
        <w:fldChar w:fldCharType="separate"/>
      </w:r>
      <w:r w:rsidR="00D012D8" w:rsidRPr="00D012D8">
        <w:rPr>
          <w:rFonts w:ascii="Arial" w:hAnsi="Arial" w:cs="Arial"/>
          <w:sz w:val="22"/>
          <w:vertAlign w:val="superscript"/>
        </w:rPr>
        <w:t>17</w:t>
      </w:r>
      <w:r w:rsidR="00D012D8">
        <w:rPr>
          <w:rFonts w:ascii="Arial" w:hAnsi="Arial"/>
          <w:sz w:val="22"/>
          <w:szCs w:val="22"/>
        </w:rPr>
        <w:fldChar w:fldCharType="end"/>
      </w:r>
      <w:r>
        <w:rPr>
          <w:rFonts w:ascii="Arial" w:hAnsi="Arial"/>
          <w:sz w:val="22"/>
          <w:szCs w:val="22"/>
        </w:rPr>
        <w:t xml:space="preserve"> The meltR.A function also provides a third</w:t>
      </w:r>
      <w:r w:rsidR="005C5980">
        <w:rPr>
          <w:rFonts w:ascii="Arial" w:hAnsi="Arial"/>
          <w:sz w:val="22"/>
          <w:szCs w:val="22"/>
        </w:rPr>
        <w:t xml:space="preserve"> method</w:t>
      </w:r>
      <w:r>
        <w:rPr>
          <w:rFonts w:ascii="Arial" w:hAnsi="Arial"/>
          <w:sz w:val="22"/>
          <w:szCs w:val="22"/>
        </w:rPr>
        <w:t xml:space="preserve">, global-fitting analysis, not provided by MeltWin (Figure 1B). Global fitting combines methods 1 and 2 by </w:t>
      </w:r>
      <w:r>
        <w:rPr>
          <w:rFonts w:ascii="Arial" w:hAnsi="Arial"/>
          <w:sz w:val="22"/>
          <w:szCs w:val="22"/>
        </w:rPr>
        <w:lastRenderedPageBreak/>
        <w:t xml:space="preserve">directly fitting the raw absorbance melting curves, similar to method 1, but uses information from every sample </w:t>
      </w:r>
      <w:r w:rsidR="005C5980">
        <w:rPr>
          <w:rFonts w:ascii="Arial" w:hAnsi="Arial"/>
          <w:sz w:val="22"/>
          <w:szCs w:val="22"/>
        </w:rPr>
        <w:t>in a single model</w:t>
      </w:r>
      <w:r>
        <w:rPr>
          <w:rFonts w:ascii="Arial" w:hAnsi="Arial"/>
          <w:sz w:val="22"/>
          <w:szCs w:val="22"/>
        </w:rPr>
        <w:t>, similar to method 2. Figure 1</w:t>
      </w:r>
      <w:r w:rsidR="00D012D8">
        <w:rPr>
          <w:rFonts w:ascii="Arial" w:hAnsi="Arial"/>
          <w:sz w:val="22"/>
          <w:szCs w:val="22"/>
        </w:rPr>
        <w:t>C</w:t>
      </w:r>
      <w:r>
        <w:rPr>
          <w:rFonts w:ascii="Arial" w:hAnsi="Arial"/>
          <w:sz w:val="22"/>
          <w:szCs w:val="22"/>
        </w:rPr>
        <w:t xml:space="preserve"> shows the response generated when a user fits a data set. Note, the response includes the %error between methods (Figure 1D.3), which is the range </w:t>
      </w:r>
      <w:r w:rsidR="005C5980">
        <w:rPr>
          <w:rFonts w:ascii="Arial" w:hAnsi="Arial"/>
          <w:sz w:val="22"/>
          <w:szCs w:val="22"/>
        </w:rPr>
        <w:t>between</w:t>
      </w:r>
      <w:r>
        <w:rPr>
          <w:rFonts w:ascii="Arial" w:hAnsi="Arial"/>
          <w:sz w:val="22"/>
          <w:szCs w:val="22"/>
        </w:rPr>
        <w:t xml:space="preserve"> methods 1, 2, and 3, divided by the average. This metric is useful for assessing the overall quality of fits, and two-state folding where a %error between methods greater than 10% is diagnostic of a multista</w:t>
      </w:r>
      <w:r w:rsidR="005932E6">
        <w:rPr>
          <w:rFonts w:ascii="Arial" w:hAnsi="Arial"/>
          <w:sz w:val="22"/>
          <w:szCs w:val="22"/>
        </w:rPr>
        <w:t xml:space="preserve">te-folding </w:t>
      </w:r>
      <w:commentRangeStart w:id="1"/>
      <w:r w:rsidR="005932E6">
        <w:rPr>
          <w:rFonts w:ascii="Arial" w:hAnsi="Arial"/>
          <w:sz w:val="22"/>
          <w:szCs w:val="22"/>
        </w:rPr>
        <w:t>transition</w:t>
      </w:r>
      <w:r>
        <w:rPr>
          <w:rFonts w:ascii="Arial" w:hAnsi="Arial"/>
          <w:sz w:val="22"/>
          <w:szCs w:val="22"/>
        </w:rPr>
        <w:t>.</w:t>
      </w:r>
      <w:commentRangeEnd w:id="1"/>
      <w:r w:rsidR="005C5980">
        <w:rPr>
          <w:rStyle w:val="CommentReference"/>
          <w:rFonts w:cs="Mangal"/>
        </w:rPr>
        <w:commentReference w:id="1"/>
      </w:r>
      <w:r>
        <w:rPr>
          <w:rFonts w:ascii="Arial" w:hAnsi="Arial"/>
          <w:sz w:val="22"/>
          <w:szCs w:val="22"/>
        </w:rPr>
        <w:t xml:space="preserve"> Lastly, </w:t>
      </w:r>
      <w:r w:rsidRPr="005C5980">
        <w:rPr>
          <w:rFonts w:ascii="Arial" w:hAnsi="Arial"/>
          <w:i/>
          <w:iCs/>
          <w:sz w:val="22"/>
          <w:szCs w:val="22"/>
        </w:rPr>
        <w:t>meltR.A</w:t>
      </w:r>
      <w:r>
        <w:rPr>
          <w:rFonts w:ascii="Arial" w:hAnsi="Arial"/>
          <w:sz w:val="22"/>
          <w:szCs w:val="22"/>
        </w:rPr>
        <w:t xml:space="preserve"> saves the result of a fit to </w:t>
      </w:r>
      <w:r w:rsidR="005C5980">
        <w:rPr>
          <w:rFonts w:ascii="Arial" w:hAnsi="Arial"/>
          <w:sz w:val="22"/>
          <w:szCs w:val="22"/>
        </w:rPr>
        <w:t>f</w:t>
      </w:r>
      <w:r>
        <w:rPr>
          <w:rFonts w:ascii="Arial" w:hAnsi="Arial"/>
          <w:sz w:val="22"/>
          <w:szCs w:val="22"/>
        </w:rPr>
        <w:t xml:space="preserve">igures and </w:t>
      </w:r>
      <w:r w:rsidR="005C5980">
        <w:rPr>
          <w:rFonts w:ascii="Arial" w:hAnsi="Arial"/>
          <w:sz w:val="22"/>
          <w:szCs w:val="22"/>
        </w:rPr>
        <w:t>tables</w:t>
      </w:r>
      <w:r>
        <w:rPr>
          <w:rFonts w:ascii="Arial" w:hAnsi="Arial"/>
          <w:sz w:val="22"/>
          <w:szCs w:val="22"/>
        </w:rPr>
        <w:t xml:space="preserve"> to help the user assess and present results (Figure S1).</w:t>
      </w:r>
    </w:p>
    <w:p w14:paraId="25C3E5CA" w14:textId="730A9927" w:rsidR="008E1C51" w:rsidRDefault="00000000" w:rsidP="008D55AE">
      <w:pPr>
        <w:spacing w:after="120" w:line="480" w:lineRule="auto"/>
        <w:jc w:val="both"/>
      </w:pPr>
      <w:r>
        <w:rPr>
          <w:rFonts w:ascii="Arial" w:hAnsi="Arial"/>
          <w:sz w:val="22"/>
          <w:szCs w:val="22"/>
        </w:rPr>
        <w:t xml:space="preserve">Several other </w:t>
      </w:r>
      <w:r w:rsidRPr="005C5980">
        <w:rPr>
          <w:rFonts w:ascii="Arial" w:hAnsi="Arial"/>
          <w:i/>
          <w:iCs/>
          <w:sz w:val="22"/>
          <w:szCs w:val="22"/>
        </w:rPr>
        <w:t>meltR.A</w:t>
      </w:r>
      <w:r w:rsidR="005C5980">
        <w:rPr>
          <w:rFonts w:ascii="Arial" w:hAnsi="Arial"/>
          <w:sz w:val="22"/>
          <w:szCs w:val="22"/>
        </w:rPr>
        <w:t xml:space="preserve"> features are</w:t>
      </w:r>
      <w:r>
        <w:rPr>
          <w:rFonts w:ascii="Arial" w:hAnsi="Arial"/>
          <w:sz w:val="22"/>
          <w:szCs w:val="22"/>
        </w:rPr>
        <w:t xml:space="preserve"> described in the help file (</w:t>
      </w:r>
      <w:r w:rsidR="005932E6">
        <w:rPr>
          <w:rFonts w:ascii="Arial" w:hAnsi="Arial"/>
          <w:sz w:val="22"/>
          <w:szCs w:val="22"/>
        </w:rPr>
        <w:t>F</w:t>
      </w:r>
      <w:r>
        <w:rPr>
          <w:rFonts w:ascii="Arial" w:hAnsi="Arial"/>
          <w:sz w:val="22"/>
          <w:szCs w:val="22"/>
        </w:rPr>
        <w:t xml:space="preserve">ile </w:t>
      </w:r>
      <w:r w:rsidR="005932E6">
        <w:rPr>
          <w:rFonts w:ascii="Arial" w:hAnsi="Arial"/>
          <w:sz w:val="22"/>
          <w:szCs w:val="22"/>
        </w:rPr>
        <w:t>S</w:t>
      </w:r>
      <w:r>
        <w:rPr>
          <w:rFonts w:ascii="Arial" w:hAnsi="Arial"/>
          <w:sz w:val="22"/>
          <w:szCs w:val="22"/>
        </w:rPr>
        <w:t xml:space="preserve">2). Notably, </w:t>
      </w:r>
      <w:r w:rsidRPr="005C5980">
        <w:rPr>
          <w:rFonts w:ascii="Arial" w:hAnsi="Arial"/>
          <w:i/>
          <w:iCs/>
          <w:sz w:val="22"/>
          <w:szCs w:val="22"/>
        </w:rPr>
        <w:t>meltR.A</w:t>
      </w:r>
      <w:r>
        <w:rPr>
          <w:rFonts w:ascii="Arial" w:hAnsi="Arial"/>
          <w:sz w:val="22"/>
          <w:szCs w:val="22"/>
        </w:rPr>
        <w:t xml:space="preserve"> can use an alternative method to calculate the T</w:t>
      </w:r>
      <w:r>
        <w:rPr>
          <w:rFonts w:ascii="Arial" w:hAnsi="Arial"/>
          <w:sz w:val="22"/>
          <w:szCs w:val="22"/>
          <w:vertAlign w:val="subscript"/>
        </w:rPr>
        <w:t>m</w:t>
      </w:r>
      <w:r>
        <w:rPr>
          <w:rFonts w:ascii="Arial" w:hAnsi="Arial"/>
          <w:sz w:val="22"/>
          <w:szCs w:val="22"/>
        </w:rPr>
        <w:t xml:space="preserve"> for each sample, calculate extinction coefficients at different wavelengths, and turn off methods 2 and 3. Turning off methods 2 and 3 is useful for experiments that compare absorbance melting curves between conditions</w:t>
      </w:r>
      <w:r w:rsidR="005C5980">
        <w:rPr>
          <w:rFonts w:ascii="Arial" w:hAnsi="Arial"/>
          <w:sz w:val="22"/>
          <w:szCs w:val="22"/>
        </w:rPr>
        <w:t xml:space="preserve"> and RNA</w:t>
      </w:r>
      <w:r>
        <w:rPr>
          <w:rFonts w:ascii="Arial" w:hAnsi="Arial"/>
          <w:sz w:val="22"/>
          <w:szCs w:val="22"/>
        </w:rPr>
        <w:t>. Method 2 is turned off automatically for monomolecular systems because there is no dependence between the T</w:t>
      </w:r>
      <w:r>
        <w:rPr>
          <w:rFonts w:ascii="Arial" w:hAnsi="Arial"/>
          <w:sz w:val="22"/>
          <w:szCs w:val="22"/>
          <w:vertAlign w:val="subscript"/>
        </w:rPr>
        <w:t>m</w:t>
      </w:r>
      <w:r>
        <w:rPr>
          <w:rFonts w:ascii="Arial" w:hAnsi="Arial"/>
          <w:sz w:val="22"/>
          <w:szCs w:val="22"/>
        </w:rPr>
        <w:t xml:space="preserve"> and concentration. Likewise, </w:t>
      </w:r>
      <w:r w:rsidRPr="005C5980">
        <w:rPr>
          <w:rFonts w:ascii="Arial" w:hAnsi="Arial"/>
          <w:i/>
          <w:iCs/>
          <w:sz w:val="22"/>
          <w:szCs w:val="22"/>
        </w:rPr>
        <w:t>meltR.A</w:t>
      </w:r>
      <w:r>
        <w:rPr>
          <w:rFonts w:ascii="Arial" w:hAnsi="Arial"/>
          <w:sz w:val="22"/>
          <w:szCs w:val="22"/>
        </w:rPr>
        <w:t xml:space="preserve"> generates an extensive fit object in R, consisting of a </w:t>
      </w:r>
      <w:r>
        <w:rPr>
          <w:rFonts w:ascii="Arial" w:hAnsi="Arial"/>
          <w:sz w:val="22"/>
          <w:szCs w:val="22"/>
          <w:u w:val="single"/>
        </w:rPr>
        <w:t>list</w:t>
      </w:r>
      <w:r>
        <w:rPr>
          <w:rFonts w:ascii="Arial" w:hAnsi="Arial"/>
          <w:sz w:val="22"/>
          <w:szCs w:val="22"/>
        </w:rPr>
        <w:t xml:space="preserve"> of data and statistics (</w:t>
      </w:r>
      <w:r w:rsidR="005932E6">
        <w:rPr>
          <w:rFonts w:ascii="Arial" w:hAnsi="Arial"/>
          <w:sz w:val="22"/>
          <w:szCs w:val="22"/>
        </w:rPr>
        <w:t>F</w:t>
      </w:r>
      <w:r>
        <w:rPr>
          <w:rFonts w:ascii="Arial" w:hAnsi="Arial"/>
          <w:sz w:val="22"/>
          <w:szCs w:val="22"/>
        </w:rPr>
        <w:t xml:space="preserve">ile </w:t>
      </w:r>
      <w:r w:rsidR="005932E6">
        <w:rPr>
          <w:rFonts w:ascii="Arial" w:hAnsi="Arial"/>
          <w:sz w:val="22"/>
          <w:szCs w:val="22"/>
        </w:rPr>
        <w:t>S</w:t>
      </w:r>
      <w:r>
        <w:rPr>
          <w:rFonts w:ascii="Arial" w:hAnsi="Arial"/>
          <w:sz w:val="22"/>
          <w:szCs w:val="22"/>
        </w:rPr>
        <w:t xml:space="preserve">2). The </w:t>
      </w:r>
      <w:r w:rsidRPr="005C5980">
        <w:rPr>
          <w:rFonts w:ascii="Arial" w:hAnsi="Arial"/>
          <w:i/>
          <w:iCs/>
          <w:sz w:val="22"/>
          <w:szCs w:val="22"/>
        </w:rPr>
        <w:t>meltR.A</w:t>
      </w:r>
      <w:r>
        <w:rPr>
          <w:rFonts w:ascii="Arial" w:hAnsi="Arial"/>
          <w:sz w:val="22"/>
          <w:szCs w:val="22"/>
        </w:rPr>
        <w:t xml:space="preserve"> fit object is included for advanced analysis of the data, including regression statistics, residuals, and useful transformations of the data such as</w:t>
      </w:r>
      <w:commentRangeStart w:id="2"/>
      <w:r>
        <w:rPr>
          <w:rFonts w:ascii="Arial" w:hAnsi="Arial"/>
          <w:sz w:val="22"/>
          <w:szCs w:val="22"/>
        </w:rPr>
        <w:t xml:space="preserve"> first and second derivatives</w:t>
      </w:r>
      <w:commentRangeEnd w:id="2"/>
      <w:r>
        <w:commentReference w:id="2"/>
      </w:r>
      <w:commentRangeStart w:id="3"/>
      <w:commentRangeEnd w:id="3"/>
      <w:r>
        <w:commentReference w:id="3"/>
      </w:r>
      <w:r>
        <w:rPr>
          <w:rFonts w:ascii="Arial" w:hAnsi="Arial"/>
          <w:sz w:val="22"/>
          <w:szCs w:val="22"/>
        </w:rPr>
        <w:t xml:space="preserve">. Elements of the </w:t>
      </w:r>
      <w:r w:rsidRPr="005C5980">
        <w:rPr>
          <w:rFonts w:ascii="Arial" w:hAnsi="Arial"/>
          <w:i/>
          <w:iCs/>
          <w:sz w:val="22"/>
          <w:szCs w:val="22"/>
        </w:rPr>
        <w:t>meltR.A</w:t>
      </w:r>
      <w:r>
        <w:rPr>
          <w:rFonts w:ascii="Arial" w:hAnsi="Arial"/>
          <w:sz w:val="22"/>
          <w:szCs w:val="22"/>
        </w:rPr>
        <w:t xml:space="preserve"> fit object can be </w:t>
      </w:r>
      <w:r w:rsidR="005932E6">
        <w:rPr>
          <w:rFonts w:ascii="Arial" w:hAnsi="Arial"/>
          <w:sz w:val="22"/>
          <w:szCs w:val="22"/>
        </w:rPr>
        <w:t>passed to</w:t>
      </w:r>
      <w:r>
        <w:rPr>
          <w:rFonts w:ascii="Arial" w:hAnsi="Arial"/>
          <w:sz w:val="22"/>
          <w:szCs w:val="22"/>
        </w:rPr>
        <w:t xml:space="preserve"> other analyses.</w:t>
      </w:r>
    </w:p>
    <w:p w14:paraId="67534894" w14:textId="77777777" w:rsidR="008E1C51" w:rsidRDefault="00000000" w:rsidP="00814CB6">
      <w:pPr>
        <w:pStyle w:val="Heading2"/>
      </w:pPr>
      <w:r>
        <w:t>MeltR provides a consistent, rational, and statistically appropriate baseline-trimming protocol</w:t>
      </w:r>
    </w:p>
    <w:p w14:paraId="01143993" w14:textId="236534BA" w:rsidR="008E1C51" w:rsidRDefault="00000000" w:rsidP="008D55AE">
      <w:pPr>
        <w:spacing w:after="120" w:line="480" w:lineRule="auto"/>
        <w:jc w:val="both"/>
      </w:pPr>
      <w:r>
        <w:rPr>
          <w:rFonts w:ascii="Arial" w:hAnsi="Arial"/>
          <w:sz w:val="22"/>
          <w:szCs w:val="22"/>
        </w:rPr>
        <w:t xml:space="preserve">Both </w:t>
      </w:r>
      <w:r w:rsidRPr="00FD5E7D">
        <w:rPr>
          <w:rFonts w:ascii="Arial" w:hAnsi="Arial"/>
          <w:i/>
          <w:iCs/>
          <w:sz w:val="22"/>
          <w:szCs w:val="22"/>
        </w:rPr>
        <w:t>MeltWin</w:t>
      </w:r>
      <w:r>
        <w:rPr>
          <w:rFonts w:ascii="Arial" w:hAnsi="Arial"/>
          <w:sz w:val="22"/>
          <w:szCs w:val="22"/>
        </w:rPr>
        <w:t xml:space="preserve"> and </w:t>
      </w:r>
      <w:r w:rsidRPr="00FD5E7D">
        <w:rPr>
          <w:rFonts w:ascii="Arial" w:hAnsi="Arial"/>
          <w:i/>
          <w:iCs/>
          <w:sz w:val="22"/>
          <w:szCs w:val="22"/>
        </w:rPr>
        <w:t>MeltR</w:t>
      </w:r>
      <w:r>
        <w:rPr>
          <w:rFonts w:ascii="Arial" w:hAnsi="Arial"/>
          <w:sz w:val="22"/>
          <w:szCs w:val="22"/>
        </w:rPr>
        <w:t xml:space="preserve"> approximate the absorbance of the folded and unfolded states as lines.</w:t>
      </w:r>
      <w:r w:rsidR="005932E6">
        <w:rPr>
          <w:rFonts w:ascii="Arial" w:hAnsi="Arial"/>
          <w:sz w:val="22"/>
          <w:szCs w:val="22"/>
        </w:rPr>
        <w:fldChar w:fldCharType="begin"/>
      </w:r>
      <w:r w:rsidR="005932E6">
        <w:rPr>
          <w:rFonts w:ascii="Arial" w:hAnsi="Arial"/>
          <w:sz w:val="22"/>
          <w:szCs w:val="22"/>
        </w:rPr>
        <w:instrText xml:space="preserve"> ADDIN ZOTERO_ITEM CSL_CITATION {"citationID":"Qj0DvwcW","properties":{"formattedCitation":"\\super 16\\nosupersub{}","plainCitation":"16","noteIndex":0},"citationItems":[{"id":2330,"uris":["http://zotero.org/users/4485201/items/RF73MNZX"],"itemData":{"id":2330,"type":"article-journal","abstract":"The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5932E6">
        <w:rPr>
          <w:rFonts w:ascii="Arial" w:hAnsi="Arial"/>
          <w:sz w:val="22"/>
          <w:szCs w:val="22"/>
        </w:rPr>
        <w:fldChar w:fldCharType="separate"/>
      </w:r>
      <w:r w:rsidR="005932E6" w:rsidRPr="005932E6">
        <w:rPr>
          <w:rFonts w:ascii="Arial" w:hAnsi="Arial" w:cs="Arial"/>
          <w:sz w:val="22"/>
          <w:vertAlign w:val="superscript"/>
        </w:rPr>
        <w:t>16</w:t>
      </w:r>
      <w:r w:rsidR="005932E6">
        <w:rPr>
          <w:rFonts w:ascii="Arial" w:hAnsi="Arial"/>
          <w:sz w:val="22"/>
          <w:szCs w:val="22"/>
        </w:rPr>
        <w:fldChar w:fldCharType="end"/>
      </w:r>
      <w:r>
        <w:rPr>
          <w:rFonts w:ascii="Arial" w:hAnsi="Arial"/>
          <w:sz w:val="22"/>
          <w:szCs w:val="22"/>
        </w:rPr>
        <w:t xml:space="preserve"> These lines approximate absorbance changes due to changes in base stacking in the duplex and single stranded states with temperature. </w:t>
      </w:r>
      <w:r w:rsidR="00755569">
        <w:rPr>
          <w:rFonts w:ascii="Arial" w:hAnsi="Arial"/>
          <w:sz w:val="22"/>
          <w:szCs w:val="22"/>
        </w:rPr>
        <w:t>B</w:t>
      </w:r>
      <w:r>
        <w:rPr>
          <w:rFonts w:ascii="Arial" w:hAnsi="Arial"/>
          <w:sz w:val="22"/>
          <w:szCs w:val="22"/>
        </w:rPr>
        <w:t xml:space="preserve">aselines should be trimmed to exclude </w:t>
      </w:r>
      <w:r w:rsidR="00755569">
        <w:rPr>
          <w:rFonts w:ascii="Arial" w:hAnsi="Arial"/>
          <w:sz w:val="22"/>
          <w:szCs w:val="22"/>
        </w:rPr>
        <w:t>aberrant</w:t>
      </w:r>
      <w:r>
        <w:rPr>
          <w:rFonts w:ascii="Arial" w:hAnsi="Arial"/>
          <w:sz w:val="22"/>
          <w:szCs w:val="22"/>
        </w:rPr>
        <w:t xml:space="preserve"> data and to include no more data than is required to define the duplex and single stranded state</w:t>
      </w:r>
      <w:r w:rsidR="00755569">
        <w:rPr>
          <w:rFonts w:ascii="Arial" w:hAnsi="Arial"/>
          <w:sz w:val="22"/>
          <w:szCs w:val="22"/>
        </w:rPr>
        <w:t>,</w:t>
      </w:r>
      <w:r>
        <w:rPr>
          <w:rFonts w:ascii="Arial" w:hAnsi="Arial"/>
          <w:sz w:val="22"/>
          <w:szCs w:val="22"/>
        </w:rPr>
        <w:t xml:space="preserve"> </w:t>
      </w:r>
      <w:r w:rsidR="00755569">
        <w:rPr>
          <w:rFonts w:ascii="Arial" w:hAnsi="Arial"/>
          <w:sz w:val="22"/>
          <w:szCs w:val="22"/>
        </w:rPr>
        <w:t>thus</w:t>
      </w:r>
      <w:r>
        <w:rPr>
          <w:rFonts w:ascii="Arial" w:hAnsi="Arial"/>
          <w:sz w:val="22"/>
          <w:szCs w:val="22"/>
        </w:rPr>
        <w:t xml:space="preserve"> avoid</w:t>
      </w:r>
      <w:r w:rsidR="00755569">
        <w:rPr>
          <w:rFonts w:ascii="Arial" w:hAnsi="Arial"/>
          <w:sz w:val="22"/>
          <w:szCs w:val="22"/>
        </w:rPr>
        <w:t>ing</w:t>
      </w:r>
      <w:r>
        <w:rPr>
          <w:rFonts w:ascii="Arial" w:hAnsi="Arial"/>
          <w:sz w:val="22"/>
          <w:szCs w:val="22"/>
        </w:rPr>
        <w:t xml:space="preserve"> </w:t>
      </w:r>
      <w:r w:rsidR="00755569">
        <w:rPr>
          <w:rFonts w:ascii="Arial" w:hAnsi="Arial"/>
          <w:sz w:val="22"/>
          <w:szCs w:val="22"/>
        </w:rPr>
        <w:t>extrapolation of</w:t>
      </w:r>
      <w:r>
        <w:rPr>
          <w:rFonts w:ascii="Arial" w:hAnsi="Arial"/>
          <w:sz w:val="22"/>
          <w:szCs w:val="22"/>
        </w:rPr>
        <w:t xml:space="preserve"> baseline</w:t>
      </w:r>
      <w:r w:rsidR="00755569">
        <w:rPr>
          <w:rFonts w:ascii="Arial" w:hAnsi="Arial"/>
          <w:sz w:val="22"/>
          <w:szCs w:val="22"/>
        </w:rPr>
        <w:t>s</w:t>
      </w:r>
      <w:r>
        <w:rPr>
          <w:rFonts w:ascii="Arial" w:hAnsi="Arial"/>
          <w:sz w:val="22"/>
          <w:szCs w:val="22"/>
        </w:rPr>
        <w:t xml:space="preserve"> </w:t>
      </w:r>
      <w:r w:rsidR="00755569">
        <w:rPr>
          <w:rFonts w:ascii="Arial" w:hAnsi="Arial"/>
          <w:sz w:val="22"/>
          <w:szCs w:val="22"/>
        </w:rPr>
        <w:t>from</w:t>
      </w:r>
      <w:r>
        <w:rPr>
          <w:rFonts w:ascii="Arial" w:hAnsi="Arial"/>
          <w:sz w:val="22"/>
          <w:szCs w:val="22"/>
        </w:rPr>
        <w:t xml:space="preserve"> temperatures </w:t>
      </w:r>
      <w:r w:rsidR="00755569">
        <w:rPr>
          <w:rFonts w:ascii="Arial" w:hAnsi="Arial"/>
          <w:sz w:val="22"/>
          <w:szCs w:val="22"/>
        </w:rPr>
        <w:t>that are far removed</w:t>
      </w:r>
      <w:r>
        <w:rPr>
          <w:rFonts w:ascii="Arial" w:hAnsi="Arial"/>
          <w:sz w:val="22"/>
          <w:szCs w:val="22"/>
        </w:rPr>
        <w:t xml:space="preserve"> from the melt region. However, users must make idiosyncratic choices about how to trim manually, as no protocols have been established.</w:t>
      </w:r>
      <w:r w:rsidR="00755569">
        <w:rPr>
          <w:rFonts w:ascii="Arial" w:hAnsi="Arial"/>
          <w:sz w:val="22"/>
          <w:szCs w:val="22"/>
        </w:rPr>
        <w:fldChar w:fldCharType="begin"/>
      </w:r>
      <w:r w:rsidR="00755569">
        <w:rPr>
          <w:rFonts w:ascii="Arial" w:hAnsi="Arial"/>
          <w:sz w:val="22"/>
          <w:szCs w:val="22"/>
        </w:rPr>
        <w:instrText xml:space="preserve"> ADDIN ZOTERO_ITEM CSL_CITATION {"citationID":"f70O4vz8","properties":{"formattedCitation":"\\super 22\\nosupersub{}","plainCitation":"22","noteIndex":0},"citationItems":[{"id":2339,"uris":["http://zotero.org/users/4485201/items/3LWNDN8H"],"itemData":{"id":2339,"type":"article-journal","abstract":"Biomolecular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755569">
        <w:rPr>
          <w:rFonts w:ascii="Cambria Math" w:hAnsi="Cambria Math" w:cs="Cambria Math"/>
          <w:sz w:val="22"/>
          <w:szCs w:val="22"/>
        </w:rPr>
        <w:instrText>⋅</w:instrText>
      </w:r>
      <w:r w:rsidR="00755569">
        <w:rPr>
          <w:rFonts w:ascii="Arial" w:hAnsi="Arial"/>
          <w:sz w:val="22"/>
          <w:szCs w:val="22"/>
        </w:rPr>
        <w:instrText xml:space="preserve"> mol</w:instrText>
      </w:r>
      <w:r w:rsidR="00755569">
        <w:rPr>
          <w:rFonts w:ascii="Arial" w:hAnsi="Arial" w:cs="Arial"/>
          <w:sz w:val="22"/>
          <w:szCs w:val="22"/>
        </w:rPr>
        <w:instrText>−</w:instrText>
      </w:r>
      <w:r w:rsidR="00755569">
        <w:rPr>
          <w:rFonts w:ascii="Arial" w:hAnsi="Arial"/>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755569">
        <w:rPr>
          <w:rFonts w:ascii="Arial" w:hAnsi="Arial"/>
          <w:sz w:val="22"/>
          <w:szCs w:val="22"/>
        </w:rPr>
        <w:fldChar w:fldCharType="separate"/>
      </w:r>
      <w:r w:rsidR="00755569" w:rsidRPr="00755569">
        <w:rPr>
          <w:rFonts w:ascii="Arial" w:hAnsi="Arial" w:cs="Arial"/>
          <w:sz w:val="22"/>
          <w:vertAlign w:val="superscript"/>
        </w:rPr>
        <w:t>22</w:t>
      </w:r>
      <w:r w:rsidR="00755569">
        <w:rPr>
          <w:rFonts w:ascii="Arial" w:hAnsi="Arial"/>
          <w:sz w:val="22"/>
          <w:szCs w:val="22"/>
        </w:rPr>
        <w:fldChar w:fldCharType="end"/>
      </w:r>
    </w:p>
    <w:p w14:paraId="7FF16DC7" w14:textId="184DC0E1" w:rsidR="008E1C51" w:rsidRDefault="00000000" w:rsidP="008D55AE">
      <w:pPr>
        <w:spacing w:after="120" w:line="480" w:lineRule="auto"/>
        <w:jc w:val="both"/>
      </w:pPr>
      <w:r>
        <w:rPr>
          <w:rFonts w:ascii="Arial" w:hAnsi="Arial"/>
          <w:sz w:val="22"/>
          <w:szCs w:val="22"/>
        </w:rPr>
        <w:t xml:space="preserve">One approach is to trim to a constant widow surrounding the melt region, for example 20 °C. Alternatively, a user could identify an optimum baseline range by iteratively fitting the data using different </w:t>
      </w:r>
      <w:r>
        <w:rPr>
          <w:rFonts w:ascii="Arial" w:hAnsi="Arial"/>
          <w:sz w:val="22"/>
          <w:szCs w:val="22"/>
        </w:rPr>
        <w:lastRenderedPageBreak/>
        <w:t xml:space="preserve">baseline ranges with </w:t>
      </w:r>
      <w:r w:rsidRPr="00F82C3C">
        <w:rPr>
          <w:rFonts w:ascii="Arial" w:hAnsi="Arial"/>
          <w:i/>
          <w:iCs/>
          <w:sz w:val="22"/>
          <w:szCs w:val="22"/>
        </w:rPr>
        <w:t>MeltWin</w:t>
      </w:r>
      <w:r>
        <w:rPr>
          <w:rFonts w:ascii="Arial" w:hAnsi="Arial"/>
          <w:sz w:val="22"/>
          <w:szCs w:val="22"/>
        </w:rPr>
        <w:t xml:space="preserve"> or </w:t>
      </w:r>
      <w:r w:rsidRPr="00F82C3C">
        <w:rPr>
          <w:rFonts w:ascii="Arial" w:hAnsi="Arial"/>
          <w:i/>
          <w:iCs/>
          <w:sz w:val="22"/>
          <w:szCs w:val="22"/>
        </w:rPr>
        <w:t>meltR.A</w:t>
      </w:r>
      <w:r>
        <w:rPr>
          <w:rFonts w:ascii="Arial" w:hAnsi="Arial"/>
          <w:sz w:val="22"/>
          <w:szCs w:val="22"/>
        </w:rPr>
        <w:t xml:space="preserve"> and choose the baseline range that provides the best internal consistency across the data set</w:t>
      </w:r>
      <w:r w:rsidR="00F82C3C">
        <w:rPr>
          <w:rFonts w:ascii="Arial" w:hAnsi="Arial"/>
          <w:sz w:val="22"/>
          <w:szCs w:val="22"/>
        </w:rPr>
        <w:t xml:space="preserve"> by assessing agreement between methods</w:t>
      </w:r>
      <w:r>
        <w:rPr>
          <w:rFonts w:ascii="Arial" w:hAnsi="Arial"/>
          <w:sz w:val="22"/>
          <w:szCs w:val="22"/>
        </w:rPr>
        <w:t xml:space="preserve">. </w:t>
      </w:r>
      <w:r w:rsidR="00F82C3C">
        <w:rPr>
          <w:rFonts w:ascii="Arial" w:hAnsi="Arial"/>
          <w:sz w:val="22"/>
          <w:szCs w:val="22"/>
        </w:rPr>
        <w:t xml:space="preserve">Both </w:t>
      </w:r>
      <w:r>
        <w:rPr>
          <w:rFonts w:ascii="Arial" w:hAnsi="Arial"/>
          <w:sz w:val="22"/>
          <w:szCs w:val="22"/>
        </w:rPr>
        <w:t>approach</w:t>
      </w:r>
      <w:r w:rsidR="00F82C3C">
        <w:rPr>
          <w:rFonts w:ascii="Arial" w:hAnsi="Arial"/>
          <w:sz w:val="22"/>
          <w:szCs w:val="22"/>
        </w:rPr>
        <w:t>es</w:t>
      </w:r>
      <w:r w:rsidR="00755569">
        <w:rPr>
          <w:rFonts w:ascii="Arial" w:hAnsi="Arial"/>
          <w:sz w:val="22"/>
          <w:szCs w:val="22"/>
        </w:rPr>
        <w:t xml:space="preserve"> </w:t>
      </w:r>
      <w:r w:rsidR="00F82C3C">
        <w:rPr>
          <w:rFonts w:ascii="Arial" w:hAnsi="Arial"/>
          <w:sz w:val="22"/>
          <w:szCs w:val="22"/>
        </w:rPr>
        <w:t>are</w:t>
      </w:r>
      <w:r>
        <w:rPr>
          <w:rFonts w:ascii="Arial" w:hAnsi="Arial"/>
          <w:sz w:val="22"/>
          <w:szCs w:val="22"/>
        </w:rPr>
        <w:t xml:space="preserve"> idiosyncratic. We thus sought to provide an auto-baseline trimmer in </w:t>
      </w:r>
      <w:r w:rsidRPr="00F82C3C">
        <w:rPr>
          <w:rFonts w:ascii="Arial" w:hAnsi="Arial"/>
          <w:i/>
          <w:iCs/>
          <w:sz w:val="22"/>
          <w:szCs w:val="22"/>
        </w:rPr>
        <w:t>MeltR</w:t>
      </w:r>
      <w:r>
        <w:rPr>
          <w:rFonts w:ascii="Arial" w:hAnsi="Arial"/>
          <w:sz w:val="22"/>
          <w:szCs w:val="22"/>
        </w:rPr>
        <w:t xml:space="preserve"> that gives users a consistent</w:t>
      </w:r>
      <w:r w:rsidR="00755569">
        <w:rPr>
          <w:rFonts w:ascii="Arial" w:hAnsi="Arial"/>
          <w:sz w:val="22"/>
          <w:szCs w:val="22"/>
        </w:rPr>
        <w:t xml:space="preserve"> and</w:t>
      </w:r>
      <w:r>
        <w:rPr>
          <w:rFonts w:ascii="Arial" w:hAnsi="Arial"/>
          <w:sz w:val="22"/>
          <w:szCs w:val="22"/>
        </w:rPr>
        <w:t xml:space="preserve"> rational baseline-trimming </w:t>
      </w:r>
      <w:commentRangeStart w:id="4"/>
      <w:r>
        <w:rPr>
          <w:rFonts w:ascii="Arial" w:hAnsi="Arial"/>
          <w:sz w:val="22"/>
          <w:szCs w:val="22"/>
        </w:rPr>
        <w:t>protocol</w:t>
      </w:r>
      <w:commentRangeEnd w:id="4"/>
      <w:r>
        <w:commentReference w:id="4"/>
      </w:r>
      <w:commentRangeStart w:id="5"/>
      <w:commentRangeEnd w:id="5"/>
      <w:r>
        <w:commentReference w:id="5"/>
      </w:r>
      <w:r>
        <w:rPr>
          <w:rFonts w:ascii="Arial" w:hAnsi="Arial"/>
          <w:sz w:val="22"/>
          <w:szCs w:val="22"/>
        </w:rPr>
        <w:t>.</w:t>
      </w:r>
    </w:p>
    <w:p w14:paraId="6C0D6008" w14:textId="77777777" w:rsidR="008E1C51" w:rsidRDefault="00000000" w:rsidP="008D55AE">
      <w:pPr>
        <w:spacing w:after="120" w:line="480" w:lineRule="auto"/>
        <w:jc w:val="both"/>
        <w:rPr>
          <w:rFonts w:ascii="Arial" w:hAnsi="Arial"/>
          <w:sz w:val="22"/>
          <w:szCs w:val="22"/>
        </w:rPr>
      </w:pPr>
      <w:r w:rsidRPr="00F82C3C">
        <w:rPr>
          <w:rFonts w:ascii="Arial" w:hAnsi="Arial"/>
          <w:i/>
          <w:iCs/>
          <w:sz w:val="22"/>
          <w:szCs w:val="22"/>
        </w:rPr>
        <w:t>MeltR</w:t>
      </w:r>
      <w:r>
        <w:rPr>
          <w:rFonts w:ascii="Arial" w:hAnsi="Arial"/>
          <w:sz w:val="22"/>
          <w:szCs w:val="22"/>
        </w:rPr>
        <w:t xml:space="preserve"> provides a baseline trimming function, the “</w:t>
      </w:r>
      <w:r w:rsidRPr="00F82C3C">
        <w:rPr>
          <w:rFonts w:ascii="Arial" w:hAnsi="Arial"/>
          <w:i/>
          <w:iCs/>
          <w:sz w:val="22"/>
          <w:szCs w:val="22"/>
        </w:rPr>
        <w:t>BLtrimmer</w:t>
      </w:r>
      <w:r>
        <w:rPr>
          <w:rFonts w:ascii="Arial" w:hAnsi="Arial"/>
          <w:sz w:val="22"/>
          <w:szCs w:val="22"/>
        </w:rPr>
        <w:t>”, that works on three principles:</w:t>
      </w:r>
    </w:p>
    <w:p w14:paraId="5829F822" w14:textId="756D4DC9" w:rsidR="008E1C51" w:rsidRDefault="00000000" w:rsidP="008D55AE">
      <w:pPr>
        <w:pStyle w:val="ListParagraph"/>
        <w:spacing w:after="120" w:line="480" w:lineRule="auto"/>
        <w:ind w:hanging="360"/>
        <w:jc w:val="both"/>
        <w:rPr>
          <w:rFonts w:ascii="Arial" w:hAnsi="Arial"/>
          <w:sz w:val="22"/>
          <w:szCs w:val="22"/>
        </w:rPr>
      </w:pPr>
      <w:r>
        <w:rPr>
          <w:rFonts w:ascii="Arial" w:hAnsi="Arial"/>
          <w:sz w:val="22"/>
          <w:szCs w:val="22"/>
        </w:rPr>
        <w:t xml:space="preserve">1. A large number of </w:t>
      </w:r>
      <w:r w:rsidR="003F4594">
        <w:rPr>
          <w:rFonts w:ascii="Arial" w:hAnsi="Arial"/>
          <w:sz w:val="22"/>
          <w:szCs w:val="22"/>
        </w:rPr>
        <w:t>combinations of trimmed-</w:t>
      </w:r>
      <w:r>
        <w:rPr>
          <w:rFonts w:ascii="Arial" w:hAnsi="Arial"/>
          <w:sz w:val="22"/>
          <w:szCs w:val="22"/>
        </w:rPr>
        <w:t>baseline</w:t>
      </w:r>
      <w:r w:rsidR="003F4594">
        <w:rPr>
          <w:rFonts w:ascii="Arial" w:hAnsi="Arial"/>
          <w:sz w:val="22"/>
          <w:szCs w:val="22"/>
        </w:rPr>
        <w:t>s</w:t>
      </w:r>
      <w:r>
        <w:rPr>
          <w:rFonts w:ascii="Arial" w:hAnsi="Arial"/>
          <w:sz w:val="22"/>
          <w:szCs w:val="22"/>
        </w:rPr>
        <w:t xml:space="preserve"> </w:t>
      </w:r>
      <w:r w:rsidR="00755569">
        <w:rPr>
          <w:rFonts w:ascii="Arial" w:hAnsi="Arial"/>
          <w:sz w:val="22"/>
          <w:szCs w:val="22"/>
        </w:rPr>
        <w:t>are</w:t>
      </w:r>
      <w:r>
        <w:rPr>
          <w:rFonts w:ascii="Arial" w:hAnsi="Arial"/>
          <w:sz w:val="22"/>
          <w:szCs w:val="22"/>
        </w:rPr>
        <w:t xml:space="preserve"> generated and fit.</w:t>
      </w:r>
    </w:p>
    <w:p w14:paraId="5D211979" w14:textId="58FB1F3B" w:rsidR="008E1C51" w:rsidRDefault="00000000" w:rsidP="008D55AE">
      <w:pPr>
        <w:pStyle w:val="ListParagraph"/>
        <w:spacing w:after="120" w:line="480" w:lineRule="auto"/>
        <w:ind w:hanging="360"/>
        <w:jc w:val="both"/>
        <w:rPr>
          <w:rFonts w:ascii="Arial" w:hAnsi="Arial"/>
          <w:sz w:val="22"/>
          <w:szCs w:val="22"/>
        </w:rPr>
      </w:pPr>
      <w:r>
        <w:rPr>
          <w:rFonts w:ascii="Arial" w:hAnsi="Arial"/>
          <w:sz w:val="22"/>
          <w:szCs w:val="22"/>
        </w:rPr>
        <w:t xml:space="preserve">2. The best </w:t>
      </w:r>
      <w:r w:rsidR="003F4594">
        <w:rPr>
          <w:rFonts w:ascii="Arial" w:hAnsi="Arial"/>
          <w:sz w:val="22"/>
          <w:szCs w:val="22"/>
        </w:rPr>
        <w:t xml:space="preserve">baseline </w:t>
      </w:r>
      <w:r>
        <w:rPr>
          <w:rFonts w:ascii="Arial" w:hAnsi="Arial"/>
          <w:sz w:val="22"/>
          <w:szCs w:val="22"/>
        </w:rPr>
        <w:t>combinations produce the most internally consistent folding energy estimates.</w:t>
      </w:r>
    </w:p>
    <w:p w14:paraId="59DB3117" w14:textId="305B8207" w:rsidR="008E1C51" w:rsidRDefault="00000000" w:rsidP="008D55AE">
      <w:pPr>
        <w:pStyle w:val="ListParagraph"/>
        <w:spacing w:after="120" w:line="480" w:lineRule="auto"/>
        <w:ind w:hanging="360"/>
        <w:jc w:val="both"/>
        <w:rPr>
          <w:rFonts w:ascii="Arial" w:hAnsi="Arial"/>
          <w:sz w:val="22"/>
          <w:szCs w:val="22"/>
        </w:rPr>
      </w:pPr>
      <w:r>
        <w:rPr>
          <w:rFonts w:ascii="Arial" w:hAnsi="Arial"/>
          <w:sz w:val="22"/>
          <w:szCs w:val="22"/>
        </w:rPr>
        <w:t xml:space="preserve">3. </w:t>
      </w:r>
      <w:r w:rsidR="003F4594">
        <w:rPr>
          <w:rFonts w:ascii="Arial" w:hAnsi="Arial"/>
          <w:sz w:val="22"/>
          <w:szCs w:val="22"/>
        </w:rPr>
        <w:t>Thermodynamic energies from the best combinations</w:t>
      </w:r>
      <w:r>
        <w:rPr>
          <w:rFonts w:ascii="Arial" w:hAnsi="Arial"/>
          <w:sz w:val="22"/>
          <w:szCs w:val="22"/>
        </w:rPr>
        <w:t xml:space="preserve"> should be treated as an ensemble of equally feasible </w:t>
      </w:r>
      <w:r w:rsidR="003F4594">
        <w:rPr>
          <w:rFonts w:ascii="Arial" w:hAnsi="Arial"/>
          <w:sz w:val="22"/>
          <w:szCs w:val="22"/>
        </w:rPr>
        <w:t>estimates</w:t>
      </w:r>
      <w:r>
        <w:rPr>
          <w:rFonts w:ascii="Arial" w:hAnsi="Arial"/>
          <w:sz w:val="22"/>
          <w:szCs w:val="22"/>
        </w:rPr>
        <w:t>.</w:t>
      </w:r>
    </w:p>
    <w:p w14:paraId="48F71C0B" w14:textId="43C952B5" w:rsidR="008E1C51" w:rsidRDefault="00000000" w:rsidP="008D55AE">
      <w:pPr>
        <w:spacing w:after="120" w:line="480" w:lineRule="auto"/>
        <w:jc w:val="both"/>
      </w:pPr>
      <w:r>
        <w:rPr>
          <w:rFonts w:ascii="Arial" w:hAnsi="Arial"/>
          <w:sz w:val="22"/>
          <w:szCs w:val="22"/>
        </w:rPr>
        <w:t xml:space="preserve">The </w:t>
      </w:r>
      <w:r w:rsidRPr="00F82C3C">
        <w:rPr>
          <w:rFonts w:ascii="Arial" w:hAnsi="Arial"/>
          <w:i/>
          <w:iCs/>
          <w:sz w:val="22"/>
          <w:szCs w:val="22"/>
        </w:rPr>
        <w:t>BLtrimmer</w:t>
      </w:r>
      <w:r>
        <w:rPr>
          <w:rFonts w:ascii="Arial" w:hAnsi="Arial"/>
          <w:sz w:val="22"/>
          <w:szCs w:val="22"/>
        </w:rPr>
        <w:t xml:space="preserve"> has only one required </w:t>
      </w:r>
      <w:r>
        <w:rPr>
          <w:rFonts w:ascii="Arial" w:hAnsi="Arial"/>
          <w:sz w:val="22"/>
          <w:szCs w:val="22"/>
          <w:u w:val="single"/>
        </w:rPr>
        <w:t>argument</w:t>
      </w:r>
      <w:r>
        <w:rPr>
          <w:rFonts w:ascii="Arial" w:hAnsi="Arial"/>
          <w:sz w:val="22"/>
          <w:szCs w:val="22"/>
        </w:rPr>
        <w:t xml:space="preserve">, a </w:t>
      </w:r>
      <w:r w:rsidRPr="00F82C3C">
        <w:rPr>
          <w:rFonts w:ascii="Arial" w:hAnsi="Arial"/>
          <w:i/>
          <w:iCs/>
          <w:sz w:val="22"/>
          <w:szCs w:val="22"/>
        </w:rPr>
        <w:t>MeltR</w:t>
      </w:r>
      <w:r>
        <w:rPr>
          <w:rFonts w:ascii="Arial" w:hAnsi="Arial"/>
          <w:sz w:val="22"/>
          <w:szCs w:val="22"/>
        </w:rPr>
        <w:t xml:space="preserve"> fit object produced by </w:t>
      </w:r>
      <w:r w:rsidRPr="00F82C3C">
        <w:rPr>
          <w:rFonts w:ascii="Arial" w:hAnsi="Arial"/>
          <w:i/>
          <w:iCs/>
          <w:sz w:val="22"/>
          <w:szCs w:val="22"/>
        </w:rPr>
        <w:t>meltR.A</w:t>
      </w:r>
      <w:r>
        <w:rPr>
          <w:rFonts w:ascii="Arial" w:hAnsi="Arial"/>
          <w:sz w:val="22"/>
          <w:szCs w:val="22"/>
        </w:rPr>
        <w:t xml:space="preserve"> (Figure 2A.</w:t>
      </w:r>
      <w:r w:rsidR="003F4594">
        <w:rPr>
          <w:rFonts w:ascii="Arial" w:hAnsi="Arial"/>
          <w:sz w:val="22"/>
          <w:szCs w:val="22"/>
        </w:rPr>
        <w:t>) and</w:t>
      </w:r>
      <w:r>
        <w:rPr>
          <w:rFonts w:ascii="Arial" w:hAnsi="Arial"/>
          <w:sz w:val="22"/>
          <w:szCs w:val="22"/>
        </w:rPr>
        <w:t xml:space="preserve"> prints an analysis of thermodynamic parameters produced by an ensemble of baseline combinations (Figure 2B). The </w:t>
      </w:r>
      <w:r w:rsidRPr="00F82C3C">
        <w:rPr>
          <w:rFonts w:ascii="Arial" w:hAnsi="Arial"/>
          <w:i/>
          <w:iCs/>
          <w:sz w:val="22"/>
          <w:szCs w:val="22"/>
        </w:rPr>
        <w:t>BLTrimmer</w:t>
      </w:r>
      <w:r>
        <w:rPr>
          <w:rFonts w:ascii="Arial" w:hAnsi="Arial"/>
          <w:sz w:val="22"/>
          <w:szCs w:val="22"/>
        </w:rPr>
        <w:t xml:space="preserve"> also provides a</w:t>
      </w:r>
      <w:r w:rsidR="00F82C3C">
        <w:rPr>
          <w:rFonts w:ascii="Arial" w:hAnsi="Arial"/>
          <w:sz w:val="22"/>
          <w:szCs w:val="22"/>
        </w:rPr>
        <w:t>n</w:t>
      </w:r>
      <w:r>
        <w:rPr>
          <w:rFonts w:ascii="Arial" w:hAnsi="Arial"/>
          <w:sz w:val="22"/>
          <w:szCs w:val="22"/>
        </w:rPr>
        <w:t xml:space="preserve"> analysis all the tested </w:t>
      </w:r>
      <w:r w:rsidR="003F4594">
        <w:rPr>
          <w:rFonts w:ascii="Arial" w:hAnsi="Arial"/>
          <w:sz w:val="22"/>
          <w:szCs w:val="22"/>
        </w:rPr>
        <w:t>baselines (</w:t>
      </w:r>
      <w:r>
        <w:rPr>
          <w:rFonts w:ascii="Arial" w:hAnsi="Arial"/>
          <w:sz w:val="22"/>
          <w:szCs w:val="22"/>
        </w:rPr>
        <w:t>Figure S</w:t>
      </w:r>
      <w:r w:rsidR="003F4594">
        <w:rPr>
          <w:rFonts w:ascii="Arial" w:hAnsi="Arial"/>
          <w:sz w:val="22"/>
          <w:szCs w:val="22"/>
        </w:rPr>
        <w:t>2</w:t>
      </w:r>
      <w:r>
        <w:rPr>
          <w:rFonts w:ascii="Arial" w:hAnsi="Arial"/>
          <w:sz w:val="22"/>
          <w:szCs w:val="22"/>
        </w:rPr>
        <w:t>).</w:t>
      </w:r>
    </w:p>
    <w:p w14:paraId="4AFB9FEC" w14:textId="72EF5002" w:rsidR="008E1C51" w:rsidRDefault="00000000" w:rsidP="008D55AE">
      <w:pPr>
        <w:spacing w:after="120" w:line="480" w:lineRule="auto"/>
        <w:jc w:val="both"/>
      </w:pPr>
      <w:r>
        <w:rPr>
          <w:rFonts w:ascii="Arial" w:hAnsi="Arial"/>
          <w:sz w:val="22"/>
          <w:szCs w:val="22"/>
        </w:rPr>
        <w:t>The other</w:t>
      </w:r>
      <w:r w:rsidR="00F82C3C">
        <w:rPr>
          <w:rFonts w:ascii="Arial" w:hAnsi="Arial"/>
          <w:sz w:val="22"/>
          <w:szCs w:val="22"/>
        </w:rPr>
        <w:t xml:space="preserve"> </w:t>
      </w:r>
      <w:r w:rsidR="00F82C3C">
        <w:rPr>
          <w:rFonts w:ascii="Arial" w:hAnsi="Arial"/>
          <w:i/>
          <w:iCs/>
          <w:sz w:val="22"/>
          <w:szCs w:val="22"/>
        </w:rPr>
        <w:t>BLTrimmer</w:t>
      </w:r>
      <w:r>
        <w:rPr>
          <w:rFonts w:ascii="Arial" w:hAnsi="Arial"/>
          <w:sz w:val="22"/>
          <w:szCs w:val="22"/>
        </w:rPr>
        <w:t xml:space="preserve"> </w:t>
      </w:r>
      <w:r>
        <w:rPr>
          <w:rFonts w:ascii="Arial" w:hAnsi="Arial"/>
          <w:sz w:val="22"/>
          <w:szCs w:val="22"/>
          <w:u w:val="single"/>
        </w:rPr>
        <w:t>arguments</w:t>
      </w:r>
      <w:r>
        <w:rPr>
          <w:rFonts w:ascii="Arial" w:hAnsi="Arial"/>
          <w:sz w:val="22"/>
          <w:szCs w:val="22"/>
        </w:rPr>
        <w:t xml:space="preserve"> are adjustable but set to the recommended value by default</w:t>
      </w:r>
      <w:r w:rsidR="00F82C3C">
        <w:rPr>
          <w:rFonts w:ascii="Arial" w:hAnsi="Arial"/>
          <w:sz w:val="22"/>
          <w:szCs w:val="22"/>
        </w:rPr>
        <w:t xml:space="preserve"> (Figure 2D)</w:t>
      </w:r>
      <w:r>
        <w:rPr>
          <w:rFonts w:ascii="Arial" w:hAnsi="Arial"/>
          <w:sz w:val="22"/>
          <w:szCs w:val="22"/>
        </w:rPr>
        <w:t xml:space="preserve">. The first adjustable argument is the </w:t>
      </w:r>
      <w:r w:rsidR="00AB5E96">
        <w:rPr>
          <w:rFonts w:ascii="Arial" w:hAnsi="Arial"/>
          <w:sz w:val="22"/>
          <w:szCs w:val="22"/>
        </w:rPr>
        <w:t>“</w:t>
      </w:r>
      <w:r>
        <w:rPr>
          <w:rFonts w:ascii="Arial" w:hAnsi="Arial"/>
          <w:sz w:val="22"/>
          <w:szCs w:val="22"/>
        </w:rPr>
        <w:t>Trim.method</w:t>
      </w:r>
      <w:r w:rsidR="00AB5E96">
        <w:rPr>
          <w:rFonts w:ascii="Arial" w:hAnsi="Arial"/>
          <w:sz w:val="22"/>
          <w:szCs w:val="22"/>
        </w:rPr>
        <w:t>”</w:t>
      </w:r>
      <w:r>
        <w:rPr>
          <w:rFonts w:ascii="Arial" w:hAnsi="Arial"/>
          <w:sz w:val="22"/>
          <w:szCs w:val="22"/>
        </w:rPr>
        <w:t>, which corresponds to the method used to generate baselines</w:t>
      </w:r>
      <w:r w:rsidR="00AB5E96">
        <w:rPr>
          <w:rFonts w:ascii="Arial" w:hAnsi="Arial"/>
          <w:sz w:val="22"/>
          <w:szCs w:val="22"/>
        </w:rPr>
        <w:t>,</w:t>
      </w:r>
      <w:r w:rsidR="00797F1E">
        <w:rPr>
          <w:rFonts w:ascii="Arial" w:hAnsi="Arial"/>
          <w:sz w:val="22"/>
          <w:szCs w:val="22"/>
        </w:rPr>
        <w:t xml:space="preserve"> either</w:t>
      </w:r>
      <w:r>
        <w:rPr>
          <w:rFonts w:ascii="Arial" w:hAnsi="Arial"/>
          <w:sz w:val="22"/>
          <w:szCs w:val="22"/>
        </w:rPr>
        <w:t xml:space="preserve"> “floating” </w:t>
      </w:r>
      <w:r w:rsidR="00797F1E">
        <w:rPr>
          <w:rFonts w:ascii="Arial" w:hAnsi="Arial"/>
          <w:sz w:val="22"/>
          <w:szCs w:val="22"/>
        </w:rPr>
        <w:t>to</w:t>
      </w:r>
      <w:r>
        <w:rPr>
          <w:rFonts w:ascii="Arial" w:hAnsi="Arial"/>
          <w:sz w:val="22"/>
          <w:szCs w:val="22"/>
        </w:rPr>
        <w:t xml:space="preserve"> allow different baseline lengths for each sample</w:t>
      </w:r>
      <w:r w:rsidR="00797F1E">
        <w:rPr>
          <w:rFonts w:ascii="Arial" w:hAnsi="Arial"/>
          <w:sz w:val="22"/>
          <w:szCs w:val="22"/>
        </w:rPr>
        <w:t xml:space="preserve"> or</w:t>
      </w:r>
      <w:r>
        <w:rPr>
          <w:rFonts w:ascii="Arial" w:hAnsi="Arial"/>
          <w:sz w:val="22"/>
          <w:szCs w:val="22"/>
        </w:rPr>
        <w:t xml:space="preserve"> “fixed” </w:t>
      </w:r>
      <w:r w:rsidR="00797F1E">
        <w:rPr>
          <w:rFonts w:ascii="Arial" w:hAnsi="Arial"/>
          <w:sz w:val="22"/>
          <w:szCs w:val="22"/>
        </w:rPr>
        <w:t>to use</w:t>
      </w:r>
      <w:r>
        <w:rPr>
          <w:rFonts w:ascii="Arial" w:hAnsi="Arial"/>
          <w:sz w:val="22"/>
          <w:szCs w:val="22"/>
        </w:rPr>
        <w:t xml:space="preserve"> the same baseline length for each sample. The </w:t>
      </w:r>
      <w:r w:rsidR="00AB5E96">
        <w:rPr>
          <w:rFonts w:ascii="Arial" w:hAnsi="Arial"/>
          <w:sz w:val="22"/>
          <w:szCs w:val="22"/>
        </w:rPr>
        <w:t>“</w:t>
      </w:r>
      <w:r>
        <w:rPr>
          <w:rFonts w:ascii="Arial" w:hAnsi="Arial"/>
          <w:sz w:val="22"/>
          <w:szCs w:val="22"/>
        </w:rPr>
        <w:t>Assess.method</w:t>
      </w:r>
      <w:r w:rsidR="00AB5E96">
        <w:rPr>
          <w:rFonts w:ascii="Arial" w:hAnsi="Arial"/>
          <w:sz w:val="22"/>
          <w:szCs w:val="22"/>
        </w:rPr>
        <w:t>”</w:t>
      </w:r>
      <w:r>
        <w:rPr>
          <w:rFonts w:ascii="Arial" w:hAnsi="Arial"/>
          <w:sz w:val="22"/>
          <w:szCs w:val="22"/>
        </w:rPr>
        <w:t xml:space="preserve">, argument corresponds to the method used to </w:t>
      </w:r>
      <w:r w:rsidR="00797F1E">
        <w:rPr>
          <w:rFonts w:ascii="Arial" w:hAnsi="Arial"/>
          <w:sz w:val="22"/>
          <w:szCs w:val="22"/>
        </w:rPr>
        <w:t xml:space="preserve">evaluate baseline combinations </w:t>
      </w:r>
      <w:r>
        <w:rPr>
          <w:rFonts w:ascii="Arial" w:hAnsi="Arial"/>
          <w:sz w:val="22"/>
          <w:szCs w:val="22"/>
        </w:rPr>
        <w:t xml:space="preserve">for internal consistency. It can be 1 of 3 integer values, “1” to optimize agreement between samples in method 1, “2” to optimize agreement between methods 1 and 2, or “3” to optimize both agreement between method 1 and agreement between methods 1 and 2. The </w:t>
      </w:r>
      <w:r w:rsidR="00AB5E96">
        <w:rPr>
          <w:rFonts w:ascii="Arial" w:hAnsi="Arial"/>
          <w:sz w:val="22"/>
          <w:szCs w:val="22"/>
        </w:rPr>
        <w:t>“</w:t>
      </w:r>
      <w:r>
        <w:rPr>
          <w:rFonts w:ascii="Arial" w:hAnsi="Arial"/>
          <w:sz w:val="22"/>
          <w:szCs w:val="22"/>
        </w:rPr>
        <w:t>no.trim.range</w:t>
      </w:r>
      <w:r w:rsidR="00AB5E96">
        <w:rPr>
          <w:rFonts w:ascii="Arial" w:hAnsi="Arial"/>
          <w:sz w:val="22"/>
          <w:szCs w:val="22"/>
        </w:rPr>
        <w:t>”</w:t>
      </w:r>
      <w:r>
        <w:rPr>
          <w:rFonts w:ascii="Arial" w:hAnsi="Arial"/>
          <w:sz w:val="22"/>
          <w:szCs w:val="22"/>
        </w:rPr>
        <w:t xml:space="preserve"> argument defines the core melt region, by default between 10% and 90% unfolded. The </w:t>
      </w:r>
      <w:r w:rsidR="00AB5E96">
        <w:rPr>
          <w:rFonts w:ascii="Arial" w:hAnsi="Arial"/>
          <w:sz w:val="22"/>
          <w:szCs w:val="22"/>
        </w:rPr>
        <w:t>“</w:t>
      </w:r>
      <w:r>
        <w:rPr>
          <w:rFonts w:ascii="Arial" w:hAnsi="Arial"/>
          <w:sz w:val="22"/>
          <w:szCs w:val="22"/>
        </w:rPr>
        <w:t>quantile.threshold</w:t>
      </w:r>
      <w:r w:rsidR="00AB5E96">
        <w:rPr>
          <w:rFonts w:ascii="Arial" w:hAnsi="Arial"/>
          <w:sz w:val="22"/>
          <w:szCs w:val="22"/>
        </w:rPr>
        <w:t>”</w:t>
      </w:r>
      <w:r>
        <w:rPr>
          <w:rFonts w:ascii="Arial" w:hAnsi="Arial"/>
          <w:sz w:val="22"/>
          <w:szCs w:val="22"/>
        </w:rPr>
        <w:t xml:space="preserve"> argument, corresponds to the fraction of baseline combinations to </w:t>
      </w:r>
      <w:r w:rsidR="00AB5E96">
        <w:rPr>
          <w:rFonts w:ascii="Arial" w:hAnsi="Arial"/>
          <w:sz w:val="22"/>
          <w:szCs w:val="22"/>
        </w:rPr>
        <w:t>pass to</w:t>
      </w:r>
      <w:r>
        <w:rPr>
          <w:rFonts w:ascii="Arial" w:hAnsi="Arial"/>
          <w:sz w:val="22"/>
          <w:szCs w:val="22"/>
        </w:rPr>
        <w:t xml:space="preserve"> the final ensemble. By default, the BLtrimmer will use the 25% of baseline combinations that produce the most consistent parameters.</w:t>
      </w:r>
    </w:p>
    <w:p w14:paraId="3232F6FA" w14:textId="5F9CE2B7" w:rsidR="008E1C51" w:rsidRDefault="00000000" w:rsidP="008D55AE">
      <w:pPr>
        <w:spacing w:after="120" w:line="480" w:lineRule="auto"/>
        <w:jc w:val="both"/>
      </w:pPr>
      <w:r>
        <w:rPr>
          <w:rFonts w:ascii="Arial" w:hAnsi="Arial"/>
          <w:sz w:val="22"/>
          <w:szCs w:val="22"/>
        </w:rPr>
        <w:t xml:space="preserve">The final adjustable arguments determine how baselines are generated and either apply to the fixed or floating </w:t>
      </w:r>
      <w:r w:rsidR="00797F1E">
        <w:rPr>
          <w:rFonts w:ascii="Arial" w:hAnsi="Arial"/>
          <w:sz w:val="22"/>
          <w:szCs w:val="22"/>
        </w:rPr>
        <w:t>trim method</w:t>
      </w:r>
      <w:r>
        <w:rPr>
          <w:rFonts w:ascii="Arial" w:hAnsi="Arial"/>
          <w:sz w:val="22"/>
          <w:szCs w:val="22"/>
        </w:rPr>
        <w:t xml:space="preserve">. The n.ranges argument is the number of ranges to generate per sample and the </w:t>
      </w:r>
      <w:r>
        <w:rPr>
          <w:rFonts w:ascii="Arial" w:hAnsi="Arial"/>
          <w:sz w:val="22"/>
          <w:szCs w:val="22"/>
        </w:rPr>
        <w:lastRenderedPageBreak/>
        <w:t xml:space="preserve">range.step argument is the temperature step between baselines. By default, using the floating method, the </w:t>
      </w:r>
      <w:r w:rsidRPr="006234D5">
        <w:rPr>
          <w:rFonts w:ascii="Arial" w:hAnsi="Arial"/>
          <w:i/>
          <w:iCs/>
          <w:sz w:val="22"/>
          <w:szCs w:val="22"/>
        </w:rPr>
        <w:t xml:space="preserve">BLtrimmer </w:t>
      </w:r>
      <w:r>
        <w:rPr>
          <w:rFonts w:ascii="Arial" w:hAnsi="Arial"/>
          <w:sz w:val="22"/>
          <w:szCs w:val="22"/>
        </w:rPr>
        <w:t xml:space="preserve">will produce 5 symmetrical baselines per sample, at lengths of 5, 10, 15, 20, and 25 </w:t>
      </w:r>
      <w:r>
        <w:rPr>
          <w:rFonts w:ascii="Arial" w:hAnsi="Arial" w:cs="Arial"/>
          <w:sz w:val="22"/>
          <w:szCs w:val="22"/>
        </w:rPr>
        <w:t>°</w:t>
      </w:r>
      <w:r>
        <w:rPr>
          <w:rFonts w:ascii="Arial" w:hAnsi="Arial"/>
          <w:sz w:val="22"/>
          <w:szCs w:val="22"/>
        </w:rPr>
        <w:t xml:space="preserve">C. </w:t>
      </w:r>
      <w:r w:rsidR="006234D5">
        <w:rPr>
          <w:rFonts w:ascii="Arial" w:hAnsi="Arial"/>
          <w:sz w:val="22"/>
          <w:szCs w:val="22"/>
        </w:rPr>
        <w:t xml:space="preserve">The “n.combinations” argument allows the user to specify the number of random baseline combinations to test by default 1000. </w:t>
      </w:r>
      <w:r>
        <w:rPr>
          <w:rFonts w:ascii="Arial" w:hAnsi="Arial"/>
          <w:sz w:val="22"/>
          <w:szCs w:val="22"/>
        </w:rPr>
        <w:t>Testing</w:t>
      </w:r>
      <w:r w:rsidR="006234D5">
        <w:rPr>
          <w:rFonts w:ascii="Arial" w:hAnsi="Arial"/>
          <w:sz w:val="22"/>
          <w:szCs w:val="22"/>
        </w:rPr>
        <w:t xml:space="preserve"> 1000 random </w:t>
      </w:r>
      <w:r>
        <w:rPr>
          <w:rFonts w:ascii="Arial" w:hAnsi="Arial"/>
          <w:sz w:val="22"/>
          <w:szCs w:val="22"/>
        </w:rPr>
        <w:t xml:space="preserve">“floating” combinations </w:t>
      </w:r>
      <w:r w:rsidR="006234D5">
        <w:rPr>
          <w:rFonts w:ascii="Arial" w:hAnsi="Arial"/>
          <w:sz w:val="22"/>
          <w:szCs w:val="22"/>
        </w:rPr>
        <w:t>is</w:t>
      </w:r>
      <w:r>
        <w:rPr>
          <w:rFonts w:ascii="Arial" w:hAnsi="Arial"/>
          <w:sz w:val="22"/>
          <w:szCs w:val="22"/>
        </w:rPr>
        <w:t xml:space="preserve"> enough to </w:t>
      </w:r>
      <w:r w:rsidR="00797F1E">
        <w:rPr>
          <w:rFonts w:ascii="Arial" w:hAnsi="Arial"/>
          <w:sz w:val="22"/>
          <w:szCs w:val="22"/>
        </w:rPr>
        <w:t>achieve convergence</w:t>
      </w:r>
      <w:r>
        <w:rPr>
          <w:rFonts w:ascii="Arial" w:hAnsi="Arial"/>
          <w:sz w:val="22"/>
          <w:szCs w:val="22"/>
        </w:rPr>
        <w:t xml:space="preserve"> </w:t>
      </w:r>
      <w:r w:rsidR="00797F1E">
        <w:rPr>
          <w:rFonts w:ascii="Arial" w:hAnsi="Arial"/>
          <w:sz w:val="22"/>
          <w:szCs w:val="22"/>
        </w:rPr>
        <w:t xml:space="preserve">in about 1 min </w:t>
      </w:r>
      <w:r>
        <w:rPr>
          <w:rFonts w:ascii="Arial" w:hAnsi="Arial"/>
          <w:sz w:val="22"/>
          <w:szCs w:val="22"/>
        </w:rPr>
        <w:t>(Figure S</w:t>
      </w:r>
      <w:r w:rsidR="00797F1E">
        <w:rPr>
          <w:rFonts w:ascii="Arial" w:hAnsi="Arial"/>
          <w:sz w:val="22"/>
          <w:szCs w:val="22"/>
        </w:rPr>
        <w:t>3</w:t>
      </w:r>
      <w:r>
        <w:rPr>
          <w:rFonts w:ascii="Arial" w:hAnsi="Arial"/>
          <w:sz w:val="22"/>
          <w:szCs w:val="22"/>
        </w:rPr>
        <w:t xml:space="preserve">). </w:t>
      </w:r>
    </w:p>
    <w:p w14:paraId="6839B148" w14:textId="77777777" w:rsidR="008E1C51" w:rsidRDefault="00000000" w:rsidP="00814CB6">
      <w:pPr>
        <w:pStyle w:val="Heading2"/>
      </w:pPr>
      <w:r>
        <w:t>MeltR accurately reproduces thermodynamic parameters</w:t>
      </w:r>
    </w:p>
    <w:p w14:paraId="0852F68B" w14:textId="1369AFBC" w:rsidR="008E1C51" w:rsidRDefault="00000000" w:rsidP="008D55AE">
      <w:pPr>
        <w:spacing w:after="120" w:line="480" w:lineRule="auto"/>
        <w:jc w:val="both"/>
      </w:pPr>
      <w:r>
        <w:rPr>
          <w:rFonts w:ascii="Arial" w:hAnsi="Arial"/>
          <w:sz w:val="22"/>
          <w:szCs w:val="22"/>
        </w:rPr>
        <w:t xml:space="preserve">We first determined that </w:t>
      </w:r>
      <w:r w:rsidRPr="0078406C">
        <w:rPr>
          <w:rFonts w:ascii="Arial" w:hAnsi="Arial"/>
          <w:i/>
          <w:iCs/>
          <w:sz w:val="22"/>
          <w:szCs w:val="22"/>
        </w:rPr>
        <w:t>MeltR</w:t>
      </w:r>
      <w:r>
        <w:rPr>
          <w:rFonts w:ascii="Arial" w:hAnsi="Arial"/>
          <w:sz w:val="22"/>
          <w:szCs w:val="22"/>
        </w:rPr>
        <w:t xml:space="preserve"> accurately determined folding energies by fitting modeled data. Nine </w:t>
      </w:r>
      <w:r w:rsidR="00797F1E">
        <w:rPr>
          <w:rFonts w:ascii="Arial" w:hAnsi="Arial"/>
          <w:sz w:val="22"/>
          <w:szCs w:val="22"/>
        </w:rPr>
        <w:t xml:space="preserve">realistic </w:t>
      </w:r>
      <w:r w:rsidR="00E9227B">
        <w:rPr>
          <w:rFonts w:ascii="Arial" w:hAnsi="Arial"/>
          <w:sz w:val="22"/>
          <w:szCs w:val="22"/>
        </w:rPr>
        <w:t xml:space="preserve">(see </w:t>
      </w:r>
      <w:r w:rsidR="00E9227B">
        <w:rPr>
          <w:rFonts w:ascii="Arial" w:hAnsi="Arial"/>
          <w:sz w:val="22"/>
          <w:szCs w:val="22"/>
        </w:rPr>
        <w:t>S file 1 methods</w:t>
      </w:r>
      <w:r w:rsidR="00E9227B">
        <w:rPr>
          <w:rFonts w:ascii="Arial" w:hAnsi="Arial"/>
          <w:sz w:val="22"/>
          <w:szCs w:val="22"/>
        </w:rPr>
        <w:t>)</w:t>
      </w:r>
      <w:r w:rsidR="00E9227B">
        <w:rPr>
          <w:rFonts w:ascii="Arial" w:hAnsi="Arial"/>
          <w:sz w:val="22"/>
          <w:szCs w:val="22"/>
        </w:rPr>
        <w:t xml:space="preserve"> </w:t>
      </w:r>
      <w:r>
        <w:rPr>
          <w:rFonts w:ascii="Arial" w:hAnsi="Arial"/>
          <w:sz w:val="22"/>
          <w:szCs w:val="22"/>
        </w:rPr>
        <w:t>absorbance melting curve were modeled for 9</w:t>
      </w:r>
      <w:r w:rsidR="00E9227B">
        <w:rPr>
          <w:rFonts w:ascii="Arial" w:hAnsi="Arial"/>
          <w:sz w:val="22"/>
          <w:szCs w:val="22"/>
        </w:rPr>
        <w:t>6</w:t>
      </w:r>
      <w:r>
        <w:rPr>
          <w:rFonts w:ascii="Arial" w:hAnsi="Arial"/>
          <w:sz w:val="22"/>
          <w:szCs w:val="22"/>
        </w:rPr>
        <w:t xml:space="preserve"> two-state folding helices.</w:t>
      </w:r>
      <w:r w:rsidR="00E9227B">
        <w:rPr>
          <w:rFonts w:ascii="Arial" w:hAnsi="Arial"/>
          <w:sz w:val="22"/>
          <w:szCs w:val="22"/>
        </w:rPr>
        <w:fldChar w:fldCharType="begin"/>
      </w:r>
      <w:r w:rsidR="00E9227B">
        <w:rPr>
          <w:rFonts w:ascii="Arial" w:hAnsi="Arial"/>
          <w:sz w:val="22"/>
          <w:szCs w:val="22"/>
        </w:rPr>
        <w:instrText xml:space="preserve"> ADDIN ZOTERO_ITEM CSL_CITATION {"citationID":"oqEuP3Ui","properties":{"formattedCitation":"\\super 7,23\\nosupersub{}","plainCitation":"7,23","noteIndex":0},"citationItems":[{"id":2305,"uris":["http://zotero.org/users/4485201/items/AIY2PT9G"],"itemData":{"id":2305,"type":"article-journal","abstract":"We determined the melting temperatures (Tm) and thermodynamic parameters of 15 RNA and 19 DNA hairpins at 1 M NaCI, 0.01 M sodium phosphate, 0.1 mM EDTA, at pH 7. All these hairpins have loops of four bases, the most common loop size in 16S and 23S ribosomal RNAs. The RNA hairpins varied in loop sequence, loop-closing base pair (A.U, C G, or G.C), base sequence of the stem, and stem size (four or five base pairs). The DNA hairpins varied in loop sequence, loop-closing base pair (C-G, or G-C), and base sequence of the four base-pair stem. Thermodynamic properties of a hairpin may be represented by nearest-neighbor interactions of the stem plus contributions from the loop. Thus, we obtained thermodynamic parameters for the formation of RNA and DNA tetraloops. For the tetraloops we studied, a free energy of loop formation (at 37°C) of about +3 kcal/mol is most common for either RNA or DNA. There are extra stable loops with ΔG°37 near +1 kcal/mol, but the sequences are not necessarily the same for RNA and DNA. The closing base pair is also important; changing from C-G to G-C lowered the stability of several tetraloops in both RNA and DNA. These values will be useful in predicting RNA and DNA secondary structures.","container-title":"Nucleic Acids Research","DOI":"10.1093/nar/20.4.819","ISSN":"0305-1048","issue":"4","journalAbbreviation":"Nucleic Acids Research","page":"819-824","source":"Silverchair","title":"Thermodynamic parameters for loop formation in RNA and DNA hairpin tetraloops","volume":"20","author":[{"family":"Antao","given":"Vincent P."},{"family":"Tinoco","given":"Ignacio","suffix":"Jr"}],"issued":{"date-parts":[["1992",2,25]]}}},{"id":556,"uris":["http://zotero.org/users/4485201/items/W9LEI5CR"],"itemData":{"id":556,"type":"article-journal","abstract":"Improved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E9227B">
        <w:rPr>
          <w:rFonts w:ascii="Arial" w:hAnsi="Arial"/>
          <w:sz w:val="22"/>
          <w:szCs w:val="22"/>
        </w:rPr>
        <w:fldChar w:fldCharType="separate"/>
      </w:r>
      <w:r w:rsidR="00E9227B" w:rsidRPr="00E9227B">
        <w:rPr>
          <w:rFonts w:ascii="Arial" w:hAnsi="Arial" w:cs="Arial"/>
          <w:sz w:val="22"/>
          <w:vertAlign w:val="superscript"/>
        </w:rPr>
        <w:t>7,23</w:t>
      </w:r>
      <w:r w:rsidR="00E9227B">
        <w:rPr>
          <w:rFonts w:ascii="Arial" w:hAnsi="Arial"/>
          <w:sz w:val="22"/>
          <w:szCs w:val="22"/>
        </w:rPr>
        <w:fldChar w:fldCharType="end"/>
      </w:r>
      <w:r w:rsidR="00E9227B">
        <w:rPr>
          <w:rFonts w:ascii="Arial" w:hAnsi="Arial"/>
          <w:sz w:val="22"/>
          <w:szCs w:val="22"/>
        </w:rPr>
        <w:t xml:space="preserve"> </w:t>
      </w:r>
      <w:r>
        <w:rPr>
          <w:rFonts w:ascii="Arial" w:hAnsi="Arial"/>
          <w:sz w:val="22"/>
          <w:szCs w:val="22"/>
        </w:rPr>
        <w:t xml:space="preserve">The modeled data were then fit with </w:t>
      </w:r>
      <w:r w:rsidRPr="0078406C">
        <w:rPr>
          <w:rFonts w:ascii="Arial" w:hAnsi="Arial"/>
          <w:i/>
          <w:iCs/>
          <w:sz w:val="22"/>
          <w:szCs w:val="22"/>
        </w:rPr>
        <w:t>meltR.A</w:t>
      </w:r>
      <w:r>
        <w:rPr>
          <w:rFonts w:ascii="Arial" w:hAnsi="Arial"/>
          <w:sz w:val="22"/>
          <w:szCs w:val="22"/>
        </w:rPr>
        <w:t xml:space="preserve"> followed by the </w:t>
      </w:r>
      <w:r w:rsidRPr="0078406C">
        <w:rPr>
          <w:rFonts w:ascii="Arial" w:hAnsi="Arial"/>
          <w:i/>
          <w:iCs/>
          <w:sz w:val="22"/>
          <w:szCs w:val="22"/>
        </w:rPr>
        <w:t>BLtrimmer</w:t>
      </w:r>
      <w:r>
        <w:rPr>
          <w:rFonts w:ascii="Arial" w:hAnsi="Arial"/>
          <w:sz w:val="22"/>
          <w:szCs w:val="22"/>
        </w:rPr>
        <w:t xml:space="preserve"> with no manual baseline trimming. </w:t>
      </w:r>
      <w:r w:rsidRPr="0078406C">
        <w:rPr>
          <w:rFonts w:ascii="Arial" w:hAnsi="Arial"/>
          <w:i/>
          <w:iCs/>
          <w:sz w:val="22"/>
          <w:szCs w:val="22"/>
        </w:rPr>
        <w:t>BLtrimmer</w:t>
      </w:r>
      <w:r>
        <w:rPr>
          <w:rFonts w:ascii="Arial" w:hAnsi="Arial"/>
          <w:sz w:val="22"/>
          <w:szCs w:val="22"/>
        </w:rPr>
        <w:t xml:space="preserve"> results for all three methods were in good agreement with the known folding energies (Figure S4</w:t>
      </w:r>
      <w:r w:rsidR="00797F1E">
        <w:rPr>
          <w:rFonts w:ascii="Arial" w:hAnsi="Arial"/>
          <w:sz w:val="22"/>
          <w:szCs w:val="22"/>
        </w:rPr>
        <w:t>A-D</w:t>
      </w:r>
      <w:r>
        <w:rPr>
          <w:rFonts w:ascii="Arial" w:hAnsi="Arial"/>
          <w:sz w:val="22"/>
          <w:szCs w:val="22"/>
        </w:rPr>
        <w:t xml:space="preserve">). </w:t>
      </w:r>
    </w:p>
    <w:p w14:paraId="71C8EEBC" w14:textId="45A8C571" w:rsidR="008E1C51" w:rsidRDefault="00000000" w:rsidP="008D55AE">
      <w:pPr>
        <w:spacing w:after="120" w:line="480" w:lineRule="auto"/>
        <w:jc w:val="both"/>
      </w:pPr>
      <w:r>
        <w:rPr>
          <w:rStyle w:val="Heading3Char"/>
          <w:rFonts w:eastAsia="Times New Roman" w:cs="Times New Roman"/>
          <w:b w:val="0"/>
          <w:color w:val="auto"/>
          <w:sz w:val="22"/>
          <w:szCs w:val="22"/>
        </w:rPr>
        <w:t xml:space="preserve">We next tested </w:t>
      </w:r>
      <w:r w:rsidRPr="00D41FC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by fitting real data. We compiled five </w:t>
      </w:r>
      <w:r w:rsidR="00E9227B">
        <w:rPr>
          <w:rStyle w:val="Heading3Char"/>
          <w:rFonts w:eastAsia="Times New Roman" w:cs="Times New Roman"/>
          <w:b w:val="0"/>
          <w:color w:val="auto"/>
          <w:sz w:val="22"/>
          <w:szCs w:val="22"/>
        </w:rPr>
        <w:t xml:space="preserve">previously published </w:t>
      </w:r>
      <w:r>
        <w:rPr>
          <w:rStyle w:val="Heading3Char"/>
          <w:rFonts w:eastAsia="Times New Roman" w:cs="Times New Roman"/>
          <w:b w:val="0"/>
          <w:color w:val="auto"/>
          <w:sz w:val="22"/>
          <w:szCs w:val="22"/>
        </w:rPr>
        <w:t>data sets of data for self-complementary RNA,</w:t>
      </w:r>
      <w:r w:rsidR="00797F1E">
        <w:rPr>
          <w:rStyle w:val="Heading3Char"/>
          <w:rFonts w:eastAsia="Times New Roman" w:cs="Times New Roman"/>
          <w:b w:val="0"/>
          <w:color w:val="auto"/>
          <w:sz w:val="22"/>
          <w:szCs w:val="22"/>
        </w:rPr>
        <w:fldChar w:fldCharType="begin"/>
      </w:r>
      <w:r w:rsidR="00797F1E">
        <w:rPr>
          <w:rStyle w:val="Heading3Char"/>
          <w:rFonts w:eastAsia="Times New Roman" w:cs="Times New Roman"/>
          <w:b w:val="0"/>
          <w:color w:val="auto"/>
          <w:sz w:val="22"/>
          <w:szCs w:val="22"/>
        </w:rPr>
        <w:instrText xml:space="preserve"> ADDIN ZOTERO_ITEM CSL_CITATION {"citationID":"BYzOcbeu","properties":{"formattedCitation":"\\super 19\\nosupersub{}","plainCitation":"19","noteIndex":0},"citationItems":[{"id":2242,"uris":["http://zotero.org/users/4485201/items/2CAD5IWW"],"itemData":{"id":2242,"type":"article-journal","abstract":"It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797F1E">
        <w:rPr>
          <w:rStyle w:val="Heading3Char"/>
          <w:rFonts w:ascii="Cambria Math" w:eastAsia="Times New Roman" w:hAnsi="Cambria Math" w:cs="Cambria Math"/>
          <w:b w:val="0"/>
          <w:color w:val="auto"/>
          <w:sz w:val="22"/>
          <w:szCs w:val="22"/>
        </w:rPr>
        <w:instrText>∼</w:instrText>
      </w:r>
      <w:r w:rsidR="00797F1E">
        <w:rPr>
          <w:rStyle w:val="Heading3Char"/>
          <w:rFonts w:eastAsia="Times New Roman" w:cs="Times New Roman"/>
          <w:b w:val="0"/>
          <w:color w:val="auto"/>
          <w:sz w:val="22"/>
          <w:szCs w:val="22"/>
        </w:rPr>
        <w:instrText xml:space="preserve">0.65 kcal/mol closer to experimental </w:instrText>
      </w:r>
      <w:r w:rsidR="00797F1E">
        <w:rPr>
          <w:rStyle w:val="Heading3Char"/>
          <w:rFonts w:eastAsia="Times New Roman" w:cs="Arial"/>
          <w:b w:val="0"/>
          <w:color w:val="auto"/>
          <w:sz w:val="22"/>
          <w:szCs w:val="22"/>
        </w:rPr>
        <w:instrText>Δ</w:instrText>
      </w:r>
      <w:r w:rsidR="00797F1E">
        <w:rPr>
          <w:rStyle w:val="Heading3Char"/>
          <w:rFonts w:eastAsia="Times New Roman" w:cs="Times New Roman"/>
          <w:b w:val="0"/>
          <w:color w:val="auto"/>
          <w:sz w:val="22"/>
          <w:szCs w:val="22"/>
        </w:rPr>
        <w:instrText>G</w:instrText>
      </w:r>
      <w:r w:rsidR="00797F1E">
        <w:rPr>
          <w:rStyle w:val="Heading3Char"/>
          <w:rFonts w:eastAsia="Times New Roman" w:cs="Arial"/>
          <w:b w:val="0"/>
          <w:color w:val="auto"/>
          <w:sz w:val="22"/>
          <w:szCs w:val="22"/>
        </w:rPr>
        <w:instrText>°</w:instrText>
      </w:r>
      <w:r w:rsidR="00797F1E">
        <w:rPr>
          <w:rStyle w:val="Heading3Char"/>
          <w:rFonts w:eastAsia="Times New Roman" w:cs="Times New Roman"/>
          <w:b w:val="0"/>
          <w:color w:val="auto"/>
          <w:sz w:val="22"/>
          <w:szCs w:val="22"/>
        </w:rPr>
        <w:instrText xml:space="preserve">37 values than those predicted by the standard nearest neighbor model. For one DNA sequence in solution with small crowders, the </w:instrText>
      </w:r>
      <w:r w:rsidR="00797F1E">
        <w:rPr>
          <w:rStyle w:val="Heading3Char"/>
          <w:rFonts w:eastAsia="Times New Roman" w:cs="Arial"/>
          <w:b w:val="0"/>
          <w:color w:val="auto"/>
          <w:sz w:val="22"/>
          <w:szCs w:val="22"/>
        </w:rPr>
        <w:instrText>Δ</w:instrText>
      </w:r>
      <w:r w:rsidR="00797F1E">
        <w:rPr>
          <w:rStyle w:val="Heading3Char"/>
          <w:rFonts w:eastAsia="Times New Roman" w:cs="Times New Roman"/>
          <w:b w:val="0"/>
          <w:color w:val="auto"/>
          <w:sz w:val="22"/>
          <w:szCs w:val="22"/>
        </w:rPr>
        <w:instrText>G</w:instrText>
      </w:r>
      <w:r w:rsidR="00797F1E">
        <w:rPr>
          <w:rStyle w:val="Heading3Char"/>
          <w:rFonts w:eastAsia="Times New Roman" w:cs="Arial"/>
          <w:b w:val="0"/>
          <w:color w:val="auto"/>
          <w:sz w:val="22"/>
          <w:szCs w:val="22"/>
        </w:rPr>
        <w:instrText>°</w:instrText>
      </w:r>
      <w:r w:rsidR="00797F1E">
        <w:rPr>
          <w:rStyle w:val="Heading3Char"/>
          <w:rFonts w:eastAsia="Times New Roman" w:cs="Times New Roman"/>
          <w:b w:val="0"/>
          <w:color w:val="auto"/>
          <w:sz w:val="22"/>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797F1E">
        <w:rPr>
          <w:rStyle w:val="Heading3Char"/>
          <w:rFonts w:eastAsia="Times New Roman" w:cs="Times New Roman"/>
          <w:b w:val="0"/>
          <w:color w:val="auto"/>
          <w:sz w:val="22"/>
          <w:szCs w:val="22"/>
        </w:rPr>
        <w:fldChar w:fldCharType="separate"/>
      </w:r>
      <w:r w:rsidR="00797F1E" w:rsidRPr="00797F1E">
        <w:rPr>
          <w:rFonts w:ascii="Arial" w:hAnsi="Arial" w:cs="Arial"/>
          <w:sz w:val="22"/>
          <w:vertAlign w:val="superscript"/>
        </w:rPr>
        <w:t>19</w:t>
      </w:r>
      <w:r w:rsidR="00797F1E">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and six new data sets collected on a non-self-complementary RNA, which are presented here. The data were fit with </w:t>
      </w:r>
      <w:r w:rsidRPr="00D41FC7">
        <w:rPr>
          <w:rStyle w:val="Heading3Char"/>
          <w:rFonts w:eastAsia="Times New Roman" w:cs="Times New Roman"/>
          <w:b w:val="0"/>
          <w:i/>
          <w:iCs/>
          <w:color w:val="auto"/>
          <w:sz w:val="22"/>
          <w:szCs w:val="22"/>
        </w:rPr>
        <w:t>meltR.A</w:t>
      </w:r>
      <w:r>
        <w:rPr>
          <w:rStyle w:val="Heading3Char"/>
          <w:rFonts w:eastAsia="Times New Roman" w:cs="Times New Roman"/>
          <w:b w:val="0"/>
          <w:color w:val="auto"/>
          <w:sz w:val="22"/>
          <w:szCs w:val="22"/>
        </w:rPr>
        <w:t xml:space="preserve"> and these fits were passed through </w:t>
      </w:r>
      <w:r w:rsidRPr="00D41FC7">
        <w:rPr>
          <w:rStyle w:val="Heading3Char"/>
          <w:rFonts w:eastAsia="Times New Roman" w:cs="Times New Roman"/>
          <w:b w:val="0"/>
          <w:i/>
          <w:iCs/>
          <w:color w:val="auto"/>
          <w:sz w:val="22"/>
          <w:szCs w:val="22"/>
        </w:rPr>
        <w:t>BLtrimmer</w:t>
      </w:r>
      <w:r>
        <w:rPr>
          <w:rStyle w:val="Heading3Char"/>
          <w:rFonts w:eastAsia="Times New Roman" w:cs="Times New Roman"/>
          <w:b w:val="0"/>
          <w:color w:val="auto"/>
          <w:sz w:val="22"/>
          <w:szCs w:val="22"/>
        </w:rPr>
        <w:t>, (Table S1). The three methods were in good agreement,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methods of 4.8%, 5.4% , 1.2%, and 0.4%, respectively.</w:t>
      </w:r>
    </w:p>
    <w:p w14:paraId="447BA3FF" w14:textId="3ED839EA" w:rsidR="008E1C51" w:rsidRDefault="00000000" w:rsidP="008D55AE">
      <w:pPr>
        <w:spacing w:after="120" w:line="480" w:lineRule="auto"/>
        <w:jc w:val="both"/>
      </w:pPr>
      <w:r>
        <w:rPr>
          <w:rStyle w:val="Heading3Char"/>
          <w:rFonts w:eastAsia="Times New Roman" w:cs="Times New Roman"/>
          <w:b w:val="0"/>
          <w:color w:val="auto"/>
          <w:sz w:val="22"/>
          <w:szCs w:val="22"/>
        </w:rPr>
        <w:t xml:space="preserve">To obtain an independent measure of accuracy, we compared the </w:t>
      </w:r>
      <w:r w:rsidR="009040C3">
        <w:rPr>
          <w:rStyle w:val="Heading3Char"/>
          <w:rFonts w:eastAsia="Times New Roman" w:cs="Times New Roman"/>
          <w:b w:val="0"/>
          <w:color w:val="auto"/>
          <w:sz w:val="22"/>
          <w:szCs w:val="22"/>
        </w:rPr>
        <w:t xml:space="preserve">parameters </w:t>
      </w:r>
      <w:r>
        <w:rPr>
          <w:rStyle w:val="Heading3Char"/>
          <w:rFonts w:eastAsia="Times New Roman" w:cs="Times New Roman"/>
          <w:b w:val="0"/>
          <w:color w:val="auto"/>
          <w:sz w:val="22"/>
          <w:szCs w:val="22"/>
        </w:rPr>
        <w:t xml:space="preserve">we calculated with </w:t>
      </w:r>
      <w:r w:rsidRPr="009040C3">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to folding energies calculated with </w:t>
      </w:r>
      <w:r w:rsidRPr="009040C3">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Parameters</w:t>
      </w:r>
      <w:r>
        <w:rPr>
          <w:rStyle w:val="Heading3Char"/>
          <w:rFonts w:eastAsia="Times New Roman" w:cs="Times New Roman"/>
          <w:b w:val="0"/>
          <w:color w:val="auto"/>
          <w:sz w:val="22"/>
          <w:szCs w:val="22"/>
        </w:rPr>
        <w:t xml:space="preserve"> calculated with methods 1 and 2 using MeltWin were obtained from the published source</w:t>
      </w:r>
      <w:r w:rsidR="00FD6191">
        <w:rPr>
          <w:rStyle w:val="Heading3Char"/>
          <w:rFonts w:eastAsia="Times New Roman" w:cs="Times New Roman"/>
          <w:b w:val="0"/>
          <w:color w:val="auto"/>
          <w:sz w:val="22"/>
          <w:szCs w:val="22"/>
        </w:rPr>
        <w:fldChar w:fldCharType="begin"/>
      </w:r>
      <w:r w:rsidR="00FD6191">
        <w:rPr>
          <w:rStyle w:val="Heading3Char"/>
          <w:rFonts w:eastAsia="Times New Roman" w:cs="Times New Roman"/>
          <w:b w:val="0"/>
          <w:color w:val="auto"/>
          <w:sz w:val="22"/>
          <w:szCs w:val="22"/>
        </w:rPr>
        <w:instrText xml:space="preserve"> ADDIN ZOTERO_ITEM CSL_CITATION {"citationID":"dbpGQfTe","properties":{"formattedCitation":"\\super 19\\nosupersub{}","plainCitation":"19","noteIndex":0},"citationItems":[{"id":2242,"uris":["http://zotero.org/users/4485201/items/2CAD5IWW"],"itemData":{"id":2242,"type":"article-journal","abstract":"It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FD6191">
        <w:rPr>
          <w:rStyle w:val="Heading3Char"/>
          <w:rFonts w:ascii="Cambria Math" w:eastAsia="Times New Roman" w:hAnsi="Cambria Math" w:cs="Cambria Math"/>
          <w:b w:val="0"/>
          <w:color w:val="auto"/>
          <w:sz w:val="22"/>
          <w:szCs w:val="22"/>
        </w:rPr>
        <w:instrText>∼</w:instrText>
      </w:r>
      <w:r w:rsidR="00FD6191">
        <w:rPr>
          <w:rStyle w:val="Heading3Char"/>
          <w:rFonts w:eastAsia="Times New Roman" w:cs="Times New Roman"/>
          <w:b w:val="0"/>
          <w:color w:val="auto"/>
          <w:sz w:val="22"/>
          <w:szCs w:val="22"/>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FD6191">
        <w:rPr>
          <w:rStyle w:val="Heading3Char"/>
          <w:rFonts w:eastAsia="Times New Roman" w:cs="Times New Roman"/>
          <w:b w:val="0"/>
          <w:color w:val="auto"/>
          <w:sz w:val="22"/>
          <w:szCs w:val="22"/>
        </w:rPr>
        <w:fldChar w:fldCharType="separate"/>
      </w:r>
      <w:r w:rsidR="00FD6191" w:rsidRPr="00FD6191">
        <w:rPr>
          <w:rFonts w:ascii="Arial" w:hAnsi="Arial" w:cs="Arial"/>
          <w:sz w:val="22"/>
          <w:vertAlign w:val="superscript"/>
        </w:rPr>
        <w:t>19</w:t>
      </w:r>
      <w:r w:rsidR="00FD6191">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for the self-complementary duplexes</w:t>
      </w:r>
      <w:r w:rsidR="00FD6191">
        <w:rPr>
          <w:rStyle w:val="Heading3Char"/>
          <w:rFonts w:eastAsia="Times New Roman" w:cs="Times New Roman"/>
          <w:b w:val="0"/>
          <w:color w:val="auto"/>
          <w:sz w:val="22"/>
          <w:szCs w:val="22"/>
        </w:rPr>
        <w:t xml:space="preserve"> and are presented here for heteroduplexes (Table S1)</w:t>
      </w:r>
      <w:r>
        <w:rPr>
          <w:rStyle w:val="Heading3Char"/>
          <w:rFonts w:eastAsia="Times New Roman" w:cs="Times New Roman"/>
          <w:b w:val="0"/>
          <w:color w:val="auto"/>
          <w:sz w:val="22"/>
          <w:szCs w:val="22"/>
        </w:rPr>
        <w:t xml:space="preserve">. </w:t>
      </w:r>
      <w:r w:rsidRPr="009040C3">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method 1 was in good agreement with </w:t>
      </w:r>
      <w:r w:rsidRPr="009040C3">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method 1 </w:t>
      </w:r>
      <w:r w:rsidR="009040C3">
        <w:rPr>
          <w:rStyle w:val="Heading3Char"/>
          <w:rFonts w:eastAsia="Times New Roman" w:cs="Times New Roman"/>
          <w:b w:val="0"/>
          <w:color w:val="auto"/>
          <w:sz w:val="22"/>
          <w:szCs w:val="22"/>
        </w:rPr>
        <w:t>with an</w:t>
      </w:r>
      <w:r>
        <w:rPr>
          <w:rStyle w:val="Heading3Char"/>
          <w:rFonts w:eastAsia="Times New Roman" w:cs="Times New Roman"/>
          <w:b w:val="0"/>
          <w:color w:val="auto"/>
          <w:sz w:val="22"/>
          <w:szCs w:val="22"/>
        </w:rPr>
        <w:t xml:space="preserve">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was 1.8%, 2.0%, 2.5%, and 2.2%, respectively</w:t>
      </w:r>
      <w:r w:rsidR="009040C3">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(Figure 3A)</w:t>
      </w:r>
      <w:r w:rsidR="009040C3" w:rsidRPr="009040C3">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(Figure 3A)</w:t>
      </w:r>
      <w:r>
        <w:rPr>
          <w:rStyle w:val="Heading3Char"/>
          <w:rFonts w:eastAsia="Times New Roman" w:cs="Times New Roman"/>
          <w:b w:val="0"/>
          <w:color w:val="auto"/>
          <w:sz w:val="22"/>
          <w:szCs w:val="22"/>
        </w:rPr>
        <w:t>. Likewise, MeltR method 2 was in good agreement with MeltWin method 2</w:t>
      </w:r>
      <w:r w:rsidR="009040C3">
        <w:rPr>
          <w:rStyle w:val="Heading3Char"/>
          <w:rFonts w:eastAsia="Times New Roman" w:cs="Times New Roman"/>
          <w:b w:val="0"/>
          <w:color w:val="auto"/>
          <w:sz w:val="22"/>
          <w:szCs w:val="22"/>
        </w:rPr>
        <w:t xml:space="preserve"> with an</w:t>
      </w:r>
      <w:r>
        <w:rPr>
          <w:rStyle w:val="Heading3Char"/>
          <w:rFonts w:eastAsia="Times New Roman" w:cs="Times New Roman"/>
          <w:b w:val="0"/>
          <w:color w:val="auto"/>
          <w:sz w:val="22"/>
          <w:szCs w:val="22"/>
        </w:rPr>
        <w:t xml:space="preserve">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was 3.0%, 3.3%, 2.6%, and 2.2%, respectively. Interestingly, MeltR method 3 reasonably reconstituted both MeltWin methods 1 and 2</w:t>
      </w:r>
      <w:r w:rsidR="00FD6191">
        <w:rPr>
          <w:rStyle w:val="Heading3Char"/>
          <w:rFonts w:eastAsia="Times New Roman" w:cs="Times New Roman"/>
          <w:b w:val="0"/>
          <w:color w:val="auto"/>
          <w:sz w:val="22"/>
          <w:szCs w:val="22"/>
        </w:rPr>
        <w:t xml:space="preserve"> even though it is an </w:t>
      </w:r>
      <w:r w:rsidR="009040C3">
        <w:rPr>
          <w:rStyle w:val="Heading3Char"/>
          <w:rFonts w:eastAsia="Times New Roman" w:cs="Times New Roman"/>
          <w:b w:val="0"/>
          <w:color w:val="auto"/>
          <w:sz w:val="22"/>
          <w:szCs w:val="22"/>
        </w:rPr>
        <w:t>original</w:t>
      </w:r>
      <w:r w:rsidR="00FD6191">
        <w:rPr>
          <w:rStyle w:val="Heading3Char"/>
          <w:rFonts w:eastAsia="Times New Roman" w:cs="Times New Roman"/>
          <w:b w:val="0"/>
          <w:color w:val="auto"/>
          <w:sz w:val="22"/>
          <w:szCs w:val="22"/>
        </w:rPr>
        <w:t xml:space="preserve"> method</w:t>
      </w:r>
      <w:r w:rsidR="009040C3">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(Figure 3B-F)</w:t>
      </w:r>
      <w:r>
        <w:rPr>
          <w:rStyle w:val="Heading3Char"/>
          <w:rFonts w:eastAsia="Times New Roman" w:cs="Times New Roman"/>
          <w:b w:val="0"/>
          <w:color w:val="auto"/>
          <w:sz w:val="22"/>
          <w:szCs w:val="22"/>
        </w:rPr>
        <w:t>.</w:t>
      </w:r>
    </w:p>
    <w:p w14:paraId="564F57A9" w14:textId="19C6628D" w:rsidR="008E1C51" w:rsidRDefault="00000000" w:rsidP="008D55AE">
      <w:pPr>
        <w:spacing w:after="120" w:line="480" w:lineRule="auto"/>
        <w:jc w:val="both"/>
      </w:pPr>
      <w:r>
        <w:rPr>
          <w:rStyle w:val="Heading3Char"/>
          <w:rFonts w:eastAsia="Times New Roman" w:cs="Times New Roman"/>
          <w:b w:val="0"/>
          <w:color w:val="auto"/>
          <w:sz w:val="22"/>
          <w:szCs w:val="22"/>
        </w:rPr>
        <w:lastRenderedPageBreak/>
        <w:t xml:space="preserve">We next tested </w:t>
      </w:r>
      <w:r w:rsidRPr="0063195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for agreement with the consensus nearest neighbor model. Folding energies were calculated using published Watson-Crick nearest neighbor parameters for each helix.</w:t>
      </w:r>
      <w:r w:rsidR="00631957">
        <w:rPr>
          <w:rStyle w:val="Heading3Char"/>
          <w:rFonts w:eastAsia="Times New Roman" w:cs="Times New Roman"/>
          <w:b w:val="0"/>
          <w:color w:val="auto"/>
          <w:sz w:val="22"/>
          <w:szCs w:val="22"/>
        </w:rPr>
        <w:fldChar w:fldCharType="begin"/>
      </w:r>
      <w:r w:rsidR="00631957">
        <w:rPr>
          <w:rStyle w:val="Heading3Char"/>
          <w:rFonts w:eastAsia="Times New Roman" w:cs="Times New Roman"/>
          <w:b w:val="0"/>
          <w:color w:val="auto"/>
          <w:sz w:val="22"/>
          <w:szCs w:val="22"/>
        </w:rPr>
        <w:instrText xml:space="preserve"> ADDIN ZOTERO_ITEM CSL_CITATION {"citationID":"j0WKywq6","properties":{"formattedCitation":"\\super 7,19\\nosupersub{}","plainCitation":"7,19","noteIndex":0},"citationItems":[{"id":556,"uris":["http://zotero.org/users/4485201/items/W9LEI5CR"],"itemData":{"id":556,"type":"article-journal","abstract":"Improved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631957">
        <w:rPr>
          <w:rStyle w:val="Heading3Char"/>
          <w:rFonts w:ascii="Cambria Math" w:eastAsia="Times New Roman" w:hAnsi="Cambria Math" w:cs="Cambria Math"/>
          <w:b w:val="0"/>
          <w:color w:val="auto"/>
          <w:sz w:val="22"/>
          <w:szCs w:val="22"/>
        </w:rPr>
        <w:instrText>∼</w:instrText>
      </w:r>
      <w:r w:rsidR="00631957">
        <w:rPr>
          <w:rStyle w:val="Heading3Char"/>
          <w:rFonts w:eastAsia="Times New Roman" w:cs="Times New Roman"/>
          <w:b w:val="0"/>
          <w:color w:val="auto"/>
          <w:sz w:val="22"/>
          <w:szCs w:val="22"/>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631957">
        <w:rPr>
          <w:rStyle w:val="Heading3Char"/>
          <w:rFonts w:eastAsia="Times New Roman" w:cs="Times New Roman"/>
          <w:b w:val="0"/>
          <w:color w:val="auto"/>
          <w:sz w:val="22"/>
          <w:szCs w:val="22"/>
        </w:rPr>
        <w:fldChar w:fldCharType="separate"/>
      </w:r>
      <w:r w:rsidR="00631957" w:rsidRPr="00631957">
        <w:rPr>
          <w:rFonts w:ascii="Arial" w:hAnsi="Arial" w:cs="Arial"/>
          <w:sz w:val="22"/>
          <w:vertAlign w:val="superscript"/>
        </w:rPr>
        <w:t>7,19</w:t>
      </w:r>
      <w:r w:rsidR="00631957">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Errors were within 10% of the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provided by the nearest neighbor </w:t>
      </w:r>
      <w:r w:rsidR="00631957">
        <w:rPr>
          <w:rStyle w:val="Heading3Char"/>
          <w:rFonts w:eastAsia="Times New Roman" w:cs="Times New Roman"/>
          <w:b w:val="0"/>
          <w:color w:val="auto"/>
          <w:sz w:val="22"/>
          <w:szCs w:val="22"/>
        </w:rPr>
        <w:t xml:space="preserve">model </w:t>
      </w:r>
      <w:r>
        <w:rPr>
          <w:rStyle w:val="Heading3Char"/>
          <w:rFonts w:eastAsia="Times New Roman" w:cs="Times New Roman"/>
          <w:b w:val="0"/>
          <w:color w:val="auto"/>
          <w:sz w:val="22"/>
          <w:szCs w:val="22"/>
        </w:rPr>
        <w:t xml:space="preserve">and there was no significant difference between the distribution of errors between any of the methods for </w:t>
      </w:r>
      <w:r w:rsidRPr="0063195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and </w:t>
      </w:r>
      <w:r w:rsidRPr="00631957">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(Figure S4</w:t>
      </w:r>
      <w:r w:rsidR="00FD6191">
        <w:rPr>
          <w:rStyle w:val="Heading3Char"/>
          <w:rFonts w:eastAsia="Times New Roman" w:cs="Times New Roman"/>
          <w:b w:val="0"/>
          <w:color w:val="auto"/>
          <w:sz w:val="22"/>
          <w:szCs w:val="22"/>
        </w:rPr>
        <w:t>E</w:t>
      </w:r>
      <w:r>
        <w:rPr>
          <w:rStyle w:val="Heading3Char"/>
          <w:rFonts w:eastAsia="Times New Roman" w:cs="Times New Roman"/>
          <w:b w:val="0"/>
          <w:color w:val="auto"/>
          <w:sz w:val="22"/>
          <w:szCs w:val="22"/>
        </w:rPr>
        <w:t>).</w:t>
      </w:r>
    </w:p>
    <w:p w14:paraId="3CE2C90F" w14:textId="77777777" w:rsidR="008E1C51" w:rsidRDefault="00000000" w:rsidP="00814CB6">
      <w:pPr>
        <w:pStyle w:val="Heading2"/>
      </w:pPr>
      <w:r>
        <w:t>The MeltR provides a two-state folding test</w:t>
      </w:r>
    </w:p>
    <w:p w14:paraId="6348160B" w14:textId="42CE8CBC" w:rsidR="008E1C51" w:rsidRDefault="00000000" w:rsidP="008D55AE">
      <w:pPr>
        <w:spacing w:after="120" w:line="480" w:lineRule="auto"/>
        <w:jc w:val="both"/>
      </w:pPr>
      <w:r>
        <w:rPr>
          <w:rFonts w:ascii="Arial" w:hAnsi="Arial"/>
          <w:sz w:val="22"/>
          <w:szCs w:val="22"/>
        </w:rPr>
        <w:t xml:space="preserve">Helices are tested for two-state folding by comparing the </w:t>
      </w:r>
      <w:r>
        <w:rPr>
          <w:rStyle w:val="Heading3Char"/>
          <w:rFonts w:eastAsia="Times New Roman" w:cs="Times New Roman"/>
          <w:b w:val="0"/>
          <w:color w:val="auto"/>
          <w:sz w:val="22"/>
          <w:szCs w:val="22"/>
        </w:rPr>
        <w:t xml:space="preserve">ΔH° </w:t>
      </w:r>
      <w:r w:rsidR="00FD6191">
        <w:rPr>
          <w:rFonts w:ascii="Arial" w:hAnsi="Arial"/>
          <w:sz w:val="22"/>
          <w:szCs w:val="22"/>
        </w:rPr>
        <w:t>agreement</w:t>
      </w:r>
      <w:r>
        <w:rPr>
          <w:rFonts w:ascii="Arial" w:hAnsi="Arial"/>
          <w:sz w:val="22"/>
          <w:szCs w:val="22"/>
        </w:rPr>
        <w:t xml:space="preserve"> between methods 1 and 2. If the difference is smaller, or larger, than </w:t>
      </w:r>
      <w:r w:rsidR="00FD6191">
        <w:rPr>
          <w:rFonts w:ascii="Arial" w:hAnsi="Arial"/>
          <w:sz w:val="22"/>
          <w:szCs w:val="22"/>
        </w:rPr>
        <w:t>10-</w:t>
      </w:r>
      <w:r>
        <w:rPr>
          <w:rFonts w:ascii="Arial" w:hAnsi="Arial"/>
          <w:sz w:val="22"/>
          <w:szCs w:val="22"/>
        </w:rPr>
        <w:t xml:space="preserve">15% of the mean value, the helix is considered two-state, or non-two-state, </w:t>
      </w:r>
      <w:commentRangeStart w:id="6"/>
      <w:r>
        <w:rPr>
          <w:rFonts w:ascii="Arial" w:hAnsi="Arial"/>
          <w:sz w:val="22"/>
          <w:szCs w:val="22"/>
        </w:rPr>
        <w:t xml:space="preserve">respectively. </w:t>
      </w:r>
      <w:commentRangeEnd w:id="6"/>
      <w:r w:rsidR="00FD6191">
        <w:rPr>
          <w:rStyle w:val="CommentReference"/>
          <w:rFonts w:cs="Mangal"/>
        </w:rPr>
        <w:commentReference w:id="6"/>
      </w:r>
      <w:r>
        <w:rPr>
          <w:rFonts w:ascii="Arial" w:hAnsi="Arial"/>
          <w:sz w:val="22"/>
          <w:szCs w:val="22"/>
        </w:rPr>
        <w:t>However, the results of methods 1 and 2 are both sensitive to baseline-trimming</w:t>
      </w:r>
      <w:r w:rsidR="00FD6191">
        <w:rPr>
          <w:rFonts w:ascii="Arial" w:hAnsi="Arial"/>
          <w:sz w:val="22"/>
          <w:szCs w:val="22"/>
        </w:rPr>
        <w:t xml:space="preserve"> (Figure S2E)</w:t>
      </w:r>
      <w:r>
        <w:rPr>
          <w:rFonts w:ascii="Arial" w:hAnsi="Arial"/>
          <w:sz w:val="22"/>
          <w:szCs w:val="22"/>
        </w:rPr>
        <w:t xml:space="preserve">. This leads to an issue, determining if the helix is truly two-state folding or if errors in baseline trimming caused the appearance of two-state folding. The </w:t>
      </w:r>
      <w:r w:rsidR="00671552" w:rsidRPr="00671552">
        <w:rPr>
          <w:rFonts w:ascii="Arial" w:hAnsi="Arial"/>
          <w:i/>
          <w:iCs/>
          <w:sz w:val="22"/>
          <w:szCs w:val="22"/>
        </w:rPr>
        <w:t>BLTrimmer</w:t>
      </w:r>
      <w:r w:rsidR="00671552">
        <w:rPr>
          <w:rFonts w:ascii="Arial" w:hAnsi="Arial"/>
          <w:sz w:val="22"/>
          <w:szCs w:val="22"/>
        </w:rPr>
        <w:t xml:space="preserve"> </w:t>
      </w:r>
      <w:r>
        <w:rPr>
          <w:rFonts w:ascii="Arial" w:hAnsi="Arial"/>
          <w:sz w:val="22"/>
          <w:szCs w:val="22"/>
        </w:rPr>
        <w:t>provides a solution to this problem, based on analysis of the distribution of helix energies derived from randomly trimmed baselines.</w:t>
      </w:r>
    </w:p>
    <w:p w14:paraId="30C57701" w14:textId="74793B77" w:rsidR="008E1C51" w:rsidRDefault="00000000" w:rsidP="008D55AE">
      <w:pPr>
        <w:spacing w:after="120" w:line="480" w:lineRule="auto"/>
        <w:jc w:val="both"/>
      </w:pPr>
      <w:r>
        <w:rPr>
          <w:rFonts w:ascii="Arial" w:hAnsi="Arial"/>
          <w:sz w:val="22"/>
          <w:szCs w:val="22"/>
        </w:rPr>
        <w:t xml:space="preserve">For example, we compared the distribution of </w:t>
      </w:r>
      <w:r w:rsidR="00FD6191">
        <w:rPr>
          <w:rStyle w:val="Heading3Char"/>
          <w:rFonts w:eastAsia="Times New Roman" w:cs="Times New Roman"/>
          <w:b w:val="0"/>
          <w:color w:val="auto"/>
          <w:sz w:val="22"/>
          <w:szCs w:val="22"/>
        </w:rPr>
        <w:t xml:space="preserve">ΔH° </w:t>
      </w:r>
      <w:r w:rsidR="00FD6191">
        <w:rPr>
          <w:rFonts w:ascii="Arial" w:hAnsi="Arial"/>
          <w:sz w:val="22"/>
          <w:szCs w:val="22"/>
        </w:rPr>
        <w:t xml:space="preserve">agreement </w:t>
      </w:r>
      <w:r>
        <w:rPr>
          <w:rFonts w:ascii="Arial" w:hAnsi="Arial"/>
          <w:sz w:val="22"/>
          <w:szCs w:val="22"/>
        </w:rPr>
        <w:t xml:space="preserve">for a helix that is expected to exhibit strong two-state folding (Figure 5A) and a helix </w:t>
      </w:r>
      <w:r w:rsidR="00FD6191">
        <w:rPr>
          <w:rFonts w:ascii="Arial" w:hAnsi="Arial"/>
          <w:sz w:val="22"/>
          <w:szCs w:val="22"/>
        </w:rPr>
        <w:t>is expected</w:t>
      </w:r>
      <w:r>
        <w:rPr>
          <w:rFonts w:ascii="Arial" w:hAnsi="Arial"/>
          <w:sz w:val="22"/>
          <w:szCs w:val="22"/>
        </w:rPr>
        <w:t xml:space="preserve"> to exhibit non-two-state folding (Figure 5B). This non-two-state folding helix consisted of a GC rich helix and a</w:t>
      </w:r>
      <w:r w:rsidR="00FD6191">
        <w:rPr>
          <w:rFonts w:ascii="Arial" w:hAnsi="Arial"/>
          <w:sz w:val="22"/>
          <w:szCs w:val="22"/>
        </w:rPr>
        <w:t xml:space="preserve">n </w:t>
      </w:r>
      <w:r>
        <w:rPr>
          <w:rFonts w:ascii="Arial" w:hAnsi="Arial"/>
          <w:sz w:val="22"/>
          <w:szCs w:val="22"/>
        </w:rPr>
        <w:t xml:space="preserve">AU rich helix, separated by a 2 nucleotide </w:t>
      </w:r>
      <w:r w:rsidR="00FD6191">
        <w:rPr>
          <w:rFonts w:ascii="Arial" w:hAnsi="Arial"/>
          <w:sz w:val="22"/>
          <w:szCs w:val="22"/>
        </w:rPr>
        <w:t>internal</w:t>
      </w:r>
      <w:r>
        <w:rPr>
          <w:rFonts w:ascii="Arial" w:hAnsi="Arial"/>
          <w:sz w:val="22"/>
          <w:szCs w:val="22"/>
        </w:rPr>
        <w:t xml:space="preserve"> loop. Thus, the AU rich end of the helix is expected to melt independently from the GC rich helix, thus populating a third state during the melting transition.</w:t>
      </w:r>
      <w:r w:rsidR="00631957">
        <w:rPr>
          <w:rFonts w:ascii="Arial" w:hAnsi="Arial"/>
          <w:sz w:val="22"/>
          <w:szCs w:val="22"/>
        </w:rPr>
        <w:t xml:space="preserve"> </w:t>
      </w:r>
      <w:r>
        <w:rPr>
          <w:rFonts w:ascii="Arial" w:hAnsi="Arial"/>
          <w:sz w:val="22"/>
          <w:szCs w:val="22"/>
        </w:rPr>
        <w:t xml:space="preserve">We </w:t>
      </w:r>
      <w:r w:rsidR="00631957">
        <w:rPr>
          <w:rFonts w:ascii="Arial" w:hAnsi="Arial"/>
          <w:sz w:val="22"/>
          <w:szCs w:val="22"/>
        </w:rPr>
        <w:t xml:space="preserve">then </w:t>
      </w:r>
      <w:r>
        <w:rPr>
          <w:rFonts w:ascii="Arial" w:hAnsi="Arial"/>
          <w:sz w:val="22"/>
          <w:szCs w:val="22"/>
        </w:rPr>
        <w:t xml:space="preserve">examined the distribution of the </w:t>
      </w:r>
      <w:r>
        <w:rPr>
          <w:rStyle w:val="Heading3Char"/>
          <w:rFonts w:eastAsia="Times New Roman" w:cs="Times New Roman"/>
          <w:b w:val="0"/>
          <w:color w:val="auto"/>
          <w:sz w:val="22"/>
          <w:szCs w:val="22"/>
        </w:rPr>
        <w:t xml:space="preserve">ΔH° </w:t>
      </w:r>
      <w:r w:rsidR="00FD6191">
        <w:rPr>
          <w:rStyle w:val="Heading3Char"/>
          <w:rFonts w:eastAsia="Times New Roman" w:cs="Times New Roman"/>
          <w:b w:val="0"/>
          <w:color w:val="auto"/>
          <w:sz w:val="22"/>
          <w:szCs w:val="22"/>
        </w:rPr>
        <w:t>agreement from</w:t>
      </w:r>
      <w:r>
        <w:rPr>
          <w:rStyle w:val="Heading3Char"/>
          <w:rFonts w:eastAsia="Times New Roman" w:cs="Times New Roman"/>
          <w:b w:val="0"/>
          <w:color w:val="auto"/>
          <w:sz w:val="22"/>
          <w:szCs w:val="22"/>
        </w:rPr>
        <w:t xml:space="preserve"> method 1 and method 2 for 1000 random baseline combinations (Figure 5C). The distribution peaks below 10% for the two-state folding sequence and the distribution beaks above 10% for the non-two-state folding sequence</w:t>
      </w:r>
      <w:r w:rsidR="00FD6191">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This analysis provides a less biased metric of two-state folding than analysis of a single baseline combination.</w:t>
      </w:r>
    </w:p>
    <w:p w14:paraId="22732CBE" w14:textId="77777777" w:rsidR="008E1C51" w:rsidRDefault="00000000" w:rsidP="00814CB6">
      <w:pPr>
        <w:pStyle w:val="Heading1"/>
      </w:pPr>
      <w:r>
        <w:t>Discussion</w:t>
      </w:r>
    </w:p>
    <w:p w14:paraId="6B18715D" w14:textId="6E70997E" w:rsidR="00E755B3" w:rsidRDefault="00000000" w:rsidP="008D55AE">
      <w:pPr>
        <w:spacing w:after="120" w:line="480" w:lineRule="auto"/>
        <w:jc w:val="both"/>
        <w:rPr>
          <w:rStyle w:val="Heading3Char"/>
          <w:rFonts w:eastAsia="Times New Roman" w:cs="Times New Roman"/>
          <w:b w:val="0"/>
          <w:color w:val="auto"/>
          <w:sz w:val="22"/>
          <w:szCs w:val="22"/>
        </w:rPr>
      </w:pPr>
      <w:r>
        <w:rPr>
          <w:rStyle w:val="Heading3Char"/>
          <w:rFonts w:eastAsia="Times New Roman" w:cs="Times New Roman"/>
          <w:b w:val="0"/>
          <w:color w:val="auto"/>
          <w:sz w:val="22"/>
          <w:szCs w:val="22"/>
        </w:rPr>
        <w:t xml:space="preserve">We determined that </w:t>
      </w:r>
      <w:r w:rsidRPr="00671552">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was accurate in comparison to </w:t>
      </w:r>
      <w:r w:rsidRPr="00671552">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a similar program. An uncertainty of 6%, 6%, and 3% for the ΔH°, ΔS°, and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is expected for UV-detected absorbance melting curve analysis</w:t>
      </w:r>
      <w:r w:rsidR="00671552">
        <w:rPr>
          <w:rStyle w:val="Heading3Char"/>
          <w:rFonts w:eastAsia="Times New Roman" w:cs="Times New Roman"/>
          <w:b w:val="0"/>
          <w:color w:val="auto"/>
          <w:sz w:val="22"/>
          <w:szCs w:val="22"/>
        </w:rPr>
        <w:t xml:space="preserve"> of nucleic acids</w:t>
      </w:r>
      <w:r>
        <w:rPr>
          <w:rStyle w:val="Heading3Char"/>
          <w:rFonts w:eastAsia="Times New Roman" w:cs="Times New Roman"/>
          <w:b w:val="0"/>
          <w:color w:val="auto"/>
          <w:sz w:val="22"/>
          <w:szCs w:val="22"/>
        </w:rPr>
        <w:t xml:space="preserve">, from systematic errors such as faulty instrument calibration and discrepancies </w:t>
      </w:r>
      <w:r>
        <w:rPr>
          <w:rStyle w:val="Heading3Char"/>
          <w:rFonts w:eastAsia="Times New Roman" w:cs="Times New Roman"/>
          <w:b w:val="0"/>
          <w:color w:val="auto"/>
          <w:sz w:val="22"/>
          <w:szCs w:val="22"/>
        </w:rPr>
        <w:lastRenderedPageBreak/>
        <w:t>in data analyses.</w:t>
      </w:r>
      <w:r w:rsidR="00671552">
        <w:rPr>
          <w:rStyle w:val="Heading3Char"/>
          <w:rFonts w:eastAsia="Times New Roman" w:cs="Times New Roman"/>
          <w:b w:val="0"/>
          <w:color w:val="auto"/>
          <w:sz w:val="22"/>
          <w:szCs w:val="22"/>
        </w:rPr>
        <w:fldChar w:fldCharType="begin"/>
      </w:r>
      <w:r w:rsidR="00871E20">
        <w:rPr>
          <w:rStyle w:val="Heading3Char"/>
          <w:rFonts w:eastAsia="Times New Roman" w:cs="Times New Roman"/>
          <w:b w:val="0"/>
          <w:color w:val="auto"/>
          <w:sz w:val="22"/>
          <w:szCs w:val="22"/>
        </w:rPr>
        <w:instrText xml:space="preserve"> ADDIN ZOTERO_ITEM CSL_CITATION {"citationID":"OVDYbvBv","properties":{"formattedCitation":"\\super 7,16\\nosupersub{}","plainCitation":"7,16","noteIndex":0},"citationItems":[{"id":556,"uris":["http://zotero.org/users/4485201/items/W9LEI5CR"],"itemData":{"id":556,"type":"article-journal","abstract":"Improved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H."}],"issued":{"date-parts":[["1998",10]]}}},{"id":2330,"uris":["http://zotero.org/users/4485201/items/RF73MNZX"],"itemData":{"id":2330,"type":"article-journal","abstract":"The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671552">
        <w:rPr>
          <w:rStyle w:val="Heading3Char"/>
          <w:rFonts w:eastAsia="Times New Roman" w:cs="Times New Roman"/>
          <w:b w:val="0"/>
          <w:color w:val="auto"/>
          <w:sz w:val="22"/>
          <w:szCs w:val="22"/>
        </w:rPr>
        <w:fldChar w:fldCharType="separate"/>
      </w:r>
      <w:r w:rsidR="00871E20" w:rsidRPr="00871E20">
        <w:rPr>
          <w:rFonts w:ascii="Arial" w:hAnsi="Arial" w:cs="Arial"/>
          <w:sz w:val="22"/>
          <w:vertAlign w:val="superscript"/>
        </w:rPr>
        <w:t>7,16</w:t>
      </w:r>
      <w:r w:rsidR="00671552">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We found that </w:t>
      </w:r>
      <w:r w:rsidRPr="00871E20">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was able to reconstitute analysis with minimal user intervention with discrepancies smaller than, 4.1%, 5.6%, and 3%, even using independent methods to calculate thermodynamic parameters (Figure 3A). Discrepancies between programs using the same method, was even smaller and, likely reflect discrepancies in baseline trimming choices between manual trimming in MeltWin and automated baseline trimming in MeltR.</w:t>
      </w:r>
    </w:p>
    <w:p w14:paraId="37884486" w14:textId="16601789" w:rsidR="008E1C51" w:rsidRDefault="00871E20" w:rsidP="008D55AE">
      <w:pPr>
        <w:spacing w:after="120" w:line="480" w:lineRule="auto"/>
        <w:jc w:val="both"/>
      </w:pPr>
      <w:r>
        <w:rPr>
          <w:rStyle w:val="Heading3Char"/>
          <w:rFonts w:eastAsia="Times New Roman" w:cs="Times New Roman"/>
          <w:b w:val="0"/>
          <w:color w:val="auto"/>
          <w:sz w:val="22"/>
          <w:szCs w:val="22"/>
        </w:rPr>
        <w:t>B</w:t>
      </w:r>
      <w:r w:rsidR="00E755B3">
        <w:rPr>
          <w:rStyle w:val="Heading3Char"/>
          <w:rFonts w:eastAsia="Times New Roman" w:cs="Times New Roman"/>
          <w:b w:val="0"/>
          <w:color w:val="auto"/>
          <w:sz w:val="22"/>
          <w:szCs w:val="22"/>
        </w:rPr>
        <w:t xml:space="preserve">aseline trimming is an important </w:t>
      </w:r>
      <w:r w:rsidR="00BB424E">
        <w:rPr>
          <w:rStyle w:val="Heading3Char"/>
          <w:rFonts w:eastAsia="Times New Roman" w:cs="Times New Roman"/>
          <w:b w:val="0"/>
          <w:color w:val="auto"/>
          <w:sz w:val="22"/>
          <w:szCs w:val="22"/>
        </w:rPr>
        <w:t xml:space="preserve">but </w:t>
      </w:r>
      <w:r w:rsidR="00E755B3">
        <w:rPr>
          <w:rStyle w:val="Heading3Char"/>
          <w:rFonts w:eastAsia="Times New Roman" w:cs="Times New Roman"/>
          <w:b w:val="0"/>
          <w:color w:val="auto"/>
          <w:sz w:val="22"/>
          <w:szCs w:val="22"/>
        </w:rPr>
        <w:t>poorly understood aspect of extracting thermodynamic parameters from melting curves.</w:t>
      </w:r>
      <w:r w:rsidR="004A3F65">
        <w:rPr>
          <w:rStyle w:val="Heading3Char"/>
          <w:rFonts w:eastAsia="Times New Roman" w:cs="Times New Roman"/>
          <w:b w:val="0"/>
          <w:color w:val="auto"/>
          <w:sz w:val="22"/>
          <w:szCs w:val="22"/>
        </w:rPr>
        <w:fldChar w:fldCharType="begin"/>
      </w:r>
      <w:r w:rsidR="004A3F65">
        <w:rPr>
          <w:rStyle w:val="Heading3Char"/>
          <w:rFonts w:eastAsia="Times New Roman" w:cs="Times New Roman"/>
          <w:b w:val="0"/>
          <w:color w:val="auto"/>
          <w:sz w:val="22"/>
          <w:szCs w:val="22"/>
        </w:rPr>
        <w:instrText xml:space="preserve"> ADDIN ZOTERO_ITEM CSL_CITATION {"citationID":"3ooxFGTt","properties":{"formattedCitation":"\\super 22\\nosupersub{}","plainCitation":"22","noteIndex":0},"citationItems":[{"id":2339,"uris":["http://zotero.org/users/4485201/items/3LWNDN8H"],"itemData":{"id":2339,"type":"article-journal","abstract":"Biomolecular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4A3F65">
        <w:rPr>
          <w:rStyle w:val="Heading3Char"/>
          <w:rFonts w:ascii="Cambria Math" w:eastAsia="Times New Roman" w:hAnsi="Cambria Math" w:cs="Cambria Math"/>
          <w:b w:val="0"/>
          <w:color w:val="auto"/>
          <w:sz w:val="22"/>
          <w:szCs w:val="22"/>
        </w:rPr>
        <w:instrText>⋅</w:instrText>
      </w:r>
      <w:r w:rsidR="004A3F65">
        <w:rPr>
          <w:rStyle w:val="Heading3Char"/>
          <w:rFonts w:eastAsia="Times New Roman" w:cs="Times New Roman"/>
          <w:b w:val="0"/>
          <w:color w:val="auto"/>
          <w:sz w:val="22"/>
          <w:szCs w:val="22"/>
        </w:rPr>
        <w:instrText xml:space="preserve"> mol</w:instrText>
      </w:r>
      <w:r w:rsidR="004A3F65">
        <w:rPr>
          <w:rStyle w:val="Heading3Char"/>
          <w:rFonts w:eastAsia="Times New Roman" w:cs="Arial"/>
          <w:b w:val="0"/>
          <w:color w:val="auto"/>
          <w:sz w:val="22"/>
          <w:szCs w:val="22"/>
        </w:rPr>
        <w:instrText>−</w:instrText>
      </w:r>
      <w:r w:rsidR="004A3F65">
        <w:rPr>
          <w:rStyle w:val="Heading3Char"/>
          <w:rFonts w:eastAsia="Times New Roman" w:cs="Times New Roman"/>
          <w:b w:val="0"/>
          <w:color w:val="auto"/>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4A3F65">
        <w:rPr>
          <w:rStyle w:val="Heading3Char"/>
          <w:rFonts w:eastAsia="Times New Roman" w:cs="Times New Roman"/>
          <w:b w:val="0"/>
          <w:color w:val="auto"/>
          <w:sz w:val="22"/>
          <w:szCs w:val="22"/>
        </w:rPr>
        <w:fldChar w:fldCharType="separate"/>
      </w:r>
      <w:r w:rsidR="004A3F65" w:rsidRPr="004A3F65">
        <w:rPr>
          <w:rFonts w:ascii="Arial" w:hAnsi="Arial" w:cs="Arial"/>
          <w:sz w:val="22"/>
          <w:vertAlign w:val="superscript"/>
        </w:rPr>
        <w:t>22</w:t>
      </w:r>
      <w:r w:rsidR="004A3F65">
        <w:rPr>
          <w:rStyle w:val="Heading3Char"/>
          <w:rFonts w:eastAsia="Times New Roman" w:cs="Times New Roman"/>
          <w:b w:val="0"/>
          <w:color w:val="auto"/>
          <w:sz w:val="22"/>
          <w:szCs w:val="22"/>
        </w:rPr>
        <w:fldChar w:fldCharType="end"/>
      </w:r>
      <w:r w:rsidR="00E755B3">
        <w:rPr>
          <w:rStyle w:val="Heading3Char"/>
          <w:rFonts w:eastAsia="Times New Roman" w:cs="Times New Roman"/>
          <w:b w:val="0"/>
          <w:color w:val="auto"/>
          <w:sz w:val="22"/>
          <w:szCs w:val="22"/>
        </w:rPr>
        <w:t xml:space="preserve"> </w:t>
      </w:r>
      <w:r w:rsidR="00BB424E">
        <w:rPr>
          <w:rStyle w:val="Heading3Char"/>
          <w:rFonts w:eastAsia="Times New Roman" w:cs="Times New Roman"/>
          <w:b w:val="0"/>
          <w:color w:val="auto"/>
          <w:sz w:val="22"/>
          <w:szCs w:val="22"/>
        </w:rPr>
        <w:t xml:space="preserve">Using default parameters, the </w:t>
      </w:r>
      <w:r w:rsidR="00BB424E" w:rsidRPr="00871E20">
        <w:rPr>
          <w:rStyle w:val="Heading3Char"/>
          <w:rFonts w:eastAsia="Times New Roman" w:cs="Times New Roman"/>
          <w:b w:val="0"/>
          <w:i/>
          <w:iCs/>
          <w:color w:val="auto"/>
          <w:sz w:val="22"/>
          <w:szCs w:val="22"/>
        </w:rPr>
        <w:t>BLTrimmer</w:t>
      </w:r>
      <w:r w:rsidR="00BB424E">
        <w:rPr>
          <w:rStyle w:val="Heading3Char"/>
          <w:rFonts w:eastAsia="Times New Roman" w:cs="Times New Roman"/>
          <w:b w:val="0"/>
          <w:color w:val="auto"/>
          <w:sz w:val="22"/>
          <w:szCs w:val="22"/>
        </w:rPr>
        <w:t xml:space="preserve"> produce</w:t>
      </w:r>
      <w:r w:rsidR="00FC0974">
        <w:rPr>
          <w:rStyle w:val="Heading3Char"/>
          <w:rFonts w:eastAsia="Times New Roman" w:cs="Times New Roman"/>
          <w:b w:val="0"/>
          <w:color w:val="auto"/>
          <w:sz w:val="22"/>
          <w:szCs w:val="22"/>
        </w:rPr>
        <w:t>s</w:t>
      </w:r>
      <w:r w:rsidR="008D591B">
        <w:rPr>
          <w:rStyle w:val="Heading3Char"/>
          <w:rFonts w:eastAsia="Times New Roman" w:cs="Times New Roman"/>
          <w:b w:val="0"/>
          <w:color w:val="auto"/>
          <w:sz w:val="22"/>
          <w:szCs w:val="22"/>
        </w:rPr>
        <w:t xml:space="preserve"> </w:t>
      </w:r>
      <w:r w:rsidR="00BB424E">
        <w:rPr>
          <w:rStyle w:val="Heading3Char"/>
          <w:rFonts w:eastAsia="Times New Roman" w:cs="Times New Roman"/>
          <w:b w:val="0"/>
          <w:color w:val="auto"/>
          <w:sz w:val="22"/>
          <w:szCs w:val="22"/>
        </w:rPr>
        <w:t xml:space="preserve"> accurate thermodynamic parameters with minimal user specifications (Figure 3). Moreover, the default parameters can be adjusted by users interested in establishing a unique baseline</w:t>
      </w:r>
      <w:r>
        <w:rPr>
          <w:rStyle w:val="Heading3Char"/>
          <w:rFonts w:eastAsia="Times New Roman" w:cs="Times New Roman"/>
          <w:b w:val="0"/>
          <w:color w:val="auto"/>
          <w:sz w:val="22"/>
          <w:szCs w:val="22"/>
        </w:rPr>
        <w:t>-</w:t>
      </w:r>
      <w:r w:rsidR="00BB424E">
        <w:rPr>
          <w:rStyle w:val="Heading3Char"/>
          <w:rFonts w:eastAsia="Times New Roman" w:cs="Times New Roman"/>
          <w:b w:val="0"/>
          <w:color w:val="auto"/>
          <w:sz w:val="22"/>
          <w:szCs w:val="22"/>
        </w:rPr>
        <w:t xml:space="preserve">trimming protocol. Thus, MeltR </w:t>
      </w:r>
      <w:r w:rsidR="00E755B3">
        <w:rPr>
          <w:rStyle w:val="Heading3Char"/>
          <w:rFonts w:eastAsia="Times New Roman" w:cs="Times New Roman"/>
          <w:b w:val="0"/>
          <w:color w:val="auto"/>
          <w:sz w:val="22"/>
          <w:szCs w:val="22"/>
        </w:rPr>
        <w:t>provides a</w:t>
      </w:r>
      <w:r w:rsidR="00BB424E">
        <w:rPr>
          <w:rStyle w:val="Heading3Char"/>
          <w:rFonts w:eastAsia="Times New Roman" w:cs="Times New Roman"/>
          <w:b w:val="0"/>
          <w:color w:val="auto"/>
          <w:sz w:val="22"/>
          <w:szCs w:val="22"/>
        </w:rPr>
        <w:t xml:space="preserve"> </w:t>
      </w:r>
      <w:r w:rsidR="00E755B3">
        <w:rPr>
          <w:rStyle w:val="Heading3Char"/>
          <w:rFonts w:eastAsia="Times New Roman" w:cs="Times New Roman"/>
          <w:b w:val="0"/>
          <w:color w:val="auto"/>
          <w:sz w:val="22"/>
          <w:szCs w:val="22"/>
        </w:rPr>
        <w:t xml:space="preserve">consistent, rational, and statistically appropriate baseline-trimming </w:t>
      </w:r>
      <w:r>
        <w:rPr>
          <w:rStyle w:val="Heading3Char"/>
          <w:rFonts w:eastAsia="Times New Roman" w:cs="Times New Roman"/>
          <w:b w:val="0"/>
          <w:color w:val="auto"/>
          <w:sz w:val="22"/>
          <w:szCs w:val="22"/>
        </w:rPr>
        <w:t>method</w:t>
      </w:r>
      <w:r w:rsidR="00E755B3">
        <w:rPr>
          <w:rStyle w:val="Heading3Char"/>
          <w:rFonts w:eastAsia="Times New Roman" w:cs="Times New Roman"/>
          <w:b w:val="0"/>
          <w:color w:val="auto"/>
          <w:sz w:val="22"/>
          <w:szCs w:val="22"/>
        </w:rPr>
        <w:t>.</w:t>
      </w:r>
    </w:p>
    <w:p w14:paraId="01B997CF" w14:textId="7DD2FF01" w:rsidR="008E1C51" w:rsidRDefault="00000000" w:rsidP="008D55AE">
      <w:pPr>
        <w:spacing w:after="120" w:line="480" w:lineRule="auto"/>
      </w:pPr>
      <w:r>
        <w:rPr>
          <w:rStyle w:val="Heading3Char"/>
          <w:rFonts w:eastAsia="Times New Roman" w:cs="Times New Roman"/>
          <w:b w:val="0"/>
          <w:color w:val="auto"/>
          <w:sz w:val="22"/>
          <w:szCs w:val="22"/>
        </w:rPr>
        <w:t>Interestingly, we determined that Method 2, fitting the relationship between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and lnC</w:t>
      </w:r>
      <w:r>
        <w:rPr>
          <w:rStyle w:val="Heading3Char"/>
          <w:rFonts w:eastAsia="Times New Roman" w:cs="Times New Roman"/>
          <w:b w:val="0"/>
          <w:color w:val="auto"/>
          <w:sz w:val="22"/>
          <w:szCs w:val="22"/>
          <w:vertAlign w:val="subscript"/>
        </w:rPr>
        <w:t>t</w:t>
      </w:r>
      <w:r>
        <w:rPr>
          <w:rStyle w:val="Heading3Char"/>
          <w:rFonts w:eastAsia="Times New Roman" w:cs="Times New Roman"/>
          <w:b w:val="0"/>
          <w:color w:val="auto"/>
          <w:sz w:val="22"/>
          <w:szCs w:val="22"/>
        </w:rPr>
        <w:t>, was less accurate for fitting modeled data</w:t>
      </w:r>
      <w:r w:rsidR="00BB424E">
        <w:rPr>
          <w:rStyle w:val="Heading3Char"/>
          <w:rFonts w:eastAsia="Times New Roman" w:cs="Times New Roman"/>
          <w:b w:val="0"/>
          <w:color w:val="auto"/>
          <w:sz w:val="22"/>
          <w:szCs w:val="22"/>
        </w:rPr>
        <w:t xml:space="preserve"> (Figure S4A-C)</w:t>
      </w:r>
      <w:r>
        <w:rPr>
          <w:rStyle w:val="Heading3Char"/>
          <w:rFonts w:eastAsia="Times New Roman" w:cs="Times New Roman"/>
          <w:b w:val="0"/>
          <w:color w:val="auto"/>
          <w:sz w:val="22"/>
          <w:szCs w:val="22"/>
        </w:rPr>
        <w:t xml:space="preserve">. Less accurate fitting of modeled data by method 2 indicates that method 2 is more sensitive to random fluctuations in absorbance measurements, because that is the only type of error incorporated into the model. In general, method 2 is favored by the nucleic acid thermodynamics field, because it links </w:t>
      </w:r>
      <w:r w:rsidR="00BB424E">
        <w:rPr>
          <w:rStyle w:val="Heading3Char"/>
          <w:rFonts w:eastAsia="Times New Roman" w:cs="Times New Roman"/>
          <w:b w:val="0"/>
          <w:color w:val="auto"/>
          <w:sz w:val="22"/>
          <w:szCs w:val="22"/>
        </w:rPr>
        <w:t xml:space="preserve">all </w:t>
      </w:r>
      <w:r>
        <w:rPr>
          <w:rStyle w:val="Heading3Char"/>
          <w:rFonts w:eastAsia="Times New Roman" w:cs="Times New Roman"/>
          <w:b w:val="0"/>
          <w:color w:val="auto"/>
          <w:sz w:val="22"/>
          <w:szCs w:val="22"/>
        </w:rPr>
        <w:t xml:space="preserve">melting curves in the data set to a single regression </w:t>
      </w:r>
      <w:commentRangeStart w:id="7"/>
      <w:r>
        <w:rPr>
          <w:rStyle w:val="Heading3Char"/>
          <w:rFonts w:eastAsia="Times New Roman" w:cs="Times New Roman"/>
          <w:b w:val="0"/>
          <w:color w:val="auto"/>
          <w:sz w:val="22"/>
          <w:szCs w:val="22"/>
        </w:rPr>
        <w:t>model.</w:t>
      </w:r>
      <w:commentRangeEnd w:id="7"/>
      <w:r w:rsidR="00BB424E">
        <w:rPr>
          <w:rStyle w:val="CommentReference"/>
          <w:rFonts w:cs="Mangal"/>
        </w:rPr>
        <w:commentReference w:id="7"/>
      </w:r>
      <w:r>
        <w:rPr>
          <w:rStyle w:val="Heading3Char"/>
          <w:rFonts w:eastAsia="Times New Roman" w:cs="Times New Roman"/>
          <w:b w:val="0"/>
          <w:color w:val="auto"/>
          <w:sz w:val="22"/>
          <w:szCs w:val="22"/>
        </w:rPr>
        <w:t xml:space="preserve"> Our results indicate that this preference should be reconsidered.</w:t>
      </w:r>
    </w:p>
    <w:p w14:paraId="48018C7B" w14:textId="1AB4B8C8" w:rsidR="008E1C51" w:rsidRDefault="00000000" w:rsidP="008D55AE">
      <w:pPr>
        <w:spacing w:after="120" w:line="480" w:lineRule="auto"/>
        <w:jc w:val="both"/>
      </w:pPr>
      <w:r>
        <w:rPr>
          <w:rStyle w:val="Heading3Char"/>
          <w:rFonts w:eastAsia="Noto Serif CJK SC" w:cs="Lohit Devanagari"/>
          <w:b w:val="0"/>
          <w:color w:val="auto"/>
          <w:sz w:val="22"/>
          <w:szCs w:val="22"/>
        </w:rPr>
        <w:t xml:space="preserve">The </w:t>
      </w:r>
      <w:r w:rsidRPr="00E31C0D">
        <w:rPr>
          <w:rStyle w:val="Heading3Char"/>
          <w:rFonts w:eastAsia="Noto Serif CJK SC" w:cs="Lohit Devanagari"/>
          <w:b w:val="0"/>
          <w:i/>
          <w:iCs/>
          <w:color w:val="auto"/>
          <w:sz w:val="22"/>
          <w:szCs w:val="22"/>
        </w:rPr>
        <w:t>BLTrimmer</w:t>
      </w:r>
      <w:r>
        <w:rPr>
          <w:rStyle w:val="Heading3Char"/>
          <w:rFonts w:eastAsia="Noto Serif CJK SC" w:cs="Lohit Devanagari"/>
          <w:b w:val="0"/>
          <w:color w:val="auto"/>
          <w:sz w:val="22"/>
          <w:szCs w:val="22"/>
        </w:rPr>
        <w:t xml:space="preserve"> identifies an ensemble of optimum baseline combinations via agreement between different methods. An obvious concern is that baselines will be selected </w:t>
      </w:r>
      <w:r w:rsidR="00BB424E">
        <w:rPr>
          <w:rStyle w:val="Heading3Char"/>
          <w:rFonts w:eastAsia="Noto Serif CJK SC" w:cs="Lohit Devanagari"/>
          <w:b w:val="0"/>
          <w:color w:val="auto"/>
          <w:sz w:val="22"/>
          <w:szCs w:val="22"/>
        </w:rPr>
        <w:t xml:space="preserve">for a non-two-state data set </w:t>
      </w:r>
      <w:r>
        <w:rPr>
          <w:rStyle w:val="Heading3Char"/>
          <w:rFonts w:eastAsia="Noto Serif CJK SC" w:cs="Lohit Devanagari"/>
          <w:b w:val="0"/>
          <w:color w:val="auto"/>
          <w:sz w:val="22"/>
          <w:szCs w:val="22"/>
        </w:rPr>
        <w:t>to appear two</w:t>
      </w:r>
      <w:r w:rsidR="00BB424E">
        <w:rPr>
          <w:rStyle w:val="Heading3Char"/>
          <w:rFonts w:eastAsia="Noto Serif CJK SC" w:cs="Lohit Devanagari"/>
          <w:b w:val="0"/>
          <w:color w:val="auto"/>
          <w:sz w:val="22"/>
          <w:szCs w:val="22"/>
        </w:rPr>
        <w:t>-</w:t>
      </w:r>
      <w:r>
        <w:rPr>
          <w:rStyle w:val="Heading3Char"/>
          <w:rFonts w:eastAsia="Noto Serif CJK SC" w:cs="Lohit Devanagari"/>
          <w:b w:val="0"/>
          <w:color w:val="auto"/>
          <w:sz w:val="22"/>
          <w:szCs w:val="22"/>
        </w:rPr>
        <w:t>state</w:t>
      </w:r>
      <w:r>
        <w:rPr>
          <w:rStyle w:val="Heading3Char"/>
          <w:rFonts w:eastAsia="Times New Roman" w:cs="Times New Roman"/>
          <w:b w:val="0"/>
          <w:color w:val="auto"/>
          <w:sz w:val="22"/>
          <w:szCs w:val="22"/>
        </w:rPr>
        <w:t>. In our experience,</w:t>
      </w:r>
      <w:r w:rsidR="00BB424E">
        <w:rPr>
          <w:rStyle w:val="Heading3Char"/>
          <w:rFonts w:eastAsia="Times New Roman" w:cs="Times New Roman"/>
          <w:b w:val="0"/>
          <w:color w:val="auto"/>
          <w:sz w:val="22"/>
          <w:szCs w:val="22"/>
        </w:rPr>
        <w:t xml:space="preserve"> this false selection</w:t>
      </w:r>
      <w:r>
        <w:rPr>
          <w:rStyle w:val="Heading3Char"/>
          <w:rFonts w:eastAsia="Times New Roman" w:cs="Times New Roman"/>
          <w:b w:val="0"/>
          <w:color w:val="auto"/>
          <w:sz w:val="22"/>
          <w:szCs w:val="22"/>
        </w:rPr>
        <w:t xml:space="preserve"> </w:t>
      </w:r>
      <w:r w:rsidR="00BB424E">
        <w:rPr>
          <w:rStyle w:val="Heading3Char"/>
          <w:rFonts w:eastAsia="Times New Roman" w:cs="Times New Roman"/>
          <w:b w:val="0"/>
          <w:color w:val="auto"/>
          <w:sz w:val="22"/>
          <w:szCs w:val="22"/>
        </w:rPr>
        <w:t xml:space="preserve">does not occur using </w:t>
      </w:r>
      <w:r>
        <w:rPr>
          <w:rStyle w:val="Heading3Char"/>
          <w:rFonts w:eastAsia="Times New Roman" w:cs="Times New Roman"/>
          <w:b w:val="0"/>
          <w:color w:val="auto"/>
          <w:sz w:val="22"/>
          <w:szCs w:val="22"/>
        </w:rPr>
        <w:t xml:space="preserve">the </w:t>
      </w:r>
      <w:r w:rsidRPr="00E31C0D">
        <w:rPr>
          <w:rStyle w:val="Heading3Char"/>
          <w:rFonts w:eastAsia="Times New Roman" w:cs="Times New Roman"/>
          <w:b w:val="0"/>
          <w:i/>
          <w:iCs/>
          <w:color w:val="auto"/>
          <w:sz w:val="22"/>
          <w:szCs w:val="22"/>
        </w:rPr>
        <w:t>BLTrimmer</w:t>
      </w:r>
      <w:r>
        <w:rPr>
          <w:rStyle w:val="Heading3Char"/>
          <w:rFonts w:eastAsia="Times New Roman" w:cs="Times New Roman"/>
          <w:b w:val="0"/>
          <w:color w:val="auto"/>
          <w:sz w:val="22"/>
          <w:szCs w:val="22"/>
        </w:rPr>
        <w:t xml:space="preserve"> </w:t>
      </w:r>
      <w:r w:rsidR="00E31C0D">
        <w:rPr>
          <w:rStyle w:val="Heading3Char"/>
          <w:rFonts w:eastAsia="Times New Roman" w:cs="Times New Roman"/>
          <w:b w:val="0"/>
          <w:color w:val="auto"/>
          <w:sz w:val="22"/>
          <w:szCs w:val="22"/>
        </w:rPr>
        <w:t>with</w:t>
      </w:r>
      <w:r>
        <w:rPr>
          <w:rStyle w:val="Heading3Char"/>
          <w:rFonts w:eastAsia="Times New Roman" w:cs="Times New Roman"/>
          <w:b w:val="0"/>
          <w:color w:val="auto"/>
          <w:sz w:val="22"/>
          <w:szCs w:val="22"/>
        </w:rPr>
        <w:t xml:space="preserve"> default parameters, as the ΔH° distribution from methods 1 and 2 do not overlap for a non-two-state </w:t>
      </w:r>
      <w:r w:rsidR="00BB424E">
        <w:rPr>
          <w:rStyle w:val="Heading3Char"/>
          <w:rFonts w:eastAsia="Times New Roman" w:cs="Times New Roman"/>
          <w:b w:val="0"/>
          <w:color w:val="auto"/>
          <w:sz w:val="22"/>
          <w:szCs w:val="22"/>
        </w:rPr>
        <w:t>system</w:t>
      </w:r>
      <w:r>
        <w:rPr>
          <w:rStyle w:val="Heading3Char"/>
          <w:rFonts w:eastAsia="Times New Roman" w:cs="Times New Roman"/>
          <w:b w:val="0"/>
          <w:color w:val="auto"/>
          <w:sz w:val="22"/>
          <w:szCs w:val="22"/>
        </w:rPr>
        <w:t xml:space="preserve"> (Figure 4D). However, users should check the distribution of ΔH° </w:t>
      </w:r>
      <w:r w:rsidR="00BA52FA">
        <w:rPr>
          <w:rStyle w:val="Heading3Char"/>
          <w:rFonts w:eastAsia="Times New Roman" w:cs="Times New Roman"/>
          <w:b w:val="0"/>
          <w:color w:val="auto"/>
          <w:sz w:val="22"/>
          <w:szCs w:val="22"/>
        </w:rPr>
        <w:t xml:space="preserve">agreement </w:t>
      </w:r>
      <w:r>
        <w:rPr>
          <w:rStyle w:val="Heading3Char"/>
          <w:rFonts w:eastAsia="Times New Roman" w:cs="Times New Roman"/>
          <w:b w:val="0"/>
          <w:color w:val="auto"/>
          <w:sz w:val="22"/>
          <w:szCs w:val="22"/>
        </w:rPr>
        <w:t>from a large number of baseline</w:t>
      </w:r>
      <w:r w:rsidR="00BA52FA">
        <w:rPr>
          <w:rStyle w:val="Heading3Char"/>
          <w:rFonts w:eastAsia="Times New Roman" w:cs="Times New Roman"/>
          <w:b w:val="0"/>
          <w:color w:val="auto"/>
          <w:sz w:val="22"/>
          <w:szCs w:val="22"/>
        </w:rPr>
        <w:t xml:space="preserve"> combinations</w:t>
      </w:r>
      <w:r>
        <w:rPr>
          <w:rStyle w:val="Heading3Char"/>
          <w:rFonts w:eastAsia="Times New Roman" w:cs="Times New Roman"/>
          <w:b w:val="0"/>
          <w:color w:val="auto"/>
          <w:sz w:val="22"/>
          <w:szCs w:val="22"/>
        </w:rPr>
        <w:t xml:space="preserve"> for non-two-state behavior.</w:t>
      </w:r>
      <w:r w:rsidR="00E31C0D">
        <w:rPr>
          <w:rStyle w:val="Heading3Char"/>
          <w:rFonts w:eastAsia="Times New Roman" w:cs="Times New Roman"/>
          <w:b w:val="0"/>
          <w:color w:val="auto"/>
          <w:sz w:val="22"/>
          <w:szCs w:val="22"/>
        </w:rPr>
        <w:t xml:space="preserve"> </w:t>
      </w:r>
    </w:p>
    <w:p w14:paraId="7E7731EF" w14:textId="662C5F89" w:rsidR="008E1C51" w:rsidRDefault="00000000" w:rsidP="008D55AE">
      <w:pPr>
        <w:spacing w:after="120" w:line="480" w:lineRule="auto"/>
        <w:jc w:val="both"/>
      </w:pPr>
      <w:r w:rsidRPr="00430778">
        <w:rPr>
          <w:rStyle w:val="Heading3Char"/>
          <w:rFonts w:eastAsia="Noto Serif CJK SC" w:cs="Lohit Devanagari"/>
          <w:b w:val="0"/>
          <w:i/>
          <w:iCs/>
          <w:color w:val="auto"/>
          <w:sz w:val="22"/>
          <w:szCs w:val="22"/>
        </w:rPr>
        <w:t>MeltR</w:t>
      </w:r>
      <w:r>
        <w:rPr>
          <w:rStyle w:val="Heading3Char"/>
          <w:rFonts w:eastAsia="Noto Serif CJK SC" w:cs="Lohit Devanagari"/>
          <w:b w:val="0"/>
          <w:color w:val="auto"/>
          <w:sz w:val="22"/>
          <w:szCs w:val="22"/>
        </w:rPr>
        <w:t xml:space="preserve"> is written in the popular R programming language, is open source, </w:t>
      </w:r>
      <w:r w:rsidR="00144104">
        <w:rPr>
          <w:rStyle w:val="Heading3Char"/>
          <w:rFonts w:eastAsia="Noto Serif CJK SC" w:cs="Lohit Devanagari"/>
          <w:b w:val="0"/>
          <w:color w:val="auto"/>
          <w:sz w:val="22"/>
          <w:szCs w:val="22"/>
        </w:rPr>
        <w:t>and</w:t>
      </w:r>
      <w:r>
        <w:rPr>
          <w:rStyle w:val="Heading3Char"/>
          <w:rFonts w:eastAsia="Noto Serif CJK SC" w:cs="Lohit Devanagari"/>
          <w:b w:val="0"/>
          <w:color w:val="auto"/>
          <w:sz w:val="22"/>
          <w:szCs w:val="22"/>
        </w:rPr>
        <w:t xml:space="preserve"> provides the following advantages. First, </w:t>
      </w:r>
      <w:r w:rsidRPr="00430778">
        <w:rPr>
          <w:rStyle w:val="Heading3Char"/>
          <w:rFonts w:eastAsia="Noto Serif CJK SC" w:cs="Lohit Devanagari"/>
          <w:b w:val="0"/>
          <w:i/>
          <w:iCs/>
          <w:color w:val="auto"/>
          <w:sz w:val="22"/>
          <w:szCs w:val="22"/>
        </w:rPr>
        <w:t>MeltR</w:t>
      </w:r>
      <w:r>
        <w:rPr>
          <w:rStyle w:val="Heading3Char"/>
          <w:rFonts w:eastAsia="Noto Serif CJK SC" w:cs="Lohit Devanagari"/>
          <w:b w:val="0"/>
          <w:color w:val="auto"/>
          <w:sz w:val="22"/>
          <w:szCs w:val="22"/>
        </w:rPr>
        <w:t xml:space="preserve"> is as accurate as the comparable software </w:t>
      </w:r>
      <w:r w:rsidRPr="00430778">
        <w:rPr>
          <w:rStyle w:val="Heading3Char"/>
          <w:rFonts w:eastAsia="Noto Serif CJK SC" w:cs="Lohit Devanagari"/>
          <w:b w:val="0"/>
          <w:i/>
          <w:iCs/>
          <w:color w:val="auto"/>
          <w:sz w:val="22"/>
          <w:szCs w:val="22"/>
        </w:rPr>
        <w:t>MeltWin</w:t>
      </w:r>
      <w:r>
        <w:rPr>
          <w:rStyle w:val="Heading3Char"/>
          <w:rFonts w:eastAsia="Noto Serif CJK SC" w:cs="Lohit Devanagari"/>
          <w:b w:val="0"/>
          <w:color w:val="auto"/>
          <w:sz w:val="22"/>
          <w:szCs w:val="22"/>
        </w:rPr>
        <w:t xml:space="preserve">, even though </w:t>
      </w:r>
      <w:r w:rsidRPr="00430778">
        <w:rPr>
          <w:rStyle w:val="Heading3Char"/>
          <w:rFonts w:eastAsia="Noto Serif CJK SC" w:cs="Lohit Devanagari"/>
          <w:b w:val="0"/>
          <w:i/>
          <w:iCs/>
          <w:color w:val="auto"/>
          <w:sz w:val="22"/>
          <w:szCs w:val="22"/>
        </w:rPr>
        <w:t>MeltR</w:t>
      </w:r>
      <w:r>
        <w:rPr>
          <w:rStyle w:val="Heading3Char"/>
          <w:rFonts w:eastAsia="Noto Serif CJK SC" w:cs="Lohit Devanagari"/>
          <w:b w:val="0"/>
          <w:color w:val="auto"/>
          <w:sz w:val="22"/>
          <w:szCs w:val="22"/>
        </w:rPr>
        <w:t xml:space="preserve"> requires less user intervention. Second, </w:t>
      </w:r>
      <w:r w:rsidRPr="00430778">
        <w:rPr>
          <w:rStyle w:val="Heading3Char"/>
          <w:rFonts w:eastAsia="Noto Serif CJK SC" w:cs="Lohit Devanagari"/>
          <w:b w:val="0"/>
          <w:i/>
          <w:iCs/>
          <w:color w:val="auto"/>
          <w:sz w:val="22"/>
          <w:szCs w:val="22"/>
        </w:rPr>
        <w:t>MeltR</w:t>
      </w:r>
      <w:r>
        <w:rPr>
          <w:rStyle w:val="Heading3Char"/>
          <w:rFonts w:eastAsia="Noto Serif CJK SC" w:cs="Lohit Devanagari"/>
          <w:b w:val="0"/>
          <w:color w:val="auto"/>
          <w:sz w:val="22"/>
          <w:szCs w:val="22"/>
        </w:rPr>
        <w:t xml:space="preserve"> is inherently transparent because the source code is</w:t>
      </w:r>
      <w:r w:rsidR="00430778">
        <w:rPr>
          <w:rStyle w:val="Heading3Char"/>
          <w:rFonts w:eastAsia="Noto Serif CJK SC" w:cs="Lohit Devanagari"/>
          <w:b w:val="0"/>
          <w:color w:val="auto"/>
          <w:sz w:val="22"/>
          <w:szCs w:val="22"/>
        </w:rPr>
        <w:t xml:space="preserve"> </w:t>
      </w:r>
      <w:r w:rsidR="00430778">
        <w:rPr>
          <w:rStyle w:val="Heading3Char"/>
          <w:rFonts w:eastAsia="Noto Serif CJK SC" w:cs="Lohit Devanagari"/>
          <w:b w:val="0"/>
          <w:color w:val="auto"/>
          <w:sz w:val="22"/>
          <w:szCs w:val="22"/>
        </w:rPr>
        <w:lastRenderedPageBreak/>
        <w:t xml:space="preserve">written in an </w:t>
      </w:r>
      <w:r w:rsidR="00430778">
        <w:rPr>
          <w:rStyle w:val="Heading3Char"/>
          <w:rFonts w:eastAsia="Noto Serif CJK SC" w:cs="Lohit Devanagari"/>
          <w:b w:val="0"/>
          <w:color w:val="auto"/>
          <w:sz w:val="22"/>
          <w:szCs w:val="22"/>
        </w:rPr>
        <w:t>accessible programming language</w:t>
      </w:r>
      <w:r>
        <w:rPr>
          <w:rStyle w:val="Heading3Char"/>
          <w:rFonts w:eastAsia="Noto Serif CJK SC" w:cs="Lohit Devanagari"/>
          <w:b w:val="0"/>
          <w:color w:val="auto"/>
          <w:sz w:val="22"/>
          <w:szCs w:val="22"/>
        </w:rPr>
        <w:t xml:space="preserve">. The source code can be modified and redistributed without restrictions, providing a platform for </w:t>
      </w:r>
      <w:r w:rsidR="00144104">
        <w:rPr>
          <w:rStyle w:val="Heading3Char"/>
          <w:rFonts w:eastAsia="Noto Serif CJK SC" w:cs="Lohit Devanagari"/>
          <w:b w:val="0"/>
          <w:color w:val="auto"/>
          <w:sz w:val="22"/>
          <w:szCs w:val="22"/>
        </w:rPr>
        <w:t>others</w:t>
      </w:r>
      <w:r>
        <w:rPr>
          <w:rStyle w:val="Heading3Char"/>
          <w:rFonts w:eastAsia="Noto Serif CJK SC" w:cs="Lohit Devanagari"/>
          <w:b w:val="0"/>
          <w:color w:val="auto"/>
          <w:sz w:val="22"/>
          <w:szCs w:val="22"/>
        </w:rPr>
        <w:t xml:space="preserve"> </w:t>
      </w:r>
      <w:r w:rsidR="00144104">
        <w:rPr>
          <w:rStyle w:val="Heading3Char"/>
          <w:rFonts w:eastAsia="Noto Serif CJK SC" w:cs="Lohit Devanagari"/>
          <w:b w:val="0"/>
          <w:color w:val="auto"/>
          <w:sz w:val="22"/>
          <w:szCs w:val="22"/>
        </w:rPr>
        <w:t xml:space="preserve">to </w:t>
      </w:r>
      <w:r>
        <w:rPr>
          <w:rStyle w:val="Heading3Char"/>
          <w:rFonts w:eastAsia="Noto Serif CJK SC" w:cs="Lohit Devanagari"/>
          <w:b w:val="0"/>
          <w:color w:val="auto"/>
          <w:sz w:val="22"/>
          <w:szCs w:val="22"/>
        </w:rPr>
        <w:t>improve. Second, MeltR provides transparent analysis because it can be installed on any computer</w:t>
      </w:r>
      <w:r w:rsidR="00430778">
        <w:rPr>
          <w:rStyle w:val="Heading3Char"/>
          <w:rFonts w:eastAsia="Noto Serif CJK SC" w:cs="Lohit Devanagari"/>
          <w:b w:val="0"/>
          <w:color w:val="auto"/>
          <w:sz w:val="22"/>
          <w:szCs w:val="22"/>
        </w:rPr>
        <w:t xml:space="preserve"> with R</w:t>
      </w:r>
      <w:r w:rsidR="00144104">
        <w:rPr>
          <w:rStyle w:val="Heading3Char"/>
          <w:rFonts w:eastAsia="Noto Serif CJK SC" w:cs="Lohit Devanagari"/>
          <w:b w:val="0"/>
          <w:color w:val="auto"/>
          <w:sz w:val="22"/>
          <w:szCs w:val="22"/>
        </w:rPr>
        <w:t>. The</w:t>
      </w:r>
      <w:r>
        <w:rPr>
          <w:rStyle w:val="Heading3Char"/>
          <w:rFonts w:eastAsia="Noto Serif CJK SC" w:cs="Lohit Devanagari"/>
          <w:b w:val="0"/>
          <w:color w:val="auto"/>
          <w:sz w:val="22"/>
          <w:szCs w:val="22"/>
        </w:rPr>
        <w:t xml:space="preserve"> MeltR command</w:t>
      </w:r>
      <w:r w:rsidR="00144104">
        <w:rPr>
          <w:rStyle w:val="Heading3Char"/>
          <w:rFonts w:eastAsia="Noto Serif CJK SC" w:cs="Lohit Devanagari"/>
          <w:b w:val="0"/>
          <w:color w:val="auto"/>
          <w:sz w:val="22"/>
          <w:szCs w:val="22"/>
        </w:rPr>
        <w:t>s</w:t>
      </w:r>
      <w:r>
        <w:rPr>
          <w:rStyle w:val="Heading3Char"/>
          <w:rFonts w:eastAsia="Noto Serif CJK SC" w:cs="Lohit Devanagari"/>
          <w:b w:val="0"/>
          <w:color w:val="auto"/>
          <w:sz w:val="22"/>
          <w:szCs w:val="22"/>
        </w:rPr>
        <w:t xml:space="preserve"> used to analyze a data set can be saved and distributed in a script which another researcher can then open and reproduce. Lastly, MeltR could provide a platform for facile and reproducible </w:t>
      </w:r>
      <w:r w:rsidR="00144104">
        <w:rPr>
          <w:rStyle w:val="Heading3Char"/>
          <w:rFonts w:eastAsia="Noto Serif CJK SC" w:cs="Lohit Devanagari"/>
          <w:b w:val="0"/>
          <w:color w:val="auto"/>
          <w:sz w:val="22"/>
          <w:szCs w:val="22"/>
        </w:rPr>
        <w:t>analysis of</w:t>
      </w:r>
      <w:r>
        <w:rPr>
          <w:rStyle w:val="Heading3Char"/>
          <w:rFonts w:eastAsia="Noto Serif CJK SC" w:cs="Lohit Devanagari"/>
          <w:b w:val="0"/>
          <w:color w:val="auto"/>
          <w:sz w:val="22"/>
          <w:szCs w:val="22"/>
        </w:rPr>
        <w:t xml:space="preserve"> diverse </w:t>
      </w:r>
      <w:r w:rsidR="00144104">
        <w:rPr>
          <w:rStyle w:val="Heading3Char"/>
          <w:rFonts w:eastAsia="Noto Serif CJK SC" w:cs="Lohit Devanagari"/>
          <w:b w:val="0"/>
          <w:color w:val="auto"/>
          <w:sz w:val="22"/>
          <w:szCs w:val="22"/>
        </w:rPr>
        <w:t>thermal denaturation</w:t>
      </w:r>
      <w:r>
        <w:rPr>
          <w:rStyle w:val="Heading3Char"/>
          <w:rFonts w:eastAsia="Noto Serif CJK SC" w:cs="Lohit Devanagari"/>
          <w:b w:val="0"/>
          <w:color w:val="auto"/>
          <w:sz w:val="22"/>
          <w:szCs w:val="22"/>
        </w:rPr>
        <w:t xml:space="preserve"> experiments. Thus, </w:t>
      </w:r>
      <w:r>
        <w:rPr>
          <w:rStyle w:val="Heading3Char"/>
          <w:rFonts w:eastAsia="Noto Serif CJK SC" w:cs="Lohit Devanagari"/>
          <w:b w:val="0"/>
          <w:i/>
          <w:iCs/>
          <w:color w:val="auto"/>
          <w:sz w:val="22"/>
          <w:szCs w:val="22"/>
        </w:rPr>
        <w:t>MeltR</w:t>
      </w:r>
      <w:r>
        <w:rPr>
          <w:rStyle w:val="Heading3Char"/>
          <w:rFonts w:eastAsia="Noto Serif CJK SC" w:cs="Lohit Devanagari"/>
          <w:b w:val="0"/>
          <w:color w:val="auto"/>
          <w:sz w:val="22"/>
          <w:szCs w:val="22"/>
        </w:rPr>
        <w:t xml:space="preserve"> </w:t>
      </w:r>
      <w:r w:rsidR="00144104">
        <w:rPr>
          <w:rStyle w:val="Heading3Char"/>
          <w:rFonts w:eastAsia="Noto Serif CJK SC" w:cs="Lohit Devanagari"/>
          <w:b w:val="0"/>
          <w:color w:val="auto"/>
          <w:sz w:val="22"/>
          <w:szCs w:val="22"/>
        </w:rPr>
        <w:t>is</w:t>
      </w:r>
      <w:r>
        <w:rPr>
          <w:rStyle w:val="Heading3Char"/>
          <w:rFonts w:eastAsia="Noto Serif CJK SC" w:cs="Lohit Devanagari"/>
          <w:b w:val="0"/>
          <w:color w:val="auto"/>
          <w:sz w:val="22"/>
          <w:szCs w:val="22"/>
        </w:rPr>
        <w:t xml:space="preserve"> a useful tool for analyzing melting curve experiments.</w:t>
      </w:r>
    </w:p>
    <w:p w14:paraId="3DC39A35" w14:textId="77777777" w:rsidR="008E1C51" w:rsidRDefault="00000000" w:rsidP="00814CB6">
      <w:pPr>
        <w:pStyle w:val="Heading1"/>
      </w:pPr>
      <w:r>
        <w:t>Materials and Methods</w:t>
      </w:r>
    </w:p>
    <w:p w14:paraId="13FFAAD0" w14:textId="77777777" w:rsidR="008E1C51" w:rsidRDefault="00000000" w:rsidP="00814CB6">
      <w:pPr>
        <w:pStyle w:val="Heading2"/>
      </w:pPr>
      <w:r>
        <w:t>Data transparency and reproducibility</w:t>
      </w:r>
    </w:p>
    <w:p w14:paraId="5248B2F2" w14:textId="77777777" w:rsidR="008E1C51" w:rsidRDefault="00000000">
      <w:pPr>
        <w:spacing w:line="480" w:lineRule="auto"/>
      </w:pPr>
      <w:r>
        <w:rPr>
          <w:rStyle w:val="Heading3Char"/>
          <w:rFonts w:eastAsia="Times New Roman" w:cs="Times New Roman"/>
          <w:b w:val="0"/>
          <w:color w:val="auto"/>
          <w:sz w:val="22"/>
          <w:szCs w:val="22"/>
        </w:rPr>
        <w:t xml:space="preserve">Data were analyzed in R (V4.2.1). All raw data files, analysis code, and figures are available at </w:t>
      </w:r>
      <w:hyperlink r:id="rId12">
        <w:r>
          <w:rPr>
            <w:rStyle w:val="Hyperlink"/>
            <w:rFonts w:ascii="Arial" w:eastAsia="Times New Roman" w:hAnsi="Arial" w:cs="Times New Roman"/>
            <w:color w:val="auto"/>
            <w:sz w:val="22"/>
            <w:szCs w:val="22"/>
          </w:rPr>
          <w:t>https://github.com/JPSieg/meltR.a.paper</w:t>
        </w:r>
      </w:hyperlink>
      <w:r>
        <w:rPr>
          <w:rStyle w:val="Heading3Char"/>
          <w:rFonts w:eastAsia="Times New Roman" w:cs="Times New Roman"/>
          <w:b w:val="0"/>
          <w:color w:val="auto"/>
          <w:sz w:val="22"/>
          <w:szCs w:val="22"/>
        </w:rPr>
        <w:t xml:space="preserve">. MeltR is availible at </w:t>
      </w:r>
      <w:hyperlink r:id="rId13">
        <w:r>
          <w:rPr>
            <w:rStyle w:val="Hyperlink"/>
            <w:rFonts w:ascii="Arial" w:eastAsia="Times New Roman" w:hAnsi="Arial" w:cs="Times New Roman"/>
            <w:color w:val="auto"/>
            <w:sz w:val="22"/>
            <w:szCs w:val="22"/>
          </w:rPr>
          <w:t>https://github.com/JPSieg/MeltR</w:t>
        </w:r>
      </w:hyperlink>
      <w:r>
        <w:rPr>
          <w:rStyle w:val="Heading3Char"/>
          <w:rFonts w:eastAsia="Times New Roman" w:cs="Times New Roman"/>
          <w:b w:val="0"/>
          <w:color w:val="auto"/>
          <w:sz w:val="22"/>
          <w:szCs w:val="22"/>
        </w:rPr>
        <w:t xml:space="preserve"> and and V1.0 is archived at “insert Zenodo URL”.</w:t>
      </w:r>
    </w:p>
    <w:p w14:paraId="4A05CF65" w14:textId="77777777" w:rsidR="008E1C51" w:rsidRPr="00814CB6" w:rsidRDefault="00000000" w:rsidP="00814CB6">
      <w:pPr>
        <w:pStyle w:val="Heading2"/>
        <w:rPr>
          <w:rStyle w:val="NumberingSymbols"/>
        </w:rPr>
      </w:pPr>
      <w:r w:rsidRPr="00814CB6">
        <w:rPr>
          <w:rStyle w:val="NumberingSymbols"/>
        </w:rPr>
        <w:t>Absorbance melting curves</w:t>
      </w:r>
    </w:p>
    <w:p w14:paraId="76E51141" w14:textId="157A16C0" w:rsidR="008E1C51" w:rsidRDefault="00430778">
      <w:pPr>
        <w:spacing w:line="480" w:lineRule="auto"/>
      </w:pPr>
      <w:r>
        <w:rPr>
          <w:rFonts w:ascii="Arial" w:hAnsi="Arial"/>
          <w:sz w:val="22"/>
          <w:szCs w:val="22"/>
        </w:rPr>
        <w:t>F</w:t>
      </w:r>
      <w:r>
        <w:rPr>
          <w:rFonts w:ascii="Arial" w:hAnsi="Arial"/>
          <w:sz w:val="22"/>
          <w:szCs w:val="22"/>
        </w:rPr>
        <w:t>or published data</w:t>
      </w:r>
      <w:r>
        <w:rPr>
          <w:rFonts w:ascii="Arial" w:hAnsi="Arial"/>
          <w:sz w:val="22"/>
          <w:szCs w:val="22"/>
        </w:rPr>
        <w:t>, u</w:t>
      </w:r>
      <w:r w:rsidR="00000000">
        <w:rPr>
          <w:rFonts w:ascii="Arial" w:hAnsi="Arial"/>
          <w:sz w:val="22"/>
          <w:szCs w:val="22"/>
        </w:rPr>
        <w:t>nmodified data</w:t>
      </w:r>
      <w:r>
        <w:rPr>
          <w:rFonts w:ascii="Arial" w:hAnsi="Arial"/>
          <w:sz w:val="22"/>
          <w:szCs w:val="22"/>
        </w:rPr>
        <w:t xml:space="preserve"> files</w:t>
      </w:r>
      <w:r w:rsidR="00000000">
        <w:rPr>
          <w:rFonts w:ascii="Arial" w:hAnsi="Arial"/>
          <w:sz w:val="22"/>
          <w:szCs w:val="22"/>
        </w:rPr>
        <w:t xml:space="preserve"> from the instrument were compiled from the original publication and parsed into a tidy</w:t>
      </w:r>
      <w:r w:rsidR="00567B47">
        <w:rPr>
          <w:rFonts w:ascii="Arial" w:hAnsi="Arial"/>
          <w:sz w:val="22"/>
          <w:szCs w:val="22"/>
        </w:rPr>
        <w:t xml:space="preserve"> </w:t>
      </w:r>
      <w:r w:rsidR="00000000">
        <w:rPr>
          <w:rFonts w:ascii="Arial" w:hAnsi="Arial"/>
          <w:sz w:val="22"/>
          <w:szCs w:val="22"/>
        </w:rPr>
        <w:t xml:space="preserve">format. </w:t>
      </w:r>
      <w:r w:rsidR="00567B47">
        <w:rPr>
          <w:rFonts w:ascii="Arial" w:hAnsi="Arial"/>
          <w:sz w:val="22"/>
          <w:szCs w:val="22"/>
        </w:rPr>
        <w:t xml:space="preserve">For original experiments, </w:t>
      </w:r>
      <w:r w:rsidR="00000000">
        <w:rPr>
          <w:rFonts w:ascii="Arial" w:hAnsi="Arial"/>
          <w:sz w:val="22"/>
          <w:szCs w:val="22"/>
        </w:rPr>
        <w:t xml:space="preserve">RNA </w:t>
      </w:r>
      <w:r>
        <w:rPr>
          <w:rFonts w:ascii="Arial" w:hAnsi="Arial"/>
          <w:sz w:val="22"/>
          <w:szCs w:val="22"/>
        </w:rPr>
        <w:t>was</w:t>
      </w:r>
      <w:r w:rsidR="00000000">
        <w:rPr>
          <w:rFonts w:ascii="Arial" w:hAnsi="Arial"/>
          <w:sz w:val="22"/>
          <w:szCs w:val="22"/>
        </w:rPr>
        <w:t xml:space="preserve"> ordered from Integrated DNA Technology with RNase free HPLC purification, resuspended, and buffer exchanged into 1 M NaCl, 20 mM MOPS pH 7.0, 0.01 mM EDTA, 0.001% (w/v) SDS buffer. Samples were diluted in buffer to their final volume and melting experiments were performed on an OILS-refurbished HP 8425 diode array spectrophotometer from 5 to 95 °C at a ramp rate of 0.5 °C/min.</w:t>
      </w:r>
      <w:r w:rsidR="00567B47">
        <w:t xml:space="preserve"> </w:t>
      </w:r>
      <w:r w:rsidR="00000000">
        <w:rPr>
          <w:rFonts w:ascii="Arial" w:hAnsi="Arial"/>
          <w:sz w:val="22"/>
          <w:szCs w:val="22"/>
        </w:rPr>
        <w:t>Modeled absorbance melting curves were simulated to have realistic random scatter, baseline slopes and intercepts, and concentrations as described in the</w:t>
      </w:r>
      <w:r>
        <w:rPr>
          <w:rFonts w:ascii="Arial" w:hAnsi="Arial"/>
          <w:sz w:val="22"/>
          <w:szCs w:val="22"/>
        </w:rPr>
        <w:t xml:space="preserve"> File S1 </w:t>
      </w:r>
      <w:r w:rsidR="00000000">
        <w:rPr>
          <w:rFonts w:ascii="Arial" w:hAnsi="Arial"/>
          <w:sz w:val="22"/>
          <w:szCs w:val="22"/>
        </w:rPr>
        <w:t>methods.</w:t>
      </w:r>
      <w:r>
        <w:t xml:space="preserve"> </w:t>
      </w:r>
      <w:r w:rsidR="00000000">
        <w:rPr>
          <w:rFonts w:ascii="Arial" w:hAnsi="Arial"/>
          <w:sz w:val="22"/>
          <w:szCs w:val="22"/>
        </w:rPr>
        <w:t>Data were fit with MeltWin as described previously,</w:t>
      </w:r>
      <w:r w:rsidR="00567B47">
        <w:rPr>
          <w:rFonts w:ascii="Arial" w:hAnsi="Arial"/>
          <w:sz w:val="22"/>
          <w:szCs w:val="22"/>
        </w:rPr>
        <w:fldChar w:fldCharType="begin"/>
      </w:r>
      <w:r w:rsidR="00567B47">
        <w:rPr>
          <w:rFonts w:ascii="Arial" w:hAnsi="Arial"/>
          <w:sz w:val="22"/>
          <w:szCs w:val="22"/>
        </w:rPr>
        <w:instrText xml:space="preserve"> ADDIN ZOTERO_ITEM CSL_CITATION {"citationID":"wctbYBG5","properties":{"formattedCitation":"\\super 19\\nosupersub{}","plainCitation":"19","noteIndex":0},"citationItems":[{"id":2242,"uris":["http://zotero.org/users/4485201/items/2CAD5IWW"],"itemData":{"id":2242,"type":"article-journal","abstract":"It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567B47">
        <w:rPr>
          <w:rFonts w:ascii="Cambria Math" w:hAnsi="Cambria Math" w:cs="Cambria Math"/>
          <w:sz w:val="22"/>
          <w:szCs w:val="22"/>
        </w:rPr>
        <w:instrText>∼</w:instrText>
      </w:r>
      <w:r w:rsidR="00567B47">
        <w:rPr>
          <w:rFonts w:ascii="Arial" w:hAnsi="Arial"/>
          <w:sz w:val="22"/>
          <w:szCs w:val="22"/>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567B47">
        <w:rPr>
          <w:rFonts w:ascii="Arial" w:hAnsi="Arial"/>
          <w:sz w:val="22"/>
          <w:szCs w:val="22"/>
        </w:rPr>
        <w:fldChar w:fldCharType="separate"/>
      </w:r>
      <w:r w:rsidR="00567B47" w:rsidRPr="00567B47">
        <w:rPr>
          <w:rFonts w:ascii="Arial" w:hAnsi="Arial" w:cs="Arial"/>
          <w:sz w:val="22"/>
          <w:vertAlign w:val="superscript"/>
        </w:rPr>
        <w:t>19</w:t>
      </w:r>
      <w:r w:rsidR="00567B47">
        <w:rPr>
          <w:rFonts w:ascii="Arial" w:hAnsi="Arial"/>
          <w:sz w:val="22"/>
          <w:szCs w:val="22"/>
        </w:rPr>
        <w:fldChar w:fldCharType="end"/>
      </w:r>
      <w:r w:rsidR="00000000">
        <w:rPr>
          <w:rFonts w:ascii="Arial" w:hAnsi="Arial"/>
          <w:sz w:val="22"/>
          <w:szCs w:val="22"/>
        </w:rPr>
        <w:t xml:space="preserve"> and with MeltR using the minimum number of user specified parameters. A detailed description of </w:t>
      </w:r>
      <w:r w:rsidR="00567B47">
        <w:rPr>
          <w:rFonts w:ascii="Arial" w:hAnsi="Arial"/>
          <w:sz w:val="22"/>
          <w:szCs w:val="22"/>
        </w:rPr>
        <w:t>meltR.A and the BLTrimmer is</w:t>
      </w:r>
      <w:r w:rsidR="00000000">
        <w:rPr>
          <w:rFonts w:ascii="Arial" w:hAnsi="Arial"/>
          <w:sz w:val="22"/>
          <w:szCs w:val="22"/>
        </w:rPr>
        <w:t xml:space="preserve"> </w:t>
      </w:r>
      <w:r w:rsidR="00567B47">
        <w:rPr>
          <w:rFonts w:ascii="Arial" w:hAnsi="Arial"/>
          <w:sz w:val="22"/>
          <w:szCs w:val="22"/>
        </w:rPr>
        <w:t xml:space="preserve">provided </w:t>
      </w:r>
      <w:r w:rsidR="00000000">
        <w:rPr>
          <w:rFonts w:ascii="Arial" w:hAnsi="Arial"/>
          <w:sz w:val="22"/>
          <w:szCs w:val="22"/>
        </w:rPr>
        <w:t xml:space="preserve">in the </w:t>
      </w:r>
      <w:r>
        <w:rPr>
          <w:rFonts w:ascii="Arial" w:hAnsi="Arial"/>
          <w:sz w:val="22"/>
          <w:szCs w:val="22"/>
        </w:rPr>
        <w:t>S File S1 methods</w:t>
      </w:r>
      <w:r w:rsidR="00000000">
        <w:rPr>
          <w:rFonts w:ascii="Arial" w:hAnsi="Arial"/>
          <w:sz w:val="22"/>
          <w:szCs w:val="22"/>
        </w:rPr>
        <w:t>.</w:t>
      </w:r>
    </w:p>
    <w:p w14:paraId="4CD3DF0D" w14:textId="77777777" w:rsidR="008E1C51" w:rsidRDefault="00000000" w:rsidP="00814CB6">
      <w:pPr>
        <w:pStyle w:val="Heading1"/>
      </w:pPr>
      <w:r>
        <w:t>Supplemental Materials</w:t>
      </w:r>
    </w:p>
    <w:p w14:paraId="7720DA0C" w14:textId="43B194BA" w:rsidR="008E1C51" w:rsidRDefault="00567B47">
      <w:pPr>
        <w:spacing w:after="288" w:line="480" w:lineRule="auto"/>
        <w:jc w:val="both"/>
        <w:rPr>
          <w:rFonts w:ascii="Arial" w:hAnsi="Arial"/>
          <w:sz w:val="22"/>
          <w:szCs w:val="22"/>
        </w:rPr>
      </w:pPr>
      <w:r>
        <w:rPr>
          <w:rFonts w:ascii="Arial" w:hAnsi="Arial"/>
          <w:sz w:val="22"/>
          <w:szCs w:val="22"/>
        </w:rPr>
        <w:t xml:space="preserve">File S1: </w:t>
      </w:r>
      <w:r w:rsidR="00834DF5">
        <w:rPr>
          <w:rFonts w:ascii="Arial" w:hAnsi="Arial"/>
          <w:sz w:val="22"/>
          <w:szCs w:val="22"/>
        </w:rPr>
        <w:t xml:space="preserve">supplemental </w:t>
      </w:r>
      <w:r>
        <w:rPr>
          <w:rFonts w:ascii="Arial" w:hAnsi="Arial"/>
          <w:sz w:val="22"/>
          <w:szCs w:val="22"/>
        </w:rPr>
        <w:t>methods, supplemental figures, and supplemental tables.</w:t>
      </w:r>
    </w:p>
    <w:p w14:paraId="3E1E2499" w14:textId="5A35DDCF" w:rsidR="00567B47" w:rsidRDefault="00567B47">
      <w:pPr>
        <w:spacing w:after="288" w:line="480" w:lineRule="auto"/>
        <w:jc w:val="both"/>
        <w:rPr>
          <w:rFonts w:ascii="Arial" w:hAnsi="Arial"/>
          <w:sz w:val="22"/>
          <w:szCs w:val="22"/>
        </w:rPr>
      </w:pPr>
      <w:r>
        <w:rPr>
          <w:rFonts w:ascii="Arial" w:hAnsi="Arial"/>
          <w:sz w:val="22"/>
          <w:szCs w:val="22"/>
        </w:rPr>
        <w:t>File S2: meltR.A help file</w:t>
      </w:r>
    </w:p>
    <w:p w14:paraId="425A06E1" w14:textId="77777777" w:rsidR="008E1C51" w:rsidRDefault="00000000" w:rsidP="00814CB6">
      <w:pPr>
        <w:pStyle w:val="Heading1"/>
      </w:pPr>
      <w:r>
        <w:lastRenderedPageBreak/>
        <w:t>Definitions</w:t>
      </w:r>
    </w:p>
    <w:p w14:paraId="12C6BDC8" w14:textId="77777777" w:rsidR="008E1C51" w:rsidRDefault="00000000">
      <w:pPr>
        <w:spacing w:line="480" w:lineRule="auto"/>
        <w:jc w:val="both"/>
      </w:pPr>
      <w:r>
        <w:rPr>
          <w:rFonts w:ascii="Arial" w:hAnsi="Arial"/>
          <w:sz w:val="22"/>
          <w:szCs w:val="22"/>
          <w:u w:val="single"/>
        </w:rPr>
        <w:t>Function</w:t>
      </w:r>
      <w:r>
        <w:rPr>
          <w:rFonts w:ascii="Arial" w:hAnsi="Arial"/>
          <w:sz w:val="22"/>
          <w:szCs w:val="22"/>
        </w:rPr>
        <w:t xml:space="preserve">: Code that automates a task. </w:t>
      </w:r>
      <w:r>
        <w:rPr>
          <w:rFonts w:ascii="Arial" w:hAnsi="Arial"/>
          <w:sz w:val="22"/>
          <w:szCs w:val="22"/>
          <w:u w:val="single"/>
        </w:rPr>
        <w:t>Argument</w:t>
      </w:r>
      <w:r>
        <w:rPr>
          <w:rFonts w:ascii="Arial" w:hAnsi="Arial"/>
          <w:sz w:val="22"/>
          <w:szCs w:val="22"/>
        </w:rPr>
        <w:t xml:space="preserve">: The input a function needs to run. </w:t>
      </w:r>
      <w:r>
        <w:rPr>
          <w:rFonts w:ascii="Arial" w:hAnsi="Arial"/>
          <w:sz w:val="22"/>
          <w:szCs w:val="22"/>
          <w:u w:val="single"/>
        </w:rPr>
        <w:t>Tidy formatted</w:t>
      </w:r>
      <w:r>
        <w:rPr>
          <w:rFonts w:ascii="Arial" w:hAnsi="Arial"/>
          <w:sz w:val="22"/>
          <w:szCs w:val="22"/>
        </w:rPr>
        <w:t xml:space="preserve">: A consistent data format where each variable has its own column. Each observation has its own row. Each value has its own cell. </w:t>
      </w:r>
      <w:r>
        <w:rPr>
          <w:rFonts w:ascii="Arial" w:hAnsi="Arial"/>
          <w:sz w:val="22"/>
          <w:szCs w:val="22"/>
          <w:u w:val="single"/>
        </w:rPr>
        <w:t>Data frame</w:t>
      </w:r>
      <w:r>
        <w:rPr>
          <w:rFonts w:ascii="Arial" w:hAnsi="Arial"/>
          <w:sz w:val="22"/>
          <w:szCs w:val="22"/>
        </w:rPr>
        <w:t xml:space="preserve">: A table of data in R. Specifically, a list of vectors of the same length, each containing a different variable. </w:t>
      </w:r>
      <w:r>
        <w:rPr>
          <w:rFonts w:ascii="Arial" w:hAnsi="Arial"/>
          <w:sz w:val="22"/>
          <w:szCs w:val="22"/>
          <w:u w:val="single"/>
        </w:rPr>
        <w:t>Vector</w:t>
      </w:r>
      <w:r>
        <w:rPr>
          <w:rFonts w:ascii="Arial" w:hAnsi="Arial"/>
          <w:sz w:val="22"/>
          <w:szCs w:val="22"/>
        </w:rPr>
        <w:t xml:space="preserve">: Basic unit of data storage in R. A vector is created with the “c” function. For example, to create a vector for the NucAcid argument for meltR.A, one can use the “c” function, “c(“RNA”, “AAAA”, “UUUU”)”. </w:t>
      </w:r>
      <w:r>
        <w:rPr>
          <w:rFonts w:ascii="Arial" w:hAnsi="Arial"/>
          <w:sz w:val="22"/>
          <w:szCs w:val="22"/>
          <w:u w:val="single"/>
        </w:rPr>
        <w:t>List</w:t>
      </w:r>
      <w:r>
        <w:rPr>
          <w:rFonts w:ascii="Arial" w:hAnsi="Arial"/>
          <w:sz w:val="22"/>
          <w:szCs w:val="22"/>
        </w:rPr>
        <w:t>: A more advanced type of data storage in R and can be a list of anything, including vectors, data frames, and other lists.</w:t>
      </w:r>
    </w:p>
    <w:p w14:paraId="4C234EB3" w14:textId="711FB340" w:rsidR="008E1C51" w:rsidRDefault="00000000" w:rsidP="004A6486">
      <w:pPr>
        <w:pStyle w:val="Heading1"/>
      </w:pPr>
      <w:r>
        <w:t>Acknowledgments</w:t>
      </w:r>
    </w:p>
    <w:p w14:paraId="682C9742" w14:textId="7F883DC1" w:rsidR="00B16305" w:rsidRPr="00B16305" w:rsidRDefault="00B16305" w:rsidP="00B16305">
      <w:pPr>
        <w:spacing w:line="480" w:lineRule="auto"/>
        <w:jc w:val="both"/>
        <w:rPr>
          <w:rFonts w:ascii="Arial" w:hAnsi="Arial"/>
          <w:sz w:val="22"/>
          <w:szCs w:val="22"/>
        </w:rPr>
      </w:pPr>
      <w:commentRangeStart w:id="8"/>
      <w:r w:rsidRPr="00B16305">
        <w:rPr>
          <w:rFonts w:ascii="Arial" w:hAnsi="Arial"/>
          <w:sz w:val="22"/>
          <w:szCs w:val="22"/>
        </w:rPr>
        <w:t>This work was supported by a National Institutes of Health Grant R35-GM127064 to PCB.</w:t>
      </w:r>
      <w:commentRangeEnd w:id="8"/>
      <w:r w:rsidR="005921D7">
        <w:rPr>
          <w:rStyle w:val="CommentReference"/>
          <w:rFonts w:cs="Mangal"/>
        </w:rPr>
        <w:commentReference w:id="8"/>
      </w:r>
      <w:r w:rsidR="005921D7">
        <w:rPr>
          <w:rFonts w:ascii="Arial" w:hAnsi="Arial"/>
          <w:sz w:val="22"/>
          <w:szCs w:val="22"/>
        </w:rPr>
        <w:t xml:space="preserve"> We thank Dr. Susan Schroeder for the discussion and feedback concerning MeltR.</w:t>
      </w:r>
    </w:p>
    <w:p w14:paraId="6167F7D5" w14:textId="28B61804" w:rsidR="004A6486" w:rsidRDefault="004A6486" w:rsidP="004A6486">
      <w:pPr>
        <w:pStyle w:val="Heading1"/>
      </w:pPr>
      <w:r>
        <w:t>Author contributions</w:t>
      </w:r>
    </w:p>
    <w:p w14:paraId="6CC41184" w14:textId="0A20A199" w:rsidR="005921D7" w:rsidRPr="005921D7" w:rsidRDefault="005921D7" w:rsidP="005921D7">
      <w:pPr>
        <w:spacing w:line="480" w:lineRule="auto"/>
        <w:jc w:val="both"/>
        <w:rPr>
          <w:rFonts w:ascii="Arial" w:hAnsi="Arial"/>
          <w:sz w:val="22"/>
          <w:szCs w:val="22"/>
        </w:rPr>
      </w:pPr>
      <w:r w:rsidRPr="005921D7">
        <w:rPr>
          <w:rFonts w:ascii="Arial" w:hAnsi="Arial"/>
          <w:sz w:val="22"/>
          <w:szCs w:val="22"/>
        </w:rPr>
        <w:t>All authors contributed to the preparation of this manuscript.</w:t>
      </w:r>
    </w:p>
    <w:p w14:paraId="1EF2A9A2" w14:textId="6B16BAD9" w:rsidR="004A6486" w:rsidRDefault="004A6486" w:rsidP="004A6486">
      <w:pPr>
        <w:pStyle w:val="Heading1"/>
      </w:pPr>
      <w:r>
        <w:t>Declaration of interests</w:t>
      </w:r>
    </w:p>
    <w:p w14:paraId="620AFDB5" w14:textId="208F40F0" w:rsidR="005921D7" w:rsidRPr="005921D7" w:rsidRDefault="005921D7" w:rsidP="005921D7">
      <w:pPr>
        <w:spacing w:line="480" w:lineRule="auto"/>
        <w:jc w:val="both"/>
        <w:rPr>
          <w:rFonts w:ascii="Arial" w:hAnsi="Arial"/>
          <w:sz w:val="22"/>
          <w:szCs w:val="22"/>
        </w:rPr>
      </w:pPr>
      <w:r w:rsidRPr="005921D7">
        <w:rPr>
          <w:rFonts w:ascii="Arial" w:hAnsi="Arial"/>
          <w:sz w:val="22"/>
          <w:szCs w:val="22"/>
        </w:rPr>
        <w:t>All authors have no competing interests to declare.</w:t>
      </w:r>
    </w:p>
    <w:p w14:paraId="775998FC" w14:textId="77777777" w:rsidR="00DB0832" w:rsidRDefault="00000000" w:rsidP="00814CB6">
      <w:pPr>
        <w:pStyle w:val="Heading1"/>
      </w:pPr>
      <w:r>
        <w:t>References</w:t>
      </w:r>
    </w:p>
    <w:p w14:paraId="3F11A94E" w14:textId="77777777" w:rsidR="00871E20" w:rsidRPr="00871E20" w:rsidRDefault="00DB0832" w:rsidP="00871E20">
      <w:pPr>
        <w:pStyle w:val="Bibliography"/>
      </w:pPr>
      <w:r>
        <w:fldChar w:fldCharType="begin"/>
      </w:r>
      <w:r>
        <w:instrText xml:space="preserve"> ADDIN ZOTERO_BIBL {"uncited":[],"omitted":[],"custom":[]} CSL_BIBLIOGRAPHY </w:instrText>
      </w:r>
      <w:r>
        <w:fldChar w:fldCharType="separate"/>
      </w:r>
      <w:r w:rsidR="00871E20" w:rsidRPr="00871E20">
        <w:t>(1)</w:t>
      </w:r>
      <w:r w:rsidR="00871E20" w:rsidRPr="00871E20">
        <w:tab/>
        <w:t xml:space="preserve">Puglisi, J. D.; Tinoco, I. Absorbance Melting Curves of RNA. In </w:t>
      </w:r>
      <w:r w:rsidR="00871E20" w:rsidRPr="00871E20">
        <w:rPr>
          <w:i/>
          <w:iCs/>
        </w:rPr>
        <w:t>Methods in Enzymology</w:t>
      </w:r>
      <w:r w:rsidR="00871E20" w:rsidRPr="00871E20">
        <w:t>; RNA Processing Part A: General Methods; Academic Press, 1989; Vol. 180, pp 304–325. https://doi.org/10.1016/0076-6879(89)80108-9.</w:t>
      </w:r>
    </w:p>
    <w:p w14:paraId="2398E343" w14:textId="77777777" w:rsidR="00871E20" w:rsidRPr="00871E20" w:rsidRDefault="00871E20" w:rsidP="00871E20">
      <w:pPr>
        <w:pStyle w:val="Bibliography"/>
      </w:pPr>
      <w:r w:rsidRPr="00871E20">
        <w:t>(2)</w:t>
      </w:r>
      <w:r w:rsidRPr="00871E20">
        <w:tab/>
        <w:t xml:space="preserve">Schroeder, S. J.; Turner, D. H. Optical Melting Measurements of Nucleic Acid Thermodynamics. </w:t>
      </w:r>
      <w:r w:rsidRPr="00871E20">
        <w:rPr>
          <w:i/>
          <w:iCs/>
        </w:rPr>
        <w:t>Methods Enzymol.</w:t>
      </w:r>
      <w:r w:rsidRPr="00871E20">
        <w:t xml:space="preserve"> </w:t>
      </w:r>
      <w:r w:rsidRPr="00871E20">
        <w:rPr>
          <w:b/>
          <w:bCs/>
        </w:rPr>
        <w:t>2009</w:t>
      </w:r>
      <w:r w:rsidRPr="00871E20">
        <w:t xml:space="preserve">, </w:t>
      </w:r>
      <w:r w:rsidRPr="00871E20">
        <w:rPr>
          <w:i/>
          <w:iCs/>
        </w:rPr>
        <w:t>468</w:t>
      </w:r>
      <w:r w:rsidRPr="00871E20">
        <w:t>, 371–387. https://doi.org/10.1016/S0076-6879(09)68017-4.</w:t>
      </w:r>
    </w:p>
    <w:p w14:paraId="3B535795" w14:textId="77777777" w:rsidR="00871E20" w:rsidRPr="00871E20" w:rsidRDefault="00871E20" w:rsidP="00871E20">
      <w:pPr>
        <w:pStyle w:val="Bibliography"/>
      </w:pPr>
      <w:r w:rsidRPr="00871E20">
        <w:t>(3)</w:t>
      </w:r>
      <w:r w:rsidRPr="00871E20">
        <w:tab/>
        <w:t xml:space="preserve">Tinoco, I.; Uhlenbeck, O. C.; Levine, M. D. Estimation of Secondary Structure in Ribonucleic Acids. </w:t>
      </w:r>
      <w:r w:rsidRPr="00871E20">
        <w:rPr>
          <w:i/>
          <w:iCs/>
        </w:rPr>
        <w:t>Nature</w:t>
      </w:r>
      <w:r w:rsidRPr="00871E20">
        <w:t xml:space="preserve"> </w:t>
      </w:r>
      <w:r w:rsidRPr="00871E20">
        <w:rPr>
          <w:b/>
          <w:bCs/>
        </w:rPr>
        <w:t>1971</w:t>
      </w:r>
      <w:r w:rsidRPr="00871E20">
        <w:t xml:space="preserve">, </w:t>
      </w:r>
      <w:r w:rsidRPr="00871E20">
        <w:rPr>
          <w:i/>
          <w:iCs/>
        </w:rPr>
        <w:t>230</w:t>
      </w:r>
      <w:r w:rsidRPr="00871E20">
        <w:t xml:space="preserve"> (5293), 362–367. https://doi.org/10.1038/230362a0.</w:t>
      </w:r>
    </w:p>
    <w:p w14:paraId="0753CB98" w14:textId="77777777" w:rsidR="00871E20" w:rsidRPr="00871E20" w:rsidRDefault="00871E20" w:rsidP="00871E20">
      <w:pPr>
        <w:pStyle w:val="Bibliography"/>
      </w:pPr>
      <w:r w:rsidRPr="00871E20">
        <w:t>(4)</w:t>
      </w:r>
      <w:r w:rsidRPr="00871E20">
        <w:tab/>
        <w:t xml:space="preserve">Zuker, M.; Sankoff, D. RNA Secondary Structures and Their Prediction. </w:t>
      </w:r>
      <w:r w:rsidRPr="00871E20">
        <w:rPr>
          <w:i/>
          <w:iCs/>
        </w:rPr>
        <w:t>Bull. Math. Biol.</w:t>
      </w:r>
      <w:r w:rsidRPr="00871E20">
        <w:t xml:space="preserve"> </w:t>
      </w:r>
      <w:r w:rsidRPr="00871E20">
        <w:rPr>
          <w:b/>
          <w:bCs/>
        </w:rPr>
        <w:t>1984</w:t>
      </w:r>
      <w:r w:rsidRPr="00871E20">
        <w:t xml:space="preserve">, </w:t>
      </w:r>
      <w:r w:rsidRPr="00871E20">
        <w:rPr>
          <w:i/>
          <w:iCs/>
        </w:rPr>
        <w:t>46</w:t>
      </w:r>
      <w:r w:rsidRPr="00871E20">
        <w:t xml:space="preserve"> (4), 591–621.</w:t>
      </w:r>
    </w:p>
    <w:p w14:paraId="34B63F3D" w14:textId="77777777" w:rsidR="00871E20" w:rsidRPr="00871E20" w:rsidRDefault="00871E20" w:rsidP="00871E20">
      <w:pPr>
        <w:pStyle w:val="Bibliography"/>
      </w:pPr>
      <w:r w:rsidRPr="00871E20">
        <w:t>(5)</w:t>
      </w:r>
      <w:r w:rsidRPr="00871E20">
        <w:tab/>
        <w:t xml:space="preserve">Sugimoto, N.; Nakano, S.; Katoh, M.; Matsumura, A.; Nakamuta, H.; Ohmichi, T.; Yoneyama, M.; Sasaki, M. Thermodynamic Parameters To Predict Stability of RNA/DNA Hybrid Duplexes. </w:t>
      </w:r>
      <w:r w:rsidRPr="00871E20">
        <w:rPr>
          <w:i/>
          <w:iCs/>
        </w:rPr>
        <w:t>Biochemistry</w:t>
      </w:r>
      <w:r w:rsidRPr="00871E20">
        <w:t xml:space="preserve"> </w:t>
      </w:r>
      <w:r w:rsidRPr="00871E20">
        <w:rPr>
          <w:b/>
          <w:bCs/>
        </w:rPr>
        <w:t>1995</w:t>
      </w:r>
      <w:r w:rsidRPr="00871E20">
        <w:t xml:space="preserve">, </w:t>
      </w:r>
      <w:r w:rsidRPr="00871E20">
        <w:rPr>
          <w:i/>
          <w:iCs/>
        </w:rPr>
        <w:t>34</w:t>
      </w:r>
      <w:r w:rsidRPr="00871E20">
        <w:t xml:space="preserve"> (35), 11211–11216. https://doi.org/10.1021/bi00035a029.</w:t>
      </w:r>
    </w:p>
    <w:p w14:paraId="4EA4E9C4" w14:textId="77777777" w:rsidR="00871E20" w:rsidRPr="00871E20" w:rsidRDefault="00871E20" w:rsidP="00871E20">
      <w:pPr>
        <w:pStyle w:val="Bibliography"/>
      </w:pPr>
      <w:r w:rsidRPr="00871E20">
        <w:t>(6)</w:t>
      </w:r>
      <w:r w:rsidRPr="00871E20">
        <w:tab/>
        <w:t xml:space="preserve">SantaLucia, John; Allawi, H. T.; Seneviratne, P. A. Improved Nearest-Neighbor Parameters for Predicting DNA Duplex Stability. </w:t>
      </w:r>
      <w:r w:rsidRPr="00871E20">
        <w:rPr>
          <w:i/>
          <w:iCs/>
        </w:rPr>
        <w:t>Biochemistry</w:t>
      </w:r>
      <w:r w:rsidRPr="00871E20">
        <w:t xml:space="preserve"> </w:t>
      </w:r>
      <w:r w:rsidRPr="00871E20">
        <w:rPr>
          <w:b/>
          <w:bCs/>
        </w:rPr>
        <w:t>1996</w:t>
      </w:r>
      <w:r w:rsidRPr="00871E20">
        <w:t xml:space="preserve">, </w:t>
      </w:r>
      <w:r w:rsidRPr="00871E20">
        <w:rPr>
          <w:i/>
          <w:iCs/>
        </w:rPr>
        <w:t>35</w:t>
      </w:r>
      <w:r w:rsidRPr="00871E20">
        <w:t xml:space="preserve"> (11), 3555–3562. https://doi.org/10.1021/bi951907q.</w:t>
      </w:r>
    </w:p>
    <w:p w14:paraId="27A8DF8B" w14:textId="77777777" w:rsidR="00871E20" w:rsidRPr="00871E20" w:rsidRDefault="00871E20" w:rsidP="00871E20">
      <w:pPr>
        <w:pStyle w:val="Bibliography"/>
      </w:pPr>
      <w:r w:rsidRPr="00871E20">
        <w:t>(7)</w:t>
      </w:r>
      <w:r w:rsidRPr="00871E20">
        <w:tab/>
        <w:t xml:space="preserve">Xia, T.; SantaLucia, J.; Burkard, M. E.; Kierzek, R.; Schroeder, S. J.; Jiao, X.; Cox, C.; Turner, D. H. Thermodynamic Parameters for an Expanded Nearest-Neighbor Model for Formation of RNA </w:t>
      </w:r>
      <w:r w:rsidRPr="00871E20">
        <w:lastRenderedPageBreak/>
        <w:t xml:space="preserve">Duplexes with Watson−Crick Base Pairs </w:t>
      </w:r>
      <w:r w:rsidRPr="00871E20">
        <w:rPr>
          <w:vertAlign w:val="superscript"/>
        </w:rPr>
        <w:t>†</w:t>
      </w:r>
      <w:r w:rsidRPr="00871E20">
        <w:t xml:space="preserve">. </w:t>
      </w:r>
      <w:r w:rsidRPr="00871E20">
        <w:rPr>
          <w:i/>
          <w:iCs/>
        </w:rPr>
        <w:t>Biochemistry</w:t>
      </w:r>
      <w:r w:rsidRPr="00871E20">
        <w:t xml:space="preserve"> </w:t>
      </w:r>
      <w:r w:rsidRPr="00871E20">
        <w:rPr>
          <w:b/>
          <w:bCs/>
        </w:rPr>
        <w:t>1998</w:t>
      </w:r>
      <w:r w:rsidRPr="00871E20">
        <w:t xml:space="preserve">, </w:t>
      </w:r>
      <w:r w:rsidRPr="00871E20">
        <w:rPr>
          <w:i/>
          <w:iCs/>
        </w:rPr>
        <w:t>37</w:t>
      </w:r>
      <w:r w:rsidRPr="00871E20">
        <w:t xml:space="preserve"> (42), 14719–14735. https://doi.org/10.1021/bi9809425.</w:t>
      </w:r>
    </w:p>
    <w:p w14:paraId="14949B16" w14:textId="77777777" w:rsidR="00871E20" w:rsidRPr="00871E20" w:rsidRDefault="00871E20" w:rsidP="00871E20">
      <w:pPr>
        <w:pStyle w:val="Bibliography"/>
      </w:pPr>
      <w:r w:rsidRPr="00871E20">
        <w:t>(8)</w:t>
      </w:r>
      <w:r w:rsidRPr="00871E20">
        <w:tab/>
        <w:t xml:space="preserve">Turner, D. H.; Mathews, D. H. NNDB: The Nearest Neighbor Parameter Database for Predicting Stability of Nucleic Acid Secondary Structure. </w:t>
      </w:r>
      <w:r w:rsidRPr="00871E20">
        <w:rPr>
          <w:i/>
          <w:iCs/>
        </w:rPr>
        <w:t>Nucleic Acids Res.</w:t>
      </w:r>
      <w:r w:rsidRPr="00871E20">
        <w:t xml:space="preserve"> </w:t>
      </w:r>
      <w:r w:rsidRPr="00871E20">
        <w:rPr>
          <w:b/>
          <w:bCs/>
        </w:rPr>
        <w:t>2010</w:t>
      </w:r>
      <w:r w:rsidRPr="00871E20">
        <w:t xml:space="preserve">, </w:t>
      </w:r>
      <w:r w:rsidRPr="00871E20">
        <w:rPr>
          <w:i/>
          <w:iCs/>
        </w:rPr>
        <w:t>38</w:t>
      </w:r>
      <w:r w:rsidRPr="00871E20">
        <w:t xml:space="preserve"> (Database issue), D280–D282. https://doi.org/10.1093/nar/gkp892.</w:t>
      </w:r>
    </w:p>
    <w:p w14:paraId="240E4853" w14:textId="77777777" w:rsidR="00871E20" w:rsidRPr="00871E20" w:rsidRDefault="00871E20" w:rsidP="00871E20">
      <w:pPr>
        <w:pStyle w:val="Bibliography"/>
      </w:pPr>
      <w:r w:rsidRPr="00871E20">
        <w:t>(9)</w:t>
      </w:r>
      <w:r w:rsidRPr="00871E20">
        <w:tab/>
        <w:t xml:space="preserve">Zuker, M. Mfold Web Server for Nucleic Acid Folding and Hybridization Prediction. </w:t>
      </w:r>
      <w:r w:rsidRPr="00871E20">
        <w:rPr>
          <w:i/>
          <w:iCs/>
        </w:rPr>
        <w:t>Nucleic Acids Res.</w:t>
      </w:r>
      <w:r w:rsidRPr="00871E20">
        <w:t xml:space="preserve"> </w:t>
      </w:r>
      <w:r w:rsidRPr="00871E20">
        <w:rPr>
          <w:b/>
          <w:bCs/>
        </w:rPr>
        <w:t>2003</w:t>
      </w:r>
      <w:r w:rsidRPr="00871E20">
        <w:t xml:space="preserve">, </w:t>
      </w:r>
      <w:r w:rsidRPr="00871E20">
        <w:rPr>
          <w:i/>
          <w:iCs/>
        </w:rPr>
        <w:t>31</w:t>
      </w:r>
      <w:r w:rsidRPr="00871E20">
        <w:t xml:space="preserve"> (13), 3406–3415.</w:t>
      </w:r>
    </w:p>
    <w:p w14:paraId="52F96DDF" w14:textId="77777777" w:rsidR="00871E20" w:rsidRPr="00871E20" w:rsidRDefault="00871E20" w:rsidP="00871E20">
      <w:pPr>
        <w:pStyle w:val="Bibliography"/>
      </w:pPr>
      <w:r w:rsidRPr="00871E20">
        <w:t>(10)</w:t>
      </w:r>
      <w:r w:rsidRPr="00871E20">
        <w:tab/>
        <w:t xml:space="preserve">Markham, N. R.; Zuker, M. DINAMelt Web Server for Nucleic Acid Melting Prediction. </w:t>
      </w:r>
      <w:r w:rsidRPr="00871E20">
        <w:rPr>
          <w:i/>
          <w:iCs/>
        </w:rPr>
        <w:t>Nucleic Acids Res.</w:t>
      </w:r>
      <w:r w:rsidRPr="00871E20">
        <w:t xml:space="preserve"> </w:t>
      </w:r>
      <w:r w:rsidRPr="00871E20">
        <w:rPr>
          <w:b/>
          <w:bCs/>
        </w:rPr>
        <w:t>2005</w:t>
      </w:r>
      <w:r w:rsidRPr="00871E20">
        <w:t xml:space="preserve">, </w:t>
      </w:r>
      <w:r w:rsidRPr="00871E20">
        <w:rPr>
          <w:i/>
          <w:iCs/>
        </w:rPr>
        <w:t>33</w:t>
      </w:r>
      <w:r w:rsidRPr="00871E20">
        <w:t xml:space="preserve"> (suppl_2), W577–W581. https://doi.org/10.1093/nar/gki591.</w:t>
      </w:r>
    </w:p>
    <w:p w14:paraId="45F8D60F" w14:textId="77777777" w:rsidR="00871E20" w:rsidRPr="00871E20" w:rsidRDefault="00871E20" w:rsidP="00871E20">
      <w:pPr>
        <w:pStyle w:val="Bibliography"/>
      </w:pPr>
      <w:r w:rsidRPr="00871E20">
        <w:t>(11)</w:t>
      </w:r>
      <w:r w:rsidRPr="00871E20">
        <w:tab/>
        <w:t xml:space="preserve">Gruber, A. R.; Lorenz, R.; Bernhart, S. H.; Neuböck, R.; Hofacker, I. L. The Vienna RNA Websuite. </w:t>
      </w:r>
      <w:r w:rsidRPr="00871E20">
        <w:rPr>
          <w:i/>
          <w:iCs/>
        </w:rPr>
        <w:t>Nucleic Acids Res.</w:t>
      </w:r>
      <w:r w:rsidRPr="00871E20">
        <w:t xml:space="preserve"> </w:t>
      </w:r>
      <w:r w:rsidRPr="00871E20">
        <w:rPr>
          <w:b/>
          <w:bCs/>
        </w:rPr>
        <w:t>2008</w:t>
      </w:r>
      <w:r w:rsidRPr="00871E20">
        <w:t xml:space="preserve">, </w:t>
      </w:r>
      <w:r w:rsidRPr="00871E20">
        <w:rPr>
          <w:i/>
          <w:iCs/>
        </w:rPr>
        <w:t>36</w:t>
      </w:r>
      <w:r w:rsidRPr="00871E20">
        <w:t xml:space="preserve"> (Web Server issue), W70–W74. https://doi.org/10.1093/nar/gkn188.</w:t>
      </w:r>
    </w:p>
    <w:p w14:paraId="7638D350" w14:textId="77777777" w:rsidR="00871E20" w:rsidRPr="00871E20" w:rsidRDefault="00871E20" w:rsidP="00871E20">
      <w:pPr>
        <w:pStyle w:val="Bibliography"/>
      </w:pPr>
      <w:r w:rsidRPr="00871E20">
        <w:t>(12)</w:t>
      </w:r>
      <w:r w:rsidRPr="00871E20">
        <w:tab/>
        <w:t xml:space="preserve">Reuter, J. S.; Mathews, D. H. RNAstructure: Software for RNA Secondary Structure Prediction and Analysis. </w:t>
      </w:r>
      <w:r w:rsidRPr="00871E20">
        <w:rPr>
          <w:i/>
          <w:iCs/>
        </w:rPr>
        <w:t>BMC Bioinformatics</w:t>
      </w:r>
      <w:r w:rsidRPr="00871E20">
        <w:t xml:space="preserve"> </w:t>
      </w:r>
      <w:r w:rsidRPr="00871E20">
        <w:rPr>
          <w:b/>
          <w:bCs/>
        </w:rPr>
        <w:t>2010</w:t>
      </w:r>
      <w:r w:rsidRPr="00871E20">
        <w:t xml:space="preserve">, </w:t>
      </w:r>
      <w:r w:rsidRPr="00871E20">
        <w:rPr>
          <w:i/>
          <w:iCs/>
        </w:rPr>
        <w:t>11</w:t>
      </w:r>
      <w:r w:rsidRPr="00871E20">
        <w:t>, 129. https://doi.org/10.1186/1471-2105-11-129.</w:t>
      </w:r>
    </w:p>
    <w:p w14:paraId="7D0FAA68" w14:textId="77777777" w:rsidR="00871E20" w:rsidRPr="00871E20" w:rsidRDefault="00871E20" w:rsidP="00871E20">
      <w:pPr>
        <w:pStyle w:val="Bibliography"/>
      </w:pPr>
      <w:r w:rsidRPr="00871E20">
        <w:t>(13)</w:t>
      </w:r>
      <w:r w:rsidRPr="00871E20">
        <w:tab/>
        <w:t xml:space="preserve">Zadeh, J. N.; Steenberg, C. D.; Bois, J. S.; Wolfe, B. R.; Pierce, M. B.; Khan, A. R.; Dirks, R. M.; Pierce, N. A. NUPACK: Analysis and Design of Nucleic Acid Systems. </w:t>
      </w:r>
      <w:r w:rsidRPr="00871E20">
        <w:rPr>
          <w:i/>
          <w:iCs/>
        </w:rPr>
        <w:t>J. Comput. Chem.</w:t>
      </w:r>
      <w:r w:rsidRPr="00871E20">
        <w:t xml:space="preserve"> </w:t>
      </w:r>
      <w:r w:rsidRPr="00871E20">
        <w:rPr>
          <w:b/>
          <w:bCs/>
        </w:rPr>
        <w:t>2011</w:t>
      </w:r>
      <w:r w:rsidRPr="00871E20">
        <w:t xml:space="preserve">, </w:t>
      </w:r>
      <w:r w:rsidRPr="00871E20">
        <w:rPr>
          <w:i/>
          <w:iCs/>
        </w:rPr>
        <w:t>32</w:t>
      </w:r>
      <w:r w:rsidRPr="00871E20">
        <w:t xml:space="preserve"> (1), 170–173. https://doi.org/10.1002/jcc.21596.</w:t>
      </w:r>
    </w:p>
    <w:p w14:paraId="5D094BD8" w14:textId="77777777" w:rsidR="00871E20" w:rsidRPr="00871E20" w:rsidRDefault="00871E20" w:rsidP="00871E20">
      <w:pPr>
        <w:pStyle w:val="Bibliography"/>
      </w:pPr>
      <w:r w:rsidRPr="00871E20">
        <w:t>(14)</w:t>
      </w:r>
      <w:r w:rsidRPr="00871E20">
        <w:tab/>
        <w:t xml:space="preserve">Ye, J.; Coulouris, G.; Zaretskaya, I.; Cutcutache, I.; Rozen, S.; Madden, T. L. Primer-BLAST: A Tool to Design Target-Specific Primers for Polymerase Chain Reaction. </w:t>
      </w:r>
      <w:r w:rsidRPr="00871E20">
        <w:rPr>
          <w:i/>
          <w:iCs/>
        </w:rPr>
        <w:t>BMC Bioinformatics</w:t>
      </w:r>
      <w:r w:rsidRPr="00871E20">
        <w:t xml:space="preserve"> </w:t>
      </w:r>
      <w:r w:rsidRPr="00871E20">
        <w:rPr>
          <w:b/>
          <w:bCs/>
        </w:rPr>
        <w:t>2012</w:t>
      </w:r>
      <w:r w:rsidRPr="00871E20">
        <w:t xml:space="preserve">, </w:t>
      </w:r>
      <w:r w:rsidRPr="00871E20">
        <w:rPr>
          <w:i/>
          <w:iCs/>
        </w:rPr>
        <w:t>13</w:t>
      </w:r>
      <w:r w:rsidRPr="00871E20">
        <w:t xml:space="preserve"> (1), 134. https://doi.org/10.1186/1471-2105-13-134.</w:t>
      </w:r>
    </w:p>
    <w:p w14:paraId="48AF853F" w14:textId="77777777" w:rsidR="00871E20" w:rsidRPr="00871E20" w:rsidRDefault="00871E20" w:rsidP="00871E20">
      <w:pPr>
        <w:pStyle w:val="Bibliography"/>
      </w:pPr>
      <w:r w:rsidRPr="00871E20">
        <w:t>(15)</w:t>
      </w:r>
      <w:r w:rsidRPr="00871E20">
        <w:tab/>
        <w:t xml:space="preserve">Peng, D.; Tarleton, R. 2015. EuPaGDT: A Web Tool Tailored to Design CRISPR Guide RNAs for Eukaryotic Pathogens. </w:t>
      </w:r>
      <w:r w:rsidRPr="00871E20">
        <w:rPr>
          <w:i/>
          <w:iCs/>
        </w:rPr>
        <w:t>Microb. Genomics</w:t>
      </w:r>
      <w:r w:rsidRPr="00871E20">
        <w:t xml:space="preserve"> </w:t>
      </w:r>
      <w:r w:rsidRPr="00871E20">
        <w:rPr>
          <w:i/>
          <w:iCs/>
        </w:rPr>
        <w:t>1</w:t>
      </w:r>
      <w:r w:rsidRPr="00871E20">
        <w:t xml:space="preserve"> (4), e000033. https://doi.org/10.1099/mgen.0.000033.</w:t>
      </w:r>
    </w:p>
    <w:p w14:paraId="10978B52" w14:textId="77777777" w:rsidR="00871E20" w:rsidRPr="00871E20" w:rsidRDefault="00871E20" w:rsidP="00871E20">
      <w:pPr>
        <w:pStyle w:val="Bibliography"/>
      </w:pPr>
      <w:r w:rsidRPr="00871E20">
        <w:t>(16)</w:t>
      </w:r>
      <w:r w:rsidRPr="00871E20">
        <w:tab/>
        <w:t xml:space="preserve">SantaLucia Jr., J.; Turner, D. H. Measuring the Thermodynamics of RNA Secondary Structure Formation. </w:t>
      </w:r>
      <w:r w:rsidRPr="00871E20">
        <w:rPr>
          <w:i/>
          <w:iCs/>
        </w:rPr>
        <w:t>Biopolymers</w:t>
      </w:r>
      <w:r w:rsidRPr="00871E20">
        <w:t xml:space="preserve"> </w:t>
      </w:r>
      <w:r w:rsidRPr="00871E20">
        <w:rPr>
          <w:b/>
          <w:bCs/>
        </w:rPr>
        <w:t>1997</w:t>
      </w:r>
      <w:r w:rsidRPr="00871E20">
        <w:t xml:space="preserve">, </w:t>
      </w:r>
      <w:r w:rsidRPr="00871E20">
        <w:rPr>
          <w:i/>
          <w:iCs/>
        </w:rPr>
        <w:t>44</w:t>
      </w:r>
      <w:r w:rsidRPr="00871E20">
        <w:t xml:space="preserve"> (3), 309–319. https://doi.org/10.1002/(SICI)1097-0282(1997)44:3&lt;309::AID-BIP8&gt;3.0.CO;2-Z.</w:t>
      </w:r>
    </w:p>
    <w:p w14:paraId="20C87C91" w14:textId="77777777" w:rsidR="00871E20" w:rsidRPr="00871E20" w:rsidRDefault="00871E20" w:rsidP="00871E20">
      <w:pPr>
        <w:pStyle w:val="Bibliography"/>
      </w:pPr>
      <w:r w:rsidRPr="00871E20">
        <w:t>(17)</w:t>
      </w:r>
      <w:r w:rsidRPr="00871E20">
        <w:tab/>
        <w:t xml:space="preserve">McDowell, J. A.; Turner, D. H. Investigation of the Structural Basis for Thermodynamic Stabilities of Tandem GU Mismatches: Solution Structure of (RGAG GU CUC) </w:t>
      </w:r>
      <w:r w:rsidRPr="00871E20">
        <w:rPr>
          <w:vertAlign w:val="subscript"/>
        </w:rPr>
        <w:t>2</w:t>
      </w:r>
      <w:r w:rsidRPr="00871E20">
        <w:t xml:space="preserve"> by Two-Dimensional NMR and Simulated Annealing </w:t>
      </w:r>
      <w:r w:rsidRPr="00871E20">
        <w:rPr>
          <w:vertAlign w:val="superscript"/>
        </w:rPr>
        <w:t>,</w:t>
      </w:r>
      <w:r w:rsidRPr="00871E20">
        <w:t xml:space="preserve">. </w:t>
      </w:r>
      <w:r w:rsidRPr="00871E20">
        <w:rPr>
          <w:i/>
          <w:iCs/>
        </w:rPr>
        <w:t>Biochemistry</w:t>
      </w:r>
      <w:r w:rsidRPr="00871E20">
        <w:t xml:space="preserve"> </w:t>
      </w:r>
      <w:r w:rsidRPr="00871E20">
        <w:rPr>
          <w:b/>
          <w:bCs/>
        </w:rPr>
        <w:t>1996</w:t>
      </w:r>
      <w:r w:rsidRPr="00871E20">
        <w:t xml:space="preserve">, </w:t>
      </w:r>
      <w:r w:rsidRPr="00871E20">
        <w:rPr>
          <w:i/>
          <w:iCs/>
        </w:rPr>
        <w:t>35</w:t>
      </w:r>
      <w:r w:rsidRPr="00871E20">
        <w:t xml:space="preserve"> (45), 14077–14089. https://doi.org/10.1021/bi9615710.</w:t>
      </w:r>
    </w:p>
    <w:p w14:paraId="465F8DDC" w14:textId="77777777" w:rsidR="00871E20" w:rsidRPr="00871E20" w:rsidRDefault="00871E20" w:rsidP="00871E20">
      <w:pPr>
        <w:pStyle w:val="Bibliography"/>
      </w:pPr>
      <w:r w:rsidRPr="00871E20">
        <w:t>(18)</w:t>
      </w:r>
      <w:r w:rsidRPr="00871E20">
        <w:tab/>
        <w:t xml:space="preserve">Ghosh, S.; Takahashi, S.; Ohyama, T.; Endoh, T.; Tateishi-Karimata, H.; Sugimoto, N. Nearest-Neighbor Parameters for Predicting DNA Duplex Stability in Diverse Molecular Crowding Conditions. </w:t>
      </w:r>
      <w:r w:rsidRPr="00871E20">
        <w:rPr>
          <w:i/>
          <w:iCs/>
        </w:rPr>
        <w:t>Proc. Natl. Acad. Sci.</w:t>
      </w:r>
      <w:r w:rsidRPr="00871E20">
        <w:t xml:space="preserve"> </w:t>
      </w:r>
      <w:r w:rsidRPr="00871E20">
        <w:rPr>
          <w:b/>
          <w:bCs/>
        </w:rPr>
        <w:t>2020</w:t>
      </w:r>
      <w:r w:rsidRPr="00871E20">
        <w:t xml:space="preserve">, </w:t>
      </w:r>
      <w:r w:rsidRPr="00871E20">
        <w:rPr>
          <w:i/>
          <w:iCs/>
        </w:rPr>
        <w:t>117</w:t>
      </w:r>
      <w:r w:rsidRPr="00871E20">
        <w:t xml:space="preserve"> (25), 14194–14201. https://doi.org/10.1073/pnas.1920886117.</w:t>
      </w:r>
    </w:p>
    <w:p w14:paraId="5AD1F9D3" w14:textId="77777777" w:rsidR="00871E20" w:rsidRPr="00871E20" w:rsidRDefault="00871E20" w:rsidP="00871E20">
      <w:pPr>
        <w:pStyle w:val="Bibliography"/>
      </w:pPr>
      <w:r w:rsidRPr="00871E20">
        <w:t>(19)</w:t>
      </w:r>
      <w:r w:rsidRPr="00871E20">
        <w:tab/>
        <w:t xml:space="preserve">Adams, M. S.; Znosko, B. M. Thermodynamic Characterization and Nearest Neighbor Parameters for RNA Duplexes under Molecular Crowding Conditions. </w:t>
      </w:r>
      <w:r w:rsidRPr="00871E20">
        <w:rPr>
          <w:i/>
          <w:iCs/>
        </w:rPr>
        <w:t>Nucleic Acids Res.</w:t>
      </w:r>
      <w:r w:rsidRPr="00871E20">
        <w:t xml:space="preserve"> </w:t>
      </w:r>
      <w:r w:rsidRPr="00871E20">
        <w:rPr>
          <w:b/>
          <w:bCs/>
        </w:rPr>
        <w:t>2019</w:t>
      </w:r>
      <w:r w:rsidRPr="00871E20">
        <w:t xml:space="preserve">, </w:t>
      </w:r>
      <w:r w:rsidRPr="00871E20">
        <w:rPr>
          <w:i/>
          <w:iCs/>
        </w:rPr>
        <w:t>47</w:t>
      </w:r>
      <w:r w:rsidRPr="00871E20">
        <w:t xml:space="preserve"> (7), 3658–3666. https://doi.org/10.1093/nar/gkz019.</w:t>
      </w:r>
    </w:p>
    <w:p w14:paraId="446A09BD" w14:textId="77777777" w:rsidR="00871E20" w:rsidRPr="00871E20" w:rsidRDefault="00871E20" w:rsidP="00871E20">
      <w:pPr>
        <w:pStyle w:val="Bibliography"/>
      </w:pPr>
      <w:r w:rsidRPr="00871E20">
        <w:t>(20)</w:t>
      </w:r>
      <w:r w:rsidRPr="00871E20">
        <w:tab/>
        <w:t xml:space="preserve">Hopfinger, M. C.; Kirkpatrick, C. C.; Znosko, B. M. Predictions and Analyses of RNA Nearest Neighbor Parameters for Modified Nucleotides. </w:t>
      </w:r>
      <w:r w:rsidRPr="00871E20">
        <w:rPr>
          <w:i/>
          <w:iCs/>
        </w:rPr>
        <w:t>Nucleic Acids Res.</w:t>
      </w:r>
      <w:r w:rsidRPr="00871E20">
        <w:t xml:space="preserve"> </w:t>
      </w:r>
      <w:r w:rsidRPr="00871E20">
        <w:rPr>
          <w:b/>
          <w:bCs/>
        </w:rPr>
        <w:t>2020</w:t>
      </w:r>
      <w:r w:rsidRPr="00871E20">
        <w:t xml:space="preserve">, </w:t>
      </w:r>
      <w:r w:rsidRPr="00871E20">
        <w:rPr>
          <w:i/>
          <w:iCs/>
        </w:rPr>
        <w:t>48</w:t>
      </w:r>
      <w:r w:rsidRPr="00871E20">
        <w:t xml:space="preserve"> (16), 8901–8913. https://doi.org/10.1093/nar/gkaa654.</w:t>
      </w:r>
    </w:p>
    <w:p w14:paraId="33047BB1" w14:textId="77777777" w:rsidR="00871E20" w:rsidRPr="00871E20" w:rsidRDefault="00871E20" w:rsidP="00871E20">
      <w:pPr>
        <w:pStyle w:val="Bibliography"/>
      </w:pPr>
      <w:r w:rsidRPr="00871E20">
        <w:t>(21)</w:t>
      </w:r>
      <w:r w:rsidRPr="00871E20">
        <w:tab/>
        <w:t xml:space="preserve">Sieg, J. P.; McKinley, L. N.; Huot, M. J.; Yennawar, N. H.; Bevilacqua, P. C. The Metabolome Weakens RNA Thermodynamic Stability and Strengthens RNA Chemical Stability. </w:t>
      </w:r>
      <w:r w:rsidRPr="00871E20">
        <w:rPr>
          <w:i/>
          <w:iCs/>
        </w:rPr>
        <w:t>Biochemistry</w:t>
      </w:r>
      <w:r w:rsidRPr="00871E20">
        <w:t xml:space="preserve"> </w:t>
      </w:r>
      <w:r w:rsidRPr="00871E20">
        <w:rPr>
          <w:b/>
          <w:bCs/>
        </w:rPr>
        <w:t>2022</w:t>
      </w:r>
      <w:r w:rsidRPr="00871E20">
        <w:t>. https://doi.org/10.1021/acs.biochem.2c00488.</w:t>
      </w:r>
    </w:p>
    <w:p w14:paraId="4E09FB95" w14:textId="77777777" w:rsidR="00871E20" w:rsidRPr="00871E20" w:rsidRDefault="00871E20" w:rsidP="00871E20">
      <w:pPr>
        <w:pStyle w:val="Bibliography"/>
      </w:pPr>
      <w:r w:rsidRPr="00871E20">
        <w:t>(22)</w:t>
      </w:r>
      <w:r w:rsidRPr="00871E20">
        <w:tab/>
        <w:t xml:space="preserve">Majikes, J. M.; Zwolak, M.; Liddle, J. A. Best Practice for Improved Accuracy: A Critical Reassessment of van’t Hoff Analysis of Melt Curves. </w:t>
      </w:r>
      <w:r w:rsidRPr="00871E20">
        <w:rPr>
          <w:i/>
          <w:iCs/>
        </w:rPr>
        <w:t>Biophys. J.</w:t>
      </w:r>
      <w:r w:rsidRPr="00871E20">
        <w:t xml:space="preserve"> </w:t>
      </w:r>
      <w:r w:rsidRPr="00871E20">
        <w:rPr>
          <w:b/>
          <w:bCs/>
        </w:rPr>
        <w:t>2022</w:t>
      </w:r>
      <w:r w:rsidRPr="00871E20">
        <w:t xml:space="preserve">, </w:t>
      </w:r>
      <w:r w:rsidRPr="00871E20">
        <w:rPr>
          <w:i/>
          <w:iCs/>
        </w:rPr>
        <w:t>121</w:t>
      </w:r>
      <w:r w:rsidRPr="00871E20">
        <w:t xml:space="preserve"> (11), 1986–2001. https://doi.org/10.1016/j.bpj.2022.05.008.</w:t>
      </w:r>
    </w:p>
    <w:p w14:paraId="70056B80" w14:textId="77777777" w:rsidR="00871E20" w:rsidRPr="00871E20" w:rsidRDefault="00871E20" w:rsidP="00871E20">
      <w:pPr>
        <w:pStyle w:val="Bibliography"/>
      </w:pPr>
      <w:r w:rsidRPr="00871E20">
        <w:lastRenderedPageBreak/>
        <w:t>(23)</w:t>
      </w:r>
      <w:r w:rsidRPr="00871E20">
        <w:tab/>
        <w:t xml:space="preserve">Antao, V. P.; Tinoco, I., Jr. Thermodynamic Parameters for Loop Formation in RNA and DNA Hairpin Tetraloops. </w:t>
      </w:r>
      <w:r w:rsidRPr="00871E20">
        <w:rPr>
          <w:i/>
          <w:iCs/>
        </w:rPr>
        <w:t>Nucleic Acids Res.</w:t>
      </w:r>
      <w:r w:rsidRPr="00871E20">
        <w:t xml:space="preserve"> </w:t>
      </w:r>
      <w:r w:rsidRPr="00871E20">
        <w:rPr>
          <w:b/>
          <w:bCs/>
        </w:rPr>
        <w:t>1992</w:t>
      </w:r>
      <w:r w:rsidRPr="00871E20">
        <w:t xml:space="preserve">, </w:t>
      </w:r>
      <w:r w:rsidRPr="00871E20">
        <w:rPr>
          <w:i/>
          <w:iCs/>
        </w:rPr>
        <w:t>20</w:t>
      </w:r>
      <w:r w:rsidRPr="00871E20">
        <w:t xml:space="preserve"> (4), 819–824. https://doi.org/10.1093/nar/20.4.819.</w:t>
      </w:r>
    </w:p>
    <w:p w14:paraId="018F14B4" w14:textId="0611E263" w:rsidR="008E1C51" w:rsidRDefault="00DB0832" w:rsidP="00DB0832">
      <w:r>
        <w:fldChar w:fldCharType="end"/>
      </w:r>
      <w:r>
        <w:br w:type="page"/>
      </w:r>
    </w:p>
    <w:p w14:paraId="6919F18A" w14:textId="77777777" w:rsidR="008E1C51" w:rsidRDefault="00000000">
      <w:pPr>
        <w:spacing w:line="480" w:lineRule="auto"/>
        <w:jc w:val="center"/>
      </w:pPr>
      <w:r>
        <w:rPr>
          <w:noProof/>
        </w:rPr>
        <w:lastRenderedPageBreak/>
        <w:drawing>
          <wp:inline distT="0" distB="0" distL="0" distR="0" wp14:anchorId="01B12A99" wp14:editId="04BBD068">
            <wp:extent cx="5410200" cy="50673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5410200" cy="5067300"/>
                    </a:xfrm>
                    <a:prstGeom prst="rect">
                      <a:avLst/>
                    </a:prstGeom>
                  </pic:spPr>
                </pic:pic>
              </a:graphicData>
            </a:graphic>
          </wp:inline>
        </w:drawing>
      </w:r>
    </w:p>
    <w:p w14:paraId="23542529" w14:textId="77777777" w:rsidR="008E1C51" w:rsidRDefault="00000000">
      <w:pPr>
        <w:spacing w:line="480" w:lineRule="auto"/>
        <w:jc w:val="both"/>
      </w:pPr>
      <w:r w:rsidRPr="004A6486">
        <w:rPr>
          <w:rStyle w:val="Heading1Char"/>
        </w:rPr>
        <w:t>Figure 1</w:t>
      </w:r>
      <w:r>
        <w:rPr>
          <w:rFonts w:ascii="Arial" w:hAnsi="Arial"/>
          <w:b/>
          <w:bCs/>
          <w:sz w:val="22"/>
          <w:szCs w:val="22"/>
        </w:rPr>
        <w:t xml:space="preserve"> </w:t>
      </w:r>
      <w:r>
        <w:rPr>
          <w:rFonts w:ascii="Arial" w:hAnsi="Arial"/>
          <w:sz w:val="22"/>
          <w:szCs w:val="22"/>
        </w:rPr>
        <w:t xml:space="preserve"> Determination of thermodynamic parameters from absorbance melting data using meltR.A in the MeltR package.</w:t>
      </w:r>
      <w:r>
        <w:rPr>
          <w:rFonts w:ascii="Arial" w:hAnsi="Arial"/>
          <w:b/>
          <w:bCs/>
          <w:sz w:val="22"/>
          <w:szCs w:val="22"/>
        </w:rPr>
        <w:t xml:space="preserve"> (A)</w:t>
      </w:r>
      <w:r>
        <w:rPr>
          <w:rFonts w:ascii="Arial" w:hAnsi="Arial"/>
          <w:sz w:val="22"/>
          <w:szCs w:val="22"/>
        </w:rPr>
        <w:t xml:space="preserve"> Themodenaturation data underlies algorithms that predict structure and function. </w:t>
      </w:r>
      <w:r>
        <w:rPr>
          <w:rFonts w:ascii="Arial" w:hAnsi="Arial"/>
          <w:b/>
          <w:bCs/>
          <w:sz w:val="22"/>
          <w:szCs w:val="22"/>
        </w:rPr>
        <w:t>(B)</w:t>
      </w:r>
      <w:r>
        <w:rPr>
          <w:rFonts w:ascii="Arial" w:hAnsi="Arial"/>
          <w:sz w:val="22"/>
          <w:szCs w:val="22"/>
        </w:rPr>
        <w:t xml:space="preserve"> Raw data to thermodynamic parameter conversion is automated with MeltR. </w:t>
      </w:r>
      <w:r>
        <w:rPr>
          <w:rFonts w:ascii="Arial" w:hAnsi="Arial"/>
          <w:b/>
          <w:bCs/>
          <w:sz w:val="22"/>
          <w:szCs w:val="22"/>
        </w:rPr>
        <w:t xml:space="preserve">(C) </w:t>
      </w:r>
      <w:r>
        <w:rPr>
          <w:rFonts w:ascii="Arial" w:hAnsi="Arial"/>
          <w:sz w:val="22"/>
          <w:szCs w:val="22"/>
        </w:rPr>
        <w:t xml:space="preserve">The usage of meltR.A in an R script. (1) The </w:t>
      </w:r>
      <w:r>
        <w:rPr>
          <w:rFonts w:ascii="Arial" w:hAnsi="Arial"/>
          <w:sz w:val="22"/>
          <w:szCs w:val="22"/>
          <w:u w:val="single"/>
        </w:rPr>
        <w:t>data frame</w:t>
      </w:r>
      <w:r>
        <w:rPr>
          <w:rFonts w:ascii="Arial" w:hAnsi="Arial"/>
          <w:sz w:val="22"/>
          <w:szCs w:val="22"/>
        </w:rPr>
        <w:t xml:space="preserve"> (df) containing the absorbance data (2) A </w:t>
      </w:r>
      <w:r>
        <w:rPr>
          <w:rFonts w:ascii="Arial" w:hAnsi="Arial"/>
          <w:sz w:val="22"/>
          <w:szCs w:val="22"/>
          <w:u w:val="single"/>
        </w:rPr>
        <w:t>vector</w:t>
      </w:r>
      <w:r>
        <w:rPr>
          <w:rFonts w:ascii="Arial" w:hAnsi="Arial"/>
          <w:sz w:val="22"/>
          <w:szCs w:val="22"/>
        </w:rPr>
        <w:t xml:space="preserve"> specifying the nucleic acid. (3) Duplex type, either "Monomolecular.2State", "Heteroduplex.2State”, or "Homoduplex.2State”, (4) The temperature used to calculate the RNA concentration. (5) An optional  temperature range that is fit, used for manual baseline trimming. </w:t>
      </w:r>
      <w:r>
        <w:rPr>
          <w:rFonts w:ascii="Arial" w:hAnsi="Arial"/>
          <w:b/>
          <w:bCs/>
          <w:sz w:val="22"/>
          <w:szCs w:val="22"/>
        </w:rPr>
        <w:t xml:space="preserve">(D) </w:t>
      </w:r>
      <w:r>
        <w:rPr>
          <w:rFonts w:ascii="Arial" w:hAnsi="Arial"/>
          <w:sz w:val="22"/>
          <w:szCs w:val="22"/>
        </w:rPr>
        <w:t>The raw output of meltR.A.</w:t>
      </w:r>
      <w:r>
        <w:br w:type="page"/>
      </w:r>
    </w:p>
    <w:p w14:paraId="6E2255A8" w14:textId="77777777" w:rsidR="008E1C51" w:rsidRDefault="00000000">
      <w:pPr>
        <w:spacing w:line="480" w:lineRule="auto"/>
        <w:jc w:val="center"/>
      </w:pPr>
      <w:r>
        <w:rPr>
          <w:noProof/>
        </w:rPr>
        <w:lastRenderedPageBreak/>
        <w:drawing>
          <wp:inline distT="0" distB="0" distL="0" distR="0" wp14:anchorId="3436C854" wp14:editId="34AFFEDF">
            <wp:extent cx="5372100" cy="25908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5"/>
                    <a:stretch>
                      <a:fillRect/>
                    </a:stretch>
                  </pic:blipFill>
                  <pic:spPr bwMode="auto">
                    <a:xfrm>
                      <a:off x="0" y="0"/>
                      <a:ext cx="5372100" cy="2590800"/>
                    </a:xfrm>
                    <a:prstGeom prst="rect">
                      <a:avLst/>
                    </a:prstGeom>
                  </pic:spPr>
                </pic:pic>
              </a:graphicData>
            </a:graphic>
          </wp:inline>
        </w:drawing>
      </w:r>
    </w:p>
    <w:p w14:paraId="363CFDFA" w14:textId="77777777" w:rsidR="008E1C51" w:rsidRDefault="00000000">
      <w:pPr>
        <w:spacing w:line="480" w:lineRule="auto"/>
        <w:jc w:val="both"/>
      </w:pPr>
      <w:r w:rsidRPr="004A6486">
        <w:rPr>
          <w:rStyle w:val="Heading1Char"/>
        </w:rPr>
        <w:t>Figure 2</w:t>
      </w:r>
      <w:r>
        <w:rPr>
          <w:rFonts w:ascii="Arial" w:hAnsi="Arial"/>
          <w:b/>
          <w:bCs/>
          <w:sz w:val="22"/>
          <w:szCs w:val="22"/>
        </w:rPr>
        <w:t xml:space="preserve"> </w:t>
      </w:r>
      <w:r>
        <w:rPr>
          <w:rFonts w:ascii="Arial" w:hAnsi="Arial"/>
          <w:sz w:val="22"/>
          <w:szCs w:val="22"/>
        </w:rPr>
        <w:t xml:space="preserve"> Auto-baseline trimming absorbance data using the BLtrimmer. </w:t>
      </w:r>
      <w:r>
        <w:rPr>
          <w:rFonts w:ascii="Arial" w:hAnsi="Arial"/>
          <w:b/>
          <w:bCs/>
          <w:sz w:val="22"/>
          <w:szCs w:val="22"/>
        </w:rPr>
        <w:t xml:space="preserve">(A) </w:t>
      </w:r>
      <w:r>
        <w:rPr>
          <w:rFonts w:ascii="Arial" w:hAnsi="Arial"/>
          <w:sz w:val="22"/>
          <w:szCs w:val="22"/>
        </w:rPr>
        <w:t xml:space="preserve">BLtrimmer usage in a R script. (1) A MeltR fit object from meltR.A. (2) Method used to generate random baselines. Either “fixed” or “floating”. (3) The method used to asses each baseline range for internal consistency across samples. (4) Defines the core or the melt region which is not trimmed. (5) The fraction of optimum baseline combinations to analyze in the final ensemble. (6) The number of baseline ranges the BLtrimmer will produce for each sample. (7) The temperature difference for each baseline produced on an absorbance melting curve. (8) The number of baseline combinations to test in a given BLtrimmer run. </w:t>
      </w:r>
      <w:r>
        <w:rPr>
          <w:rFonts w:ascii="Arial" w:hAnsi="Arial"/>
          <w:b/>
          <w:bCs/>
          <w:sz w:val="22"/>
          <w:szCs w:val="22"/>
        </w:rPr>
        <w:t>(B)</w:t>
      </w:r>
      <w:r>
        <w:rPr>
          <w:rFonts w:ascii="Arial" w:hAnsi="Arial"/>
          <w:sz w:val="22"/>
          <w:szCs w:val="22"/>
        </w:rPr>
        <w:t xml:space="preserve"> The raw output of the BLtrimmer.</w:t>
      </w:r>
    </w:p>
    <w:p w14:paraId="5CE821AE" w14:textId="77777777" w:rsidR="008E1C51" w:rsidRDefault="00000000">
      <w:pPr>
        <w:spacing w:line="480" w:lineRule="auto"/>
        <w:jc w:val="center"/>
      </w:pPr>
      <w:r>
        <w:rPr>
          <w:noProof/>
        </w:rPr>
        <w:lastRenderedPageBreak/>
        <w:drawing>
          <wp:inline distT="0" distB="0" distL="0" distR="0" wp14:anchorId="5ED17CBA" wp14:editId="25AAC73F">
            <wp:extent cx="4819015" cy="54483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6"/>
                    <a:stretch>
                      <a:fillRect/>
                    </a:stretch>
                  </pic:blipFill>
                  <pic:spPr bwMode="auto">
                    <a:xfrm>
                      <a:off x="0" y="0"/>
                      <a:ext cx="4819015" cy="5448300"/>
                    </a:xfrm>
                    <a:prstGeom prst="rect">
                      <a:avLst/>
                    </a:prstGeom>
                  </pic:spPr>
                </pic:pic>
              </a:graphicData>
            </a:graphic>
          </wp:inline>
        </w:drawing>
      </w:r>
    </w:p>
    <w:p w14:paraId="50610373" w14:textId="6F9B664A" w:rsidR="008E1C51" w:rsidRDefault="00000000">
      <w:pPr>
        <w:spacing w:line="480" w:lineRule="auto"/>
      </w:pPr>
      <w:commentRangeStart w:id="9"/>
      <w:r w:rsidRPr="004A6486">
        <w:rPr>
          <w:rStyle w:val="Heading1Char"/>
        </w:rPr>
        <w:t xml:space="preserve">Figure </w:t>
      </w:r>
      <w:commentRangeEnd w:id="9"/>
      <w:r w:rsidRPr="004A6486">
        <w:rPr>
          <w:rStyle w:val="Heading1Char"/>
        </w:rPr>
        <w:commentReference w:id="9"/>
      </w:r>
      <w:r w:rsidRPr="004A6486">
        <w:rPr>
          <w:rStyle w:val="Heading1Char"/>
        </w:rPr>
        <w:t>3</w:t>
      </w:r>
      <w:r>
        <w:rPr>
          <w:rFonts w:ascii="Arial" w:hAnsi="Arial"/>
          <w:sz w:val="22"/>
          <w:szCs w:val="22"/>
        </w:rPr>
        <w:t xml:space="preserve">  </w:t>
      </w:r>
      <w:r w:rsidRPr="008D591B">
        <w:rPr>
          <w:rFonts w:ascii="Arial" w:hAnsi="Arial"/>
          <w:i/>
          <w:iCs/>
          <w:sz w:val="22"/>
          <w:szCs w:val="22"/>
        </w:rPr>
        <w:t>MeltR</w:t>
      </w:r>
      <w:r>
        <w:rPr>
          <w:rFonts w:ascii="Arial" w:hAnsi="Arial"/>
          <w:sz w:val="22"/>
          <w:szCs w:val="22"/>
        </w:rPr>
        <w:t xml:space="preserve"> functions </w:t>
      </w:r>
      <w:r w:rsidRPr="008D591B">
        <w:rPr>
          <w:rFonts w:ascii="Arial" w:hAnsi="Arial"/>
          <w:i/>
          <w:iCs/>
          <w:sz w:val="22"/>
          <w:szCs w:val="22"/>
        </w:rPr>
        <w:t>meltR.A</w:t>
      </w:r>
      <w:r>
        <w:rPr>
          <w:rFonts w:ascii="Arial" w:hAnsi="Arial"/>
          <w:sz w:val="22"/>
          <w:szCs w:val="22"/>
        </w:rPr>
        <w:t xml:space="preserve"> and </w:t>
      </w:r>
      <w:r w:rsidRPr="008D591B">
        <w:rPr>
          <w:rFonts w:ascii="Arial" w:hAnsi="Arial"/>
          <w:i/>
          <w:iCs/>
          <w:sz w:val="22"/>
          <w:szCs w:val="22"/>
        </w:rPr>
        <w:t>BL</w:t>
      </w:r>
      <w:r w:rsidR="008D591B" w:rsidRPr="008D591B">
        <w:rPr>
          <w:rFonts w:ascii="Arial" w:hAnsi="Arial"/>
          <w:i/>
          <w:iCs/>
          <w:sz w:val="22"/>
          <w:szCs w:val="22"/>
        </w:rPr>
        <w:t>T</w:t>
      </w:r>
      <w:r w:rsidRPr="008D591B">
        <w:rPr>
          <w:rFonts w:ascii="Arial" w:hAnsi="Arial"/>
          <w:i/>
          <w:iCs/>
          <w:sz w:val="22"/>
          <w:szCs w:val="22"/>
        </w:rPr>
        <w:t>rimmer</w:t>
      </w:r>
      <w:r>
        <w:rPr>
          <w:rFonts w:ascii="Arial" w:hAnsi="Arial"/>
          <w:sz w:val="22"/>
          <w:szCs w:val="22"/>
        </w:rPr>
        <w:t xml:space="preserve"> reproduce folding energies calculated using </w:t>
      </w:r>
      <w:r w:rsidRPr="008D591B">
        <w:rPr>
          <w:rFonts w:ascii="Arial" w:hAnsi="Arial"/>
          <w:i/>
          <w:iCs/>
          <w:sz w:val="22"/>
          <w:szCs w:val="22"/>
        </w:rPr>
        <w:t>MeltWin</w:t>
      </w:r>
      <w:r>
        <w:rPr>
          <w:rFonts w:ascii="Arial" w:hAnsi="Arial"/>
          <w:sz w:val="22"/>
          <w:szCs w:val="22"/>
        </w:rPr>
        <w:t>.</w:t>
      </w:r>
      <w:r>
        <w:rPr>
          <w:rFonts w:ascii="Arial" w:hAnsi="Arial"/>
          <w:b/>
          <w:bCs/>
          <w:sz w:val="22"/>
          <w:szCs w:val="22"/>
        </w:rPr>
        <w:t xml:space="preserve"> (A) </w:t>
      </w:r>
      <w:r>
        <w:rPr>
          <w:rFonts w:ascii="Arial" w:hAnsi="Arial"/>
          <w:sz w:val="22"/>
          <w:szCs w:val="22"/>
        </w:rPr>
        <w:t xml:space="preserve">Average error between </w:t>
      </w:r>
      <w:r w:rsidRPr="008D591B">
        <w:rPr>
          <w:rFonts w:ascii="Arial" w:hAnsi="Arial"/>
          <w:i/>
          <w:iCs/>
          <w:sz w:val="22"/>
          <w:szCs w:val="22"/>
        </w:rPr>
        <w:t>MeltR</w:t>
      </w:r>
      <w:r>
        <w:rPr>
          <w:rFonts w:ascii="Arial" w:hAnsi="Arial"/>
          <w:sz w:val="22"/>
          <w:szCs w:val="22"/>
        </w:rPr>
        <w:t xml:space="preserve"> and </w:t>
      </w:r>
      <w:r w:rsidRPr="008D591B">
        <w:rPr>
          <w:rFonts w:ascii="Arial" w:hAnsi="Arial"/>
          <w:i/>
          <w:iCs/>
          <w:sz w:val="22"/>
          <w:szCs w:val="22"/>
        </w:rPr>
        <w:t>MeltWin</w:t>
      </w:r>
      <w:r>
        <w:rPr>
          <w:rFonts w:ascii="Arial" w:hAnsi="Arial"/>
          <w:sz w:val="22"/>
          <w:szCs w:val="22"/>
        </w:rPr>
        <w:t xml:space="preserve"> for each method. </w:t>
      </w:r>
      <w:r>
        <w:rPr>
          <w:rFonts w:ascii="Arial" w:hAnsi="Arial"/>
          <w:b/>
          <w:bCs/>
          <w:sz w:val="22"/>
          <w:szCs w:val="22"/>
        </w:rPr>
        <w:t>(B-F)</w:t>
      </w:r>
      <w:r>
        <w:rPr>
          <w:rFonts w:ascii="Arial" w:hAnsi="Arial"/>
          <w:sz w:val="22"/>
          <w:szCs w:val="22"/>
        </w:rPr>
        <w:t xml:space="preserve"> Thermodynamic parameters determined from method 1 (purple) and method 2 (green) using </w:t>
      </w:r>
      <w:r w:rsidRPr="008D591B">
        <w:rPr>
          <w:rFonts w:ascii="Arial" w:hAnsi="Arial"/>
          <w:i/>
          <w:iCs/>
          <w:sz w:val="22"/>
          <w:szCs w:val="22"/>
        </w:rPr>
        <w:t>MeltWin</w:t>
      </w:r>
      <w:r>
        <w:rPr>
          <w:rFonts w:ascii="Arial" w:hAnsi="Arial"/>
          <w:sz w:val="22"/>
          <w:szCs w:val="22"/>
        </w:rPr>
        <w:t xml:space="preserve"> versus parameters method 3, global fitting, using </w:t>
      </w:r>
      <w:r w:rsidRPr="008D591B">
        <w:rPr>
          <w:rFonts w:ascii="Arial" w:hAnsi="Arial"/>
          <w:i/>
          <w:iCs/>
          <w:sz w:val="22"/>
          <w:szCs w:val="22"/>
        </w:rPr>
        <w:t>MeltR</w:t>
      </w:r>
      <w:r>
        <w:rPr>
          <w:rFonts w:ascii="Arial" w:hAnsi="Arial"/>
          <w:sz w:val="22"/>
          <w:szCs w:val="22"/>
        </w:rPr>
        <w:t xml:space="preserve">. Horizontal error bars represent precision in the parameters calculated by </w:t>
      </w:r>
      <w:r w:rsidRPr="008D591B">
        <w:rPr>
          <w:rFonts w:ascii="Arial" w:hAnsi="Arial"/>
          <w:i/>
          <w:iCs/>
          <w:sz w:val="22"/>
          <w:szCs w:val="22"/>
        </w:rPr>
        <w:t>MeltWin</w:t>
      </w:r>
      <w:r>
        <w:rPr>
          <w:rFonts w:ascii="Arial" w:hAnsi="Arial"/>
          <w:sz w:val="22"/>
          <w:szCs w:val="22"/>
        </w:rPr>
        <w:t xml:space="preserve"> and vertical error bars represent 95% confidence intervals calculated using the </w:t>
      </w:r>
      <w:r w:rsidRPr="008D591B">
        <w:rPr>
          <w:rFonts w:ascii="Arial" w:hAnsi="Arial"/>
          <w:i/>
          <w:iCs/>
          <w:sz w:val="22"/>
          <w:szCs w:val="22"/>
        </w:rPr>
        <w:t>BLtrimmer</w:t>
      </w:r>
      <w:r>
        <w:rPr>
          <w:rFonts w:ascii="Arial" w:hAnsi="Arial"/>
          <w:sz w:val="22"/>
          <w:szCs w:val="22"/>
        </w:rPr>
        <w:t>.</w:t>
      </w:r>
    </w:p>
    <w:p w14:paraId="34CE3A8E" w14:textId="77777777" w:rsidR="008E1C51" w:rsidRDefault="00000000">
      <w:pPr>
        <w:spacing w:line="480" w:lineRule="auto"/>
        <w:jc w:val="center"/>
      </w:pPr>
      <w:r>
        <w:rPr>
          <w:noProof/>
        </w:rPr>
        <w:lastRenderedPageBreak/>
        <w:drawing>
          <wp:inline distT="0" distB="0" distL="0" distR="0" wp14:anchorId="23AA8B9D" wp14:editId="60BAC3B3">
            <wp:extent cx="4508500" cy="58674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7"/>
                    <a:stretch>
                      <a:fillRect/>
                    </a:stretch>
                  </pic:blipFill>
                  <pic:spPr bwMode="auto">
                    <a:xfrm>
                      <a:off x="0" y="0"/>
                      <a:ext cx="4508500" cy="5867400"/>
                    </a:xfrm>
                    <a:prstGeom prst="rect">
                      <a:avLst/>
                    </a:prstGeom>
                  </pic:spPr>
                </pic:pic>
              </a:graphicData>
            </a:graphic>
          </wp:inline>
        </w:drawing>
      </w:r>
    </w:p>
    <w:p w14:paraId="66A92303" w14:textId="77777777" w:rsidR="008E1C51" w:rsidRDefault="00000000">
      <w:pPr>
        <w:spacing w:line="480" w:lineRule="auto"/>
      </w:pPr>
      <w:r w:rsidRPr="004A6486">
        <w:rPr>
          <w:rStyle w:val="Heading1Char"/>
        </w:rPr>
        <w:t>Figure 4</w:t>
      </w:r>
      <w:r>
        <w:rPr>
          <w:rFonts w:ascii="Arial" w:hAnsi="Arial"/>
          <w:b/>
          <w:bCs/>
          <w:sz w:val="22"/>
          <w:szCs w:val="22"/>
        </w:rPr>
        <w:t xml:space="preserve"> </w:t>
      </w:r>
      <w:r>
        <w:rPr>
          <w:rFonts w:ascii="Arial" w:hAnsi="Arial"/>
          <w:sz w:val="22"/>
          <w:szCs w:val="22"/>
        </w:rPr>
        <w:t xml:space="preserve"> Two-state folding test using the </w:t>
      </w:r>
      <w:r w:rsidRPr="008D591B">
        <w:rPr>
          <w:rFonts w:ascii="Arial" w:hAnsi="Arial"/>
          <w:i/>
          <w:iCs/>
          <w:sz w:val="22"/>
          <w:szCs w:val="22"/>
        </w:rPr>
        <w:t>BLtrimmer</w:t>
      </w:r>
      <w:r>
        <w:rPr>
          <w:rFonts w:ascii="Arial" w:hAnsi="Arial"/>
          <w:sz w:val="22"/>
          <w:szCs w:val="22"/>
        </w:rPr>
        <w:t xml:space="preserve"> in </w:t>
      </w:r>
      <w:r w:rsidRPr="008D591B">
        <w:rPr>
          <w:rFonts w:ascii="Arial" w:hAnsi="Arial"/>
          <w:i/>
          <w:iCs/>
          <w:sz w:val="22"/>
          <w:szCs w:val="22"/>
        </w:rPr>
        <w:t>MeltR</w:t>
      </w:r>
      <w:r>
        <w:rPr>
          <w:rFonts w:ascii="Arial" w:hAnsi="Arial"/>
          <w:sz w:val="22"/>
          <w:szCs w:val="22"/>
        </w:rPr>
        <w:t xml:space="preserve">. </w:t>
      </w:r>
      <w:r>
        <w:rPr>
          <w:rFonts w:ascii="Arial" w:hAnsi="Arial"/>
          <w:b/>
          <w:bCs/>
          <w:sz w:val="22"/>
          <w:szCs w:val="22"/>
        </w:rPr>
        <w:t>(A)</w:t>
      </w:r>
      <w:r>
        <w:rPr>
          <w:rFonts w:ascii="Arial" w:hAnsi="Arial"/>
          <w:sz w:val="22"/>
          <w:szCs w:val="22"/>
        </w:rPr>
        <w:t xml:space="preserve"> Melting transition for a two-state folding sequence. </w:t>
      </w:r>
      <w:r>
        <w:rPr>
          <w:rFonts w:ascii="Arial" w:hAnsi="Arial"/>
          <w:b/>
          <w:bCs/>
          <w:sz w:val="22"/>
          <w:szCs w:val="22"/>
        </w:rPr>
        <w:t xml:space="preserve">(B) </w:t>
      </w:r>
      <w:r>
        <w:rPr>
          <w:rFonts w:ascii="Arial" w:hAnsi="Arial"/>
          <w:sz w:val="22"/>
          <w:szCs w:val="22"/>
        </w:rPr>
        <w:t>Melting transition for a two-state folding sequence</w:t>
      </w:r>
      <w:r>
        <w:rPr>
          <w:rFonts w:ascii="Arial" w:hAnsi="Arial"/>
          <w:b/>
          <w:bCs/>
          <w:sz w:val="22"/>
          <w:szCs w:val="22"/>
        </w:rPr>
        <w:t xml:space="preserve">. (C) </w:t>
      </w:r>
      <w:r>
        <w:rPr>
          <w:rFonts w:ascii="Arial" w:hAnsi="Arial"/>
          <w:sz w:val="22"/>
          <w:szCs w:val="22"/>
        </w:rPr>
        <w:t>The distribution of the error between the Δ</w:t>
      </w:r>
      <w:r>
        <w:rPr>
          <w:rFonts w:ascii="Arial" w:hAnsi="Arial"/>
          <w:sz w:val="22"/>
        </w:rPr>
        <w:t>H</w:t>
      </w:r>
      <w:r>
        <w:rPr>
          <w:rFonts w:ascii="Arial" w:hAnsi="Arial"/>
          <w:sz w:val="22"/>
          <w:szCs w:val="22"/>
        </w:rPr>
        <w:t>° using methods 1 (average of fitting samples individually) and method 2 (van’t Hoff analysis).</w:t>
      </w:r>
    </w:p>
    <w:sectPr w:rsidR="008E1C51">
      <w:headerReference w:type="default" r:id="rId18"/>
      <w:footerReference w:type="default" r:id="rId19"/>
      <w:pgSz w:w="12240" w:h="15840"/>
      <w:pgMar w:top="1134" w:right="1134" w:bottom="1693" w:left="1134" w:header="0" w:footer="1134"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eg, Jacob Philip" w:date="2022-11-01T13:29:00Z" w:initials="SJP">
    <w:p w14:paraId="4004F02F" w14:textId="77777777" w:rsidR="005C5980" w:rsidRDefault="005C5980" w:rsidP="00B0184A">
      <w:pPr>
        <w:pStyle w:val="CommentText"/>
      </w:pPr>
      <w:r>
        <w:rPr>
          <w:rStyle w:val="CommentReference"/>
        </w:rPr>
        <w:annotationRef/>
      </w:r>
      <w:r>
        <w:t>Sebstian and Brent, can you provide a reference you trust?</w:t>
      </w:r>
    </w:p>
  </w:comment>
  <w:comment w:id="2" w:author="Bevilacqua, Philip C" w:date="2022-10-11T08:04:00Z" w:initials="BPC">
    <w:p w14:paraId="77F296AC" w14:textId="3EEB75AC" w:rsidR="008E1C51" w:rsidRDefault="00000000">
      <w:r>
        <w:rPr>
          <w:rFonts w:eastAsia="DejaVu Sans" w:cs="DejaVu Sans"/>
          <w:kern w:val="0"/>
          <w:lang w:eastAsia="en-US" w:bidi="en-US"/>
        </w:rPr>
        <w:t xml:space="preserve">Have you tried using the first derivative to get the slope of the baselines?  </w:t>
      </w:r>
    </w:p>
  </w:comment>
  <w:comment w:id="3" w:author="Unknown Author" w:date="2022-10-25T14:19:00Z" w:initials="">
    <w:p w14:paraId="308B2CDC" w14:textId="77777777" w:rsidR="008E1C51" w:rsidRDefault="00000000">
      <w:r>
        <w:rPr>
          <w:i/>
          <w:sz w:val="16"/>
        </w:rPr>
        <w:t>Reply to Bevilacqua, Philip C (10/11/2022, 08:04): "..."</w:t>
      </w:r>
    </w:p>
    <w:p w14:paraId="6644CECF" w14:textId="77777777" w:rsidR="008E1C51" w:rsidRDefault="00000000">
      <w:r>
        <w:rPr>
          <w:rFonts w:eastAsia="DejaVu Sans" w:cs="DejaVu Sans"/>
          <w:kern w:val="0"/>
          <w:sz w:val="20"/>
        </w:rPr>
        <w:t>Yes, is is ugly. I use linear regression to guess initial slopes and intercepts.</w:t>
      </w:r>
    </w:p>
  </w:comment>
  <w:comment w:id="4" w:author="Bevilacqua, Philip C" w:date="2022-10-11T08:10:00Z" w:initials="BPC">
    <w:p w14:paraId="78BEC1B3" w14:textId="77777777" w:rsidR="008E1C51" w:rsidRDefault="00000000">
      <w:r>
        <w:rPr>
          <w:rFonts w:eastAsia="DejaVu Sans" w:cs="DejaVu Sans"/>
          <w:kern w:val="0"/>
          <w:lang w:eastAsia="en-US" w:bidi="en-US"/>
        </w:rPr>
        <w:t>Has anyone done a detailed baseline control to see if baselines are really linear?  e.g. make a duplex that is nailed down with GC and get the folded baseline up to say 50C.  e.g. make a mixture of two strands that have no base pairing and no self structure and get unfolded base line down to say 50 C?</w:t>
      </w:r>
    </w:p>
  </w:comment>
  <w:comment w:id="5" w:author="Unknown Author" w:date="2022-10-25T14:52:00Z" w:initials="">
    <w:p w14:paraId="4919DC73" w14:textId="77777777" w:rsidR="008E1C51" w:rsidRDefault="00000000">
      <w:r>
        <w:rPr>
          <w:i/>
          <w:sz w:val="16"/>
        </w:rPr>
        <w:t>Reply to Bevilacqua, Philip C (10/11/2022, 08:10): "..."</w:t>
      </w:r>
    </w:p>
    <w:p w14:paraId="002AFB54" w14:textId="77777777" w:rsidR="008E1C51" w:rsidRDefault="00000000">
      <w:r>
        <w:rPr>
          <w:rFonts w:eastAsia="DejaVu Sans" w:cs="DejaVu Sans"/>
          <w:kern w:val="0"/>
          <w:sz w:val="20"/>
        </w:rPr>
        <w:t>Not that anyone knows of</w:t>
      </w:r>
    </w:p>
  </w:comment>
  <w:comment w:id="6" w:author="Sieg, Jacob Philip" w:date="2022-11-01T11:45:00Z" w:initials="SJP">
    <w:p w14:paraId="5E1D6F9B" w14:textId="77777777" w:rsidR="00631957" w:rsidRDefault="00FD6191" w:rsidP="00DD20A2">
      <w:pPr>
        <w:pStyle w:val="CommentText"/>
      </w:pPr>
      <w:r>
        <w:rPr>
          <w:rStyle w:val="CommentReference"/>
        </w:rPr>
        <w:annotationRef/>
      </w:r>
      <w:r w:rsidR="00631957">
        <w:t>Brent or Sebastian, can you help me find a citation you trust?</w:t>
      </w:r>
    </w:p>
  </w:comment>
  <w:comment w:id="7" w:author="Sieg, Jacob Philip" w:date="2022-11-01T12:36:00Z" w:initials="SJP">
    <w:p w14:paraId="228DC299" w14:textId="5AE9B4B3" w:rsidR="00BB424E" w:rsidRDefault="00BB424E" w:rsidP="00F90C4F">
      <w:pPr>
        <w:pStyle w:val="CommentText"/>
      </w:pPr>
      <w:r>
        <w:rPr>
          <w:rStyle w:val="CommentReference"/>
        </w:rPr>
        <w:annotationRef/>
      </w:r>
      <w:r>
        <w:t>Brent or Sebastian, is this true?</w:t>
      </w:r>
    </w:p>
  </w:comment>
  <w:comment w:id="8" w:author="Sieg, Jacob Philip" w:date="2022-10-31T14:39:00Z" w:initials="SJP">
    <w:p w14:paraId="6DFCDCB2" w14:textId="77777777" w:rsidR="004A3F65" w:rsidRDefault="005921D7" w:rsidP="004B7B0E">
      <w:pPr>
        <w:pStyle w:val="CommentText"/>
      </w:pPr>
      <w:r>
        <w:rPr>
          <w:rStyle w:val="CommentReference"/>
        </w:rPr>
        <w:annotationRef/>
      </w:r>
      <w:r w:rsidR="004A3F65">
        <w:t>Does Brent want to add one of his grants?</w:t>
      </w:r>
    </w:p>
  </w:comment>
  <w:comment w:id="9" w:author="Bevilacqua, Philip C" w:date="2022-10-11T08:19:00Z" w:initials="BPC">
    <w:p w14:paraId="5391B91D" w14:textId="27084110" w:rsidR="008E1C51" w:rsidRDefault="00000000">
      <w:r>
        <w:rPr>
          <w:rFonts w:eastAsia="DejaVu Sans" w:cs="DejaVu Sans"/>
          <w:kern w:val="0"/>
          <w:lang w:eastAsia="en-US" w:bidi="en-US"/>
        </w:rPr>
        <w:t>Why is the scatter less for meltR than meltwin for DH and DS?  This should be brought up in the abstract.  The effect on DG extrapolated should be driven home.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04F02F" w15:done="0"/>
  <w15:commentEx w15:paraId="77F296AC" w15:done="0"/>
  <w15:commentEx w15:paraId="6644CECF" w15:done="0"/>
  <w15:commentEx w15:paraId="78BEC1B3" w15:done="0"/>
  <w15:commentEx w15:paraId="002AFB54" w15:done="0"/>
  <w15:commentEx w15:paraId="5E1D6F9B" w15:done="0"/>
  <w15:commentEx w15:paraId="228DC299" w15:done="0"/>
  <w15:commentEx w15:paraId="6DFCDCB2" w15:done="0"/>
  <w15:commentEx w15:paraId="5391B9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B9DD5" w16cex:dateUtc="2022-11-01T17:29:00Z"/>
  <w16cex:commentExtensible w16cex:durableId="270B8569" w16cex:dateUtc="2022-11-01T15:45:00Z"/>
  <w16cex:commentExtensible w16cex:durableId="270B9159" w16cex:dateUtc="2022-11-01T16:36:00Z"/>
  <w16cex:commentExtensible w16cex:durableId="270A5CA6" w16cex:dateUtc="2022-10-31T1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04F02F" w16cid:durableId="270B9DD5"/>
  <w16cid:commentId w16cid:paraId="77F296AC" w16cid:durableId="270A1271"/>
  <w16cid:commentId w16cid:paraId="6644CECF" w16cid:durableId="270A1272"/>
  <w16cid:commentId w16cid:paraId="78BEC1B3" w16cid:durableId="270A1273"/>
  <w16cid:commentId w16cid:paraId="002AFB54" w16cid:durableId="270A1274"/>
  <w16cid:commentId w16cid:paraId="5E1D6F9B" w16cid:durableId="270B8569"/>
  <w16cid:commentId w16cid:paraId="228DC299" w16cid:durableId="270B9159"/>
  <w16cid:commentId w16cid:paraId="6DFCDCB2" w16cid:durableId="270A5CA6"/>
  <w16cid:commentId w16cid:paraId="5391B91D" w16cid:durableId="270A12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891E1" w14:textId="77777777" w:rsidR="00A42EE0" w:rsidRDefault="00A42EE0">
      <w:r>
        <w:separator/>
      </w:r>
    </w:p>
  </w:endnote>
  <w:endnote w:type="continuationSeparator" w:id="0">
    <w:p w14:paraId="45E2EF23" w14:textId="77777777" w:rsidR="00A42EE0" w:rsidRDefault="00A42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auto"/>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270C" w14:textId="77777777" w:rsidR="008E1C51" w:rsidRDefault="00000000">
    <w:pPr>
      <w:pStyle w:val="Footer"/>
      <w:jc w:val="right"/>
    </w:pPr>
    <w:r>
      <w:t xml:space="preserve">Sieg </w:t>
    </w:r>
    <w:r>
      <w:fldChar w:fldCharType="begin"/>
    </w:r>
    <w:r>
      <w:instrText xml:space="preserve"> PAGE </w:instrText>
    </w:r>
    <w:r>
      <w:fldChar w:fldCharType="separate"/>
    </w:r>
    <w: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17B76" w14:textId="77777777" w:rsidR="00A42EE0" w:rsidRDefault="00A42EE0">
      <w:r>
        <w:separator/>
      </w:r>
    </w:p>
  </w:footnote>
  <w:footnote w:type="continuationSeparator" w:id="0">
    <w:p w14:paraId="4AC97E6C" w14:textId="77777777" w:rsidR="00A42EE0" w:rsidRDefault="00A42E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09F27" w14:textId="77777777" w:rsidR="008E1C51" w:rsidRDefault="008E1C51">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eg, Jacob Philip">
    <w15:presenceInfo w15:providerId="None" w15:userId="Sieg, Jacob Philip"/>
  </w15:person>
  <w15:person w15:author="Bevilacqua, Philip C">
    <w15:presenceInfo w15:providerId="AD" w15:userId="S::pcb5@psu.edu::db9ca7b5-defb-42e4-b915-4600dffa24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C51"/>
    <w:rsid w:val="000D3692"/>
    <w:rsid w:val="0011272B"/>
    <w:rsid w:val="00144104"/>
    <w:rsid w:val="00172929"/>
    <w:rsid w:val="001F56D2"/>
    <w:rsid w:val="00230DBA"/>
    <w:rsid w:val="002C5D7A"/>
    <w:rsid w:val="003D02C0"/>
    <w:rsid w:val="003E1444"/>
    <w:rsid w:val="003E6A2E"/>
    <w:rsid w:val="003F41AF"/>
    <w:rsid w:val="003F4594"/>
    <w:rsid w:val="00430778"/>
    <w:rsid w:val="004A3F65"/>
    <w:rsid w:val="004A6486"/>
    <w:rsid w:val="004B6B2C"/>
    <w:rsid w:val="004E43C0"/>
    <w:rsid w:val="00567B47"/>
    <w:rsid w:val="005921D7"/>
    <w:rsid w:val="005932E6"/>
    <w:rsid w:val="005C5980"/>
    <w:rsid w:val="005F5F27"/>
    <w:rsid w:val="006234D5"/>
    <w:rsid w:val="00626591"/>
    <w:rsid w:val="00631957"/>
    <w:rsid w:val="00671552"/>
    <w:rsid w:val="00721BC9"/>
    <w:rsid w:val="00755569"/>
    <w:rsid w:val="0078406C"/>
    <w:rsid w:val="00797F1E"/>
    <w:rsid w:val="00814CB6"/>
    <w:rsid w:val="00834DF5"/>
    <w:rsid w:val="0084490E"/>
    <w:rsid w:val="00871E20"/>
    <w:rsid w:val="008A41EB"/>
    <w:rsid w:val="008C0D74"/>
    <w:rsid w:val="008D55AE"/>
    <w:rsid w:val="008D591B"/>
    <w:rsid w:val="008D7181"/>
    <w:rsid w:val="008E1C51"/>
    <w:rsid w:val="009040C3"/>
    <w:rsid w:val="00986971"/>
    <w:rsid w:val="00A42EE0"/>
    <w:rsid w:val="00A77633"/>
    <w:rsid w:val="00A82561"/>
    <w:rsid w:val="00AA2922"/>
    <w:rsid w:val="00AB5E96"/>
    <w:rsid w:val="00B16305"/>
    <w:rsid w:val="00BA52FA"/>
    <w:rsid w:val="00BB424E"/>
    <w:rsid w:val="00C11BE8"/>
    <w:rsid w:val="00CA56BD"/>
    <w:rsid w:val="00D012D8"/>
    <w:rsid w:val="00D41FC7"/>
    <w:rsid w:val="00DB0832"/>
    <w:rsid w:val="00E31C0D"/>
    <w:rsid w:val="00E414F9"/>
    <w:rsid w:val="00E755B3"/>
    <w:rsid w:val="00E9227B"/>
    <w:rsid w:val="00F82C3C"/>
    <w:rsid w:val="00FC0974"/>
    <w:rsid w:val="00FD5E7D"/>
    <w:rsid w:val="00FD619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0CB0"/>
  <w15:docId w15:val="{F40C17AD-6481-43CE-8D22-2B1FE318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style>
  <w:style w:type="paragraph" w:styleId="Heading1">
    <w:name w:val="heading 1"/>
    <w:basedOn w:val="Normal"/>
    <w:next w:val="Normal"/>
    <w:link w:val="Heading1Char"/>
    <w:uiPriority w:val="9"/>
    <w:qFormat/>
    <w:rsid w:val="00814CB6"/>
    <w:pPr>
      <w:keepNext/>
      <w:keepLines/>
      <w:spacing w:after="240"/>
      <w:outlineLvl w:val="0"/>
    </w:pPr>
    <w:rPr>
      <w:rFonts w:ascii="Arial" w:eastAsiaTheme="majorEastAsia" w:hAnsi="Arial" w:cs="Mangal"/>
      <w:b/>
      <w:sz w:val="22"/>
      <w:szCs w:val="29"/>
    </w:rPr>
  </w:style>
  <w:style w:type="paragraph" w:styleId="Heading2">
    <w:name w:val="heading 2"/>
    <w:basedOn w:val="Normal"/>
    <w:next w:val="Normal"/>
    <w:link w:val="Heading2Char"/>
    <w:uiPriority w:val="9"/>
    <w:unhideWhenUsed/>
    <w:qFormat/>
    <w:rsid w:val="00814CB6"/>
    <w:pPr>
      <w:keepNext/>
      <w:keepLines/>
      <w:spacing w:after="120"/>
      <w:outlineLvl w:val="1"/>
    </w:pPr>
    <w:rPr>
      <w:rFonts w:ascii="Arial" w:eastAsiaTheme="majorEastAsia" w:hAnsi="Arial" w:cs="Mangal"/>
      <w:i/>
      <w:sz w:val="22"/>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character" w:customStyle="1" w:styleId="Heading3Char">
    <w:name w:val="Heading 3 Char"/>
    <w:basedOn w:val="DefaultParagraphFont"/>
    <w:qFormat/>
    <w:rPr>
      <w:rFonts w:ascii="Arial" w:eastAsia="Calibri" w:hAnsi="Arial" w:cs="DejaVu Sans"/>
      <w:b/>
      <w:color w:val="000000"/>
      <w:sz w:val="20"/>
      <w:szCs w:val="24"/>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rFonts w:cs="Mangal"/>
      <w:sz w:val="20"/>
      <w:szCs w:val="18"/>
    </w:rPr>
  </w:style>
  <w:style w:type="character" w:customStyle="1" w:styleId="CommentSubjectChar">
    <w:name w:val="Comment Subject Char"/>
    <w:basedOn w:val="CommentTextChar"/>
    <w:link w:val="CommentSubject"/>
    <w:qFormat/>
    <w:rPr>
      <w:rFonts w:cs="Mangal"/>
      <w:b/>
      <w:bCs/>
      <w:sz w:val="20"/>
      <w:szCs w:val="18"/>
    </w:rPr>
  </w:style>
  <w:style w:type="character" w:customStyle="1"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qFormat/>
    <w:pPr>
      <w:ind w:left="720"/>
      <w:contextualSpacing/>
    </w:pPr>
    <w:rPr>
      <w:rFonts w:cs="Mangal"/>
      <w:szCs w:val="21"/>
    </w:rPr>
  </w:style>
  <w:style w:type="paragraph" w:styleId="Revision">
    <w:name w:val="Revision"/>
    <w:qFormat/>
    <w:pPr>
      <w:suppressAutoHyphens w:val="0"/>
      <w:overflowPunct w:val="0"/>
    </w:pPr>
    <w:rPr>
      <w:rFonts w:cs="Mangal"/>
      <w:szCs w:val="21"/>
    </w:rPr>
  </w:style>
  <w:style w:type="paragraph" w:styleId="CommentText">
    <w:name w:val="annotation text"/>
    <w:basedOn w:val="Normal"/>
    <w:link w:val="CommentTextChar"/>
    <w:qFormat/>
    <w:rPr>
      <w:rFonts w:cs="Mangal"/>
      <w:sz w:val="20"/>
      <w:szCs w:val="18"/>
    </w:rPr>
  </w:style>
  <w:style w:type="paragraph" w:styleId="CommentSubject">
    <w:name w:val="annotation subject"/>
    <w:basedOn w:val="CommentText"/>
    <w:next w:val="CommentText"/>
    <w:link w:val="CommentSubjectChar"/>
    <w:qFormat/>
    <w:rPr>
      <w:b/>
      <w:bCs/>
    </w:rPr>
  </w:style>
  <w:style w:type="paragraph" w:styleId="BalloonText">
    <w:name w:val="Balloon Text"/>
    <w:basedOn w:val="Normal"/>
    <w:link w:val="BalloonTextChar"/>
    <w:qFormat/>
    <w:rPr>
      <w:rFonts w:ascii="Times New Roman" w:hAnsi="Times New Roman" w:cs="Mangal"/>
      <w:sz w:val="18"/>
      <w:szCs w:val="16"/>
    </w:rPr>
  </w:style>
  <w:style w:type="character" w:customStyle="1" w:styleId="Heading1Char">
    <w:name w:val="Heading 1 Char"/>
    <w:basedOn w:val="DefaultParagraphFont"/>
    <w:link w:val="Heading1"/>
    <w:uiPriority w:val="9"/>
    <w:rsid w:val="00814CB6"/>
    <w:rPr>
      <w:rFonts w:ascii="Arial" w:eastAsiaTheme="majorEastAsia" w:hAnsi="Arial" w:cs="Mangal"/>
      <w:b/>
      <w:sz w:val="22"/>
      <w:szCs w:val="29"/>
    </w:rPr>
  </w:style>
  <w:style w:type="character" w:customStyle="1" w:styleId="Heading2Char">
    <w:name w:val="Heading 2 Char"/>
    <w:basedOn w:val="DefaultParagraphFont"/>
    <w:link w:val="Heading2"/>
    <w:uiPriority w:val="9"/>
    <w:rsid w:val="00814CB6"/>
    <w:rPr>
      <w:rFonts w:ascii="Arial" w:eastAsiaTheme="majorEastAsia" w:hAnsi="Arial" w:cs="Mangal"/>
      <w:i/>
      <w:sz w:val="22"/>
      <w:szCs w:val="23"/>
    </w:rPr>
  </w:style>
  <w:style w:type="paragraph" w:styleId="Bibliography">
    <w:name w:val="Bibliography"/>
    <w:basedOn w:val="Normal"/>
    <w:next w:val="Normal"/>
    <w:uiPriority w:val="37"/>
    <w:unhideWhenUsed/>
    <w:rsid w:val="00DB0832"/>
    <w:pPr>
      <w:tabs>
        <w:tab w:val="left" w:pos="504"/>
      </w:tabs>
      <w:ind w:left="504" w:hanging="504"/>
    </w:pPr>
    <w:rPr>
      <w:rFonts w:cs="Mangal"/>
      <w:szCs w:val="21"/>
    </w:rPr>
  </w:style>
  <w:style w:type="character" w:customStyle="1" w:styleId="enlighter-c0">
    <w:name w:val="enlighter-c0"/>
    <w:basedOn w:val="DefaultParagraphFont"/>
    <w:rsid w:val="00D01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PSieg/MeltR" TargetMode="External"/><Relationship Id="rId18" Type="http://schemas.openxmlformats.org/officeDocument/2006/relationships/header" Target="header1.xml"/><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hyperlink" Target="https://github.com/JPSieg/MeltR" TargetMode="External"/><Relationship Id="rId12" Type="http://schemas.openxmlformats.org/officeDocument/2006/relationships/hyperlink" Target="https://github.com/JPSieg/meltR.a.paper" TargetMode="External"/><Relationship Id="rId17" Type="http://schemas.openxmlformats.org/officeDocument/2006/relationships/image" Target="media/image4.wmf"/><Relationship Id="rId2" Type="http://schemas.openxmlformats.org/officeDocument/2006/relationships/settings" Target="settings.xml"/><Relationship Id="rId16" Type="http://schemas.openxmlformats.org/officeDocument/2006/relationships/image" Target="media/image3.w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r-project.org/" TargetMode="External"/><Relationship Id="rId11" Type="http://schemas.microsoft.com/office/2018/08/relationships/commentsExtensible" Target="commentsExtensible.xml"/><Relationship Id="rId5" Type="http://schemas.openxmlformats.org/officeDocument/2006/relationships/endnotes" Target="endnotes.xml"/><Relationship Id="rId15" Type="http://schemas.openxmlformats.org/officeDocument/2006/relationships/image" Target="media/image2.wmf"/><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1.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1358</TotalTime>
  <Pages>17</Pages>
  <Words>13129</Words>
  <Characters>74841</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Znosko</dc:creator>
  <dc:description/>
  <cp:lastModifiedBy>Sieg, Jacob Philip</cp:lastModifiedBy>
  <cp:revision>122</cp:revision>
  <dcterms:created xsi:type="dcterms:W3CDTF">2022-10-06T19:11:00Z</dcterms:created>
  <dcterms:modified xsi:type="dcterms:W3CDTF">2022-11-01T18:30:00Z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y fmtid="{D5CDD505-2E9C-101B-9397-08002B2CF9AE}" pid="3" name="ZOTERO_PREF_1">
    <vt:lpwstr>&lt;data data-version="3" zotero-version="6.0.16"&gt;&lt;session id="cFigpHiw"/&gt;&lt;style id="http://www.zotero.org/styles/american-chemical-society"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