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media/image4.emf" ContentType="image/x-emf"/>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both"/>
        <w:rPr>
          <w:rFonts w:ascii="Times New Roman" w:hAnsi="Times New Roman" w:cs="Times New Roman"/>
          <w:b/>
          <w:b/>
          <w:bCs/>
          <w:sz w:val="28"/>
          <w:szCs w:val="28"/>
        </w:rPr>
      </w:pPr>
      <w:r>
        <w:rPr>
          <w:rFonts w:cs="Times New Roman" w:ascii="Times New Roman" w:hAnsi="Times New Roman"/>
          <w:b/>
          <w:bCs/>
          <w:sz w:val="28"/>
          <w:szCs w:val="28"/>
        </w:rPr>
        <w:t>Supplementary Information</w:t>
      </w:r>
    </w:p>
    <w:p>
      <w:pPr>
        <w:pStyle w:val="BATitle"/>
        <w:jc w:val="center"/>
        <w:rPr>
          <w:rFonts w:ascii="Times New Roman" w:hAnsi="Times New Roman" w:eastAsia="Times New Roman" w:cs="Times New Roman"/>
          <w:b w:val="false"/>
          <w:b w:val="false"/>
          <w:kern w:val="2"/>
          <w:sz w:val="36"/>
          <w:szCs w:val="36"/>
        </w:rPr>
      </w:pPr>
      <w:r>
        <w:rPr>
          <w:rFonts w:eastAsia="Times New Roman" w:cs="Times New Roman" w:ascii="Times New Roman" w:hAnsi="Times New Roman"/>
          <w:b w:val="false"/>
          <w:kern w:val="2"/>
          <w:sz w:val="36"/>
          <w:szCs w:val="36"/>
        </w:rPr>
        <w:t xml:space="preserve">MeltR: A Software package for Facile Determination of </w:t>
        <w:br/>
        <w:t>RNA Folding Energies from Absorbance Data</w:t>
      </w:r>
    </w:p>
    <w:p>
      <w:pPr>
        <w:pStyle w:val="Standard"/>
        <w:jc w:val="center"/>
        <w:rPr/>
      </w:pPr>
      <w:r>
        <w:rPr>
          <w:rFonts w:cs="Times New Roman" w:ascii="Times New Roman" w:hAnsi="Times New Roman"/>
          <w:position w:val="0"/>
          <w:sz w:val="28"/>
          <w:sz w:val="28"/>
          <w:szCs w:val="22"/>
          <w:vertAlign w:val="baseline"/>
        </w:rPr>
        <w:t>Jacob P. Sieg</w:t>
      </w:r>
      <w:r>
        <w:rPr>
          <w:rFonts w:cs="Times New Roman" w:ascii="Times New Roman" w:hAnsi="Times New Roman"/>
          <w:sz w:val="28"/>
          <w:szCs w:val="22"/>
          <w:vertAlign w:val="superscript"/>
        </w:rPr>
        <w:t>1,2</w:t>
      </w:r>
      <w:r>
        <w:rPr>
          <w:rFonts w:cs="Times New Roman" w:ascii="Times New Roman" w:hAnsi="Times New Roman"/>
          <w:position w:val="0"/>
          <w:sz w:val="28"/>
          <w:sz w:val="28"/>
          <w:szCs w:val="22"/>
          <w:vertAlign w:val="baseline"/>
        </w:rPr>
        <w:t>, Sebastian Arteaga, Brent Znosko, Philip C. Bevilacqua</w:t>
      </w:r>
      <w:r>
        <w:rPr>
          <w:rFonts w:cs="Times New Roman" w:ascii="Times New Roman" w:hAnsi="Times New Roman"/>
          <w:sz w:val="28"/>
          <w:szCs w:val="22"/>
          <w:vertAlign w:val="superscript"/>
        </w:rPr>
        <w:t>1,2,3</w:t>
      </w:r>
    </w:p>
    <w:p>
      <w:pPr>
        <w:pStyle w:val="Standard"/>
        <w:jc w:val="both"/>
        <w:rPr>
          <w:rFonts w:ascii="Times New Roman" w:hAnsi="Times New Roman" w:cs="Times New Roman"/>
        </w:rPr>
      </w:pPr>
      <w:r>
        <w:rPr>
          <w:rFonts w:cs="Times New Roman" w:ascii="Times New Roman" w:hAnsi="Times New Roman"/>
        </w:rPr>
      </w:r>
    </w:p>
    <w:p>
      <w:pPr>
        <w:pStyle w:val="Normal"/>
        <w:bidi w:val="0"/>
        <w:spacing w:lineRule="auto" w:line="480"/>
        <w:jc w:val="left"/>
        <w:rPr/>
      </w:pPr>
      <w:r>
        <w:rPr>
          <w:rFonts w:cs="Times New Roman" w:ascii="Times New Roman" w:hAnsi="Times New Roman"/>
          <w:sz w:val="22"/>
          <w:szCs w:val="22"/>
          <w:vertAlign w:val="superscript"/>
        </w:rPr>
        <w:t>1</w:t>
      </w:r>
      <w:r>
        <w:rPr>
          <w:rFonts w:cs="Times New Roman" w:ascii="Times New Roman" w:hAnsi="Times New Roman"/>
          <w:sz w:val="22"/>
          <w:szCs w:val="22"/>
        </w:rPr>
        <w:t>Department of Chemistry, Pennsylvania State University, University Park, PA 16802.</w:t>
      </w:r>
    </w:p>
    <w:p>
      <w:pPr>
        <w:pStyle w:val="Normal"/>
        <w:bidi w:val="0"/>
        <w:spacing w:lineRule="auto" w:line="480"/>
        <w:jc w:val="left"/>
        <w:rPr>
          <w:rFonts w:ascii="Times New Roman" w:hAnsi="Times New Roman" w:cs="Times New Roman"/>
        </w:rPr>
      </w:pPr>
      <w:r>
        <w:rPr>
          <w:rFonts w:cs="Times New Roman" w:ascii="Times New Roman" w:hAnsi="Times New Roman"/>
          <w:sz w:val="22"/>
          <w:szCs w:val="22"/>
          <w:vertAlign w:val="superscript"/>
        </w:rPr>
        <w:t>2</w:t>
      </w:r>
      <w:r>
        <w:rPr>
          <w:rFonts w:cs="Times New Roman" w:ascii="Times New Roman" w:hAnsi="Times New Roman"/>
          <w:sz w:val="22"/>
          <w:szCs w:val="22"/>
        </w:rPr>
        <w:t>Center for RNA Molecular Biology, Pennsylvania State University, University Park, PA 16802.</w:t>
      </w:r>
    </w:p>
    <w:p>
      <w:pPr>
        <w:pStyle w:val="Normal"/>
        <w:bidi w:val="0"/>
        <w:spacing w:lineRule="auto" w:line="480"/>
        <w:jc w:val="left"/>
        <w:rPr>
          <w:rFonts w:ascii="Times New Roman" w:hAnsi="Times New Roman" w:cs="Times New Roman"/>
        </w:rPr>
      </w:pPr>
      <w:r>
        <w:rPr>
          <w:rFonts w:cs="Times New Roman" w:ascii="Times New Roman" w:hAnsi="Times New Roman"/>
          <w:sz w:val="22"/>
          <w:szCs w:val="22"/>
          <w:vertAlign w:val="superscript"/>
        </w:rPr>
        <w:t>3</w:t>
      </w:r>
      <w:r>
        <w:rPr>
          <w:rFonts w:cs="Times New Roman" w:ascii="Times New Roman" w:hAnsi="Times New Roman"/>
          <w:sz w:val="22"/>
          <w:szCs w:val="22"/>
        </w:rPr>
        <w:t>Department of Biochemistry and Molecular Biology, Pennsylvania State University, University Park, PA 16802.</w:t>
      </w:r>
    </w:p>
    <w:p>
      <w:pPr>
        <w:pStyle w:val="Standard"/>
        <w:jc w:val="both"/>
        <w:rPr>
          <w:rFonts w:ascii="Times New Roman" w:hAnsi="Times New Roman" w:cs="Times New Roman"/>
          <w:b/>
          <w:b/>
        </w:rPr>
      </w:pPr>
      <w:r>
        <w:rPr>
          <w:rFonts w:cs="Times New Roman" w:ascii="Times New Roman" w:hAnsi="Times New Roman"/>
          <w:b/>
        </w:rPr>
        <w:t>Keywords</w:t>
      </w:r>
    </w:p>
    <w:p>
      <w:pPr>
        <w:pStyle w:val="Standard"/>
        <w:jc w:val="both"/>
        <w:rPr>
          <w:rFonts w:ascii="Times New Roman" w:hAnsi="Times New Roman" w:cs="Times New Roman"/>
        </w:rPr>
      </w:pPr>
      <w:r>
        <w:rPr>
          <w:rFonts w:cs="Times New Roman" w:ascii="Times New Roman" w:hAnsi="Times New Roman"/>
        </w:rPr>
        <w:t>Magnesium ion, Metabolites, Chelated magnesium, RNA folding, RNA function, Near-cellular condition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rPr>
      </w:pPr>
      <w:r>
        <w:rPr>
          <w:rFonts w:cs="Times New Roman" w:ascii="Times New Roman" w:hAnsi="Times New Roman"/>
          <w:b/>
        </w:rPr>
        <w:t>ORCID:</w:t>
      </w:r>
    </w:p>
    <w:p>
      <w:pPr>
        <w:pStyle w:val="Standard"/>
        <w:jc w:val="left"/>
        <w:rPr>
          <w:rFonts w:ascii="Times New Roman" w:hAnsi="Times New Roman" w:cs="Times New Roman"/>
        </w:rPr>
      </w:pPr>
      <w:r>
        <w:rPr>
          <w:rFonts w:cs="Times New Roman" w:ascii="Times New Roman" w:hAnsi="Times New Roman"/>
        </w:rPr>
        <w:t>Jacob P. Sieg: 0000-0001-5414-1667</w:t>
      </w:r>
    </w:p>
    <w:p>
      <w:pPr>
        <w:pStyle w:val="Standard"/>
        <w:jc w:val="left"/>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w:t>Sebastian Arteaga:</w:t>
      </w:r>
    </w:p>
    <w:p>
      <w:pPr>
        <w:pStyle w:val="Standard"/>
        <w:jc w:val="left"/>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w:t>Brent Znosko:</w:t>
      </w:r>
    </w:p>
    <w:p>
      <w:pPr>
        <w:pStyle w:val="Standard"/>
        <w:jc w:val="left"/>
        <w:rPr>
          <w:rFonts w:ascii="Times New Roman" w:hAnsi="Times New Roman" w:cs="Times New Roman"/>
        </w:rPr>
      </w:pPr>
      <w:r>
        <w:rPr>
          <w:rFonts w:cs="Times New Roman" w:ascii="Times New Roman" w:hAnsi="Times New Roman"/>
        </w:rPr>
        <w:t>Philip C. Bevilacqua: 0000-0001-8074-3434</w:t>
      </w:r>
    </w:p>
    <w:p>
      <w:pPr>
        <w:pStyle w:val="Standard"/>
        <w:jc w:val="both"/>
        <w:rPr>
          <w:rFonts w:ascii="Times New Roman" w:hAnsi="Times New Roman" w:cs="Times New Roman"/>
        </w:rPr>
      </w:pPr>
      <w:r>
        <w:rPr>
          <w:rFonts w:cs="Times New Roman" w:ascii="Times New Roman" w:hAnsi="Times New Roman"/>
        </w:rPr>
        <w:t>*Corresponding author</w:t>
      </w:r>
    </w:p>
    <w:p>
      <w:pPr>
        <w:pStyle w:val="Normal"/>
        <w:jc w:val="both"/>
        <w:rPr>
          <w:rFonts w:ascii="Times New Roman" w:hAnsi="Times New Roman" w:cs="Times New Roman"/>
        </w:rPr>
      </w:pPr>
      <w:r>
        <w:rPr>
          <w:rFonts w:cs="Times New Roman" w:ascii="Times New Roman" w:hAnsi="Times New Roman"/>
        </w:rPr>
      </w:r>
    </w:p>
    <w:sdt>
      <w:sdtPr>
        <w:docPartObj>
          <w:docPartGallery w:val="Table of Contents"/>
          <w:docPartUnique w:val="true"/>
        </w:docPartObj>
      </w:sdtPr>
      <w:sdtContent>
        <w:p>
          <w:pPr>
            <w:pStyle w:val="ContentsHeading"/>
            <w:rPr/>
          </w:pPr>
          <w:r>
            <w:br w:type="page"/>
          </w:r>
          <w:r>
            <w:rPr/>
            <w:t>Table of Contents</w:t>
          </w:r>
        </w:p>
        <w:p>
          <w:pPr>
            <w:pStyle w:val="Contents1"/>
            <w:tabs>
              <w:tab w:val="clear" w:pos="9350"/>
              <w:tab w:val="right" w:pos="9360" w:leader="dot"/>
            </w:tabs>
            <w:rPr/>
          </w:pPr>
          <w:r>
            <w:fldChar w:fldCharType="begin"/>
          </w:r>
          <w:r>
            <w:rPr>
              <w:rStyle w:val="IndexLink"/>
            </w:rPr>
            <w:instrText xml:space="preserve"> TOC \f \o "1-4" \h</w:instrText>
          </w:r>
          <w:r>
            <w:rPr>
              <w:rStyle w:val="IndexLink"/>
            </w:rPr>
            <w:fldChar w:fldCharType="separate"/>
          </w:r>
          <w:hyperlink w:anchor="__RefHeading___Toc99306_3449495920">
            <w:r>
              <w:rPr>
                <w:rStyle w:val="IndexLink"/>
              </w:rPr>
              <w:t>Supplementary information figures</w:t>
              <w:tab/>
              <w:t>3</w:t>
            </w:r>
          </w:hyperlink>
        </w:p>
        <w:p>
          <w:pPr>
            <w:pStyle w:val="Contents1"/>
            <w:tabs>
              <w:tab w:val="clear" w:pos="9350"/>
              <w:tab w:val="right" w:pos="9360" w:leader="dot"/>
            </w:tabs>
            <w:rPr/>
          </w:pPr>
          <w:hyperlink w:anchor="__RefHeading___Toc99308_3449495920">
            <w:r>
              <w:rPr>
                <w:rStyle w:val="IndexLink"/>
              </w:rPr>
              <w:t>Supplementary information tables</w:t>
              <w:tab/>
              <w:t>6</w:t>
            </w:r>
          </w:hyperlink>
        </w:p>
        <w:p>
          <w:pPr>
            <w:pStyle w:val="Contents1"/>
            <w:tabs>
              <w:tab w:val="clear" w:pos="9350"/>
              <w:tab w:val="right" w:pos="9360" w:leader="dot"/>
            </w:tabs>
            <w:rPr/>
          </w:pPr>
          <w:hyperlink w:anchor="__RefHeading___Toc99310_3449495920">
            <w:r>
              <w:rPr>
                <w:rStyle w:val="IndexLink"/>
              </w:rPr>
              <w:t>Supplementary information references</w:t>
              <w:tab/>
              <w:t>12</w:t>
            </w:r>
          </w:hyperlink>
          <w:r>
            <w:rPr>
              <w:rStyle w:val="IndexLink"/>
            </w:rPr>
            <w:fldChar w:fldCharType="end"/>
          </w:r>
        </w:p>
      </w:sdtContent>
    </w:sdt>
    <w:p>
      <w:pPr>
        <w:pStyle w:val="Normal"/>
        <w:spacing w:lineRule="auto" w:line="480" w:before="0" w:after="288"/>
        <w:jc w:val="both"/>
        <w:rPr>
          <w:sz w:val="22"/>
          <w:szCs w:val="22"/>
        </w:rPr>
      </w:pPr>
      <w:r>
        <w:br w:type="page"/>
      </w:r>
      <w:r>
        <w:rPr/>
      </w:r>
      <w:r>
        <w:br w:type="page"/>
      </w:r>
    </w:p>
    <w:p>
      <w:pPr>
        <w:pStyle w:val="Heading1"/>
        <w:ind w:left="0" w:hanging="0"/>
        <w:jc w:val="both"/>
        <w:rPr/>
      </w:pPr>
      <w:bookmarkStart w:id="0" w:name="__RefHeading___Toc99306_3449495920"/>
      <w:bookmarkStart w:id="1" w:name="_Toc111794058"/>
      <w:bookmarkStart w:id="2" w:name="_Toc108513666"/>
      <w:bookmarkEnd w:id="0"/>
      <w:r>
        <w:rPr/>
        <w:t>Supplementary information figures</w:t>
      </w:r>
      <w:bookmarkEnd w:id="1"/>
      <w:bookmarkEnd w:id="2"/>
    </w:p>
    <w:p>
      <w:pPr>
        <w:pStyle w:val="Normal"/>
        <w:jc w:val="both"/>
        <w:rPr/>
      </w:pPr>
      <w:r>
        <w:rPr/>
      </w:r>
    </w:p>
    <w:p>
      <w:pPr>
        <w:pStyle w:val="Normal"/>
        <w:jc w:val="center"/>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46304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630420"/>
                    </a:xfrm>
                    <a:prstGeom prst="rect">
                      <a:avLst/>
                    </a:prstGeom>
                  </pic:spPr>
                </pic:pic>
              </a:graphicData>
            </a:graphic>
          </wp:anchor>
        </w:drawing>
      </w:r>
    </w:p>
    <w:p>
      <w:pPr>
        <w:pStyle w:val="Normal"/>
        <w:jc w:val="both"/>
        <w:rPr/>
      </w:pPr>
      <w:bookmarkStart w:id="3" w:name="_Toc111794059"/>
      <w:bookmarkStart w:id="4" w:name="_Toc108513667"/>
      <w:r>
        <w:rPr>
          <w:rStyle w:val="Heading3Char"/>
        </w:rPr>
        <w:t>Figure S1</w:t>
      </w:r>
      <w:bookmarkEnd w:id="3"/>
      <w:bookmarkEnd w:id="4"/>
      <w:r>
        <w:rPr>
          <w:rStyle w:val="Heading3Char"/>
        </w:rPr>
        <w:t xml:space="preserve">  </w:t>
      </w:r>
      <w:r>
        <w:rPr>
          <w:rStyle w:val="Heading3Char"/>
          <w:b w:val="false"/>
          <w:bCs w:val="false"/>
        </w:rPr>
        <w:t xml:space="preserve">Precanned meltR.A figures and tables for assessing the quality of the results are written as PDF and comma separated value files, respectively. Black circles represent data points and red lines represent fits. </w:t>
      </w:r>
      <w:r>
        <w:rPr>
          <w:rStyle w:val="Heading3Char"/>
          <w:b/>
          <w:bCs/>
        </w:rPr>
        <w:t>(A)</w:t>
      </w:r>
      <w:r>
        <w:rPr>
          <w:rStyle w:val="Heading3Char"/>
          <w:b w:val="false"/>
          <w:bCs w:val="false"/>
        </w:rPr>
        <w:t xml:space="preserve"> Raw data fit using method 1, fitting the melting curve for each sample individually. </w:t>
      </w:r>
      <w:r>
        <w:rPr>
          <w:rStyle w:val="Heading3Char"/>
          <w:b/>
          <w:bCs/>
        </w:rPr>
        <w:t>(B)</w:t>
      </w:r>
      <w:r>
        <w:rPr>
          <w:rStyle w:val="Heading3Char"/>
          <w:b w:val="false"/>
          <w:bCs w:val="false"/>
        </w:rPr>
        <w:t xml:space="preserve"> Normalized data fit using method 1. Data were normalized to calculate the Absorbtivity at each temperature by dividing the raw absorbance by the strand concentration and the pathlength of the cuvette. </w:t>
      </w:r>
      <w:r>
        <w:rPr>
          <w:rStyle w:val="Heading3Char"/>
          <w:b/>
          <w:bCs/>
        </w:rPr>
        <w:t xml:space="preserve">(C) </w:t>
      </w:r>
      <w:r>
        <w:rPr>
          <w:rStyle w:val="Heading3Char"/>
          <w:b w:val="false"/>
          <w:bCs w:val="false"/>
        </w:rPr>
        <w:t>Table summarizing the individual fits for method 1. Sample is the sample identifier in the data. Ct is the total RNA strand concentration, C</w:t>
      </w:r>
      <w:r>
        <w:rPr>
          <w:rStyle w:val="Heading3Char"/>
          <w:b w:val="false"/>
          <w:bCs w:val="false"/>
          <w:vertAlign w:val="subscript"/>
        </w:rPr>
        <w:t>t</w:t>
      </w:r>
      <w:r>
        <w:rPr>
          <w:rStyle w:val="Heading3Char"/>
          <w:b w:val="false"/>
          <w:bCs w:val="false"/>
          <w:position w:val="0"/>
          <w:sz w:val="20"/>
          <w:sz w:val="20"/>
          <w:vertAlign w:val="baseline"/>
        </w:rPr>
        <w:t>. H is the helix association enthalpy, ΔH°, in kcal/mol. S is the helix association entropy, ΔS°, in cal/mol/K. G is the free energy at 37 °C of helix association entropy, ΔG°</w:t>
      </w:r>
      <w:r>
        <w:rPr>
          <w:rStyle w:val="Heading3Char"/>
          <w:b w:val="false"/>
          <w:bCs w:val="false"/>
          <w:vertAlign w:val="subscript"/>
        </w:rPr>
        <w:t>37</w:t>
      </w:r>
      <w:r>
        <w:rPr>
          <w:rStyle w:val="Heading3Char"/>
          <w:b w:val="false"/>
          <w:bCs w:val="false"/>
          <w:position w:val="0"/>
          <w:sz w:val="20"/>
          <w:sz w:val="20"/>
          <w:vertAlign w:val="baseline"/>
        </w:rPr>
        <w:t>, in kcal/mol. Tm is the melting temperature, T</w:t>
      </w:r>
      <w:r>
        <w:rPr>
          <w:rStyle w:val="Heading3Char"/>
          <w:b w:val="false"/>
          <w:bCs w:val="false"/>
          <w:vertAlign w:val="subscript"/>
        </w:rPr>
        <w:t>m</w:t>
      </w:r>
      <w:r>
        <w:rPr>
          <w:rStyle w:val="Heading3Char"/>
          <w:b w:val="false"/>
          <w:bCs w:val="false"/>
          <w:position w:val="0"/>
          <w:sz w:val="20"/>
          <w:sz w:val="20"/>
          <w:vertAlign w:val="baseline"/>
        </w:rPr>
        <w:t xml:space="preserve">, of the curve in °C. </w:t>
      </w:r>
      <w:r>
        <w:rPr>
          <w:rStyle w:val="Heading3Char"/>
          <w:b/>
          <w:bCs/>
          <w:position w:val="0"/>
          <w:sz w:val="20"/>
          <w:sz w:val="20"/>
          <w:vertAlign w:val="baseline"/>
        </w:rPr>
        <w:t xml:space="preserve">(D) </w:t>
      </w:r>
      <w:r>
        <w:rPr>
          <w:rStyle w:val="Heading3Char"/>
          <w:b w:val="false"/>
          <w:bCs w:val="false"/>
          <w:position w:val="0"/>
          <w:sz w:val="20"/>
          <w:sz w:val="20"/>
          <w:vertAlign w:val="baseline"/>
        </w:rPr>
        <w:t>Plot of 1/T</w:t>
      </w:r>
      <w:r>
        <w:rPr>
          <w:rStyle w:val="Heading3Char"/>
          <w:b w:val="false"/>
          <w:bCs w:val="false"/>
          <w:vertAlign w:val="subscript"/>
        </w:rPr>
        <w:t>m</w:t>
      </w:r>
      <w:r>
        <w:rPr>
          <w:rStyle w:val="Heading3Char"/>
          <w:b w:val="false"/>
          <w:bCs w:val="false"/>
          <w:position w:val="0"/>
          <w:sz w:val="20"/>
          <w:sz w:val="20"/>
          <w:vertAlign w:val="baseline"/>
        </w:rPr>
        <w:t xml:space="preserve"> versus the natural log of the C</w:t>
      </w:r>
      <w:r>
        <w:rPr>
          <w:rStyle w:val="Heading3Char"/>
          <w:b w:val="false"/>
          <w:bCs w:val="false"/>
          <w:vertAlign w:val="subscript"/>
        </w:rPr>
        <w:t xml:space="preserve">t </w:t>
      </w:r>
      <w:r>
        <w:rPr>
          <w:rStyle w:val="Heading3Char"/>
          <w:b w:val="false"/>
          <w:bCs w:val="false"/>
          <w:position w:val="0"/>
          <w:sz w:val="20"/>
          <w:sz w:val="20"/>
          <w:vertAlign w:val="baseline"/>
        </w:rPr>
        <w:t xml:space="preserve">, used to determine folding energies for method 2. </w:t>
      </w:r>
      <w:r>
        <w:rPr>
          <w:rStyle w:val="Heading3Char"/>
          <w:b/>
          <w:bCs/>
          <w:position w:val="0"/>
          <w:sz w:val="20"/>
          <w:sz w:val="20"/>
          <w:vertAlign w:val="baseline"/>
        </w:rPr>
        <w:t>(E)</w:t>
      </w:r>
      <w:r>
        <w:rPr>
          <w:rStyle w:val="Heading3Char"/>
          <w:b w:val="false"/>
          <w:bCs w:val="false"/>
          <w:position w:val="0"/>
          <w:sz w:val="20"/>
          <w:sz w:val="20"/>
          <w:vertAlign w:val="baseline"/>
        </w:rPr>
        <w:t xml:space="preserve"> Raw data fit using method 3, fitting melting curves from each sample to a single regression model. </w:t>
      </w:r>
      <w:r>
        <w:rPr>
          <w:rStyle w:val="Heading3Char"/>
          <w:b/>
          <w:bCs/>
          <w:position w:val="0"/>
          <w:sz w:val="20"/>
          <w:sz w:val="20"/>
          <w:vertAlign w:val="baseline"/>
        </w:rPr>
        <w:t>(F)</w:t>
      </w:r>
      <w:r>
        <w:rPr>
          <w:rStyle w:val="Heading3Char"/>
          <w:b w:val="false"/>
          <w:bCs w:val="false"/>
          <w:position w:val="0"/>
          <w:sz w:val="20"/>
          <w:sz w:val="20"/>
          <w:vertAlign w:val="baseline"/>
        </w:rPr>
        <w:t xml:space="preserve"> Normalized data fit using method 3. Data were normalized as described in A. </w:t>
      </w:r>
      <w:r>
        <w:rPr>
          <w:rStyle w:val="Heading3Char"/>
          <w:b/>
          <w:bCs/>
          <w:position w:val="0"/>
          <w:sz w:val="20"/>
          <w:sz w:val="20"/>
          <w:vertAlign w:val="baseline"/>
        </w:rPr>
        <w:t>(G)</w:t>
      </w:r>
      <w:r>
        <w:rPr>
          <w:rStyle w:val="Heading3Char"/>
          <w:b w:val="false"/>
          <w:bCs w:val="false"/>
          <w:position w:val="0"/>
          <w:sz w:val="20"/>
          <w:sz w:val="20"/>
          <w:vertAlign w:val="baseline"/>
        </w:rPr>
        <w:t xml:space="preserve"> Table summarizing results from the three methods. Parameters are summarized in A. SE stands for the standard error, which is calculated from the regression models, and represent the precision of the parameter given the data.</w:t>
      </w:r>
      <w:r>
        <w:br w:type="page"/>
      </w:r>
    </w:p>
    <w:p>
      <w:pPr>
        <w:pStyle w:val="Normal"/>
        <w:jc w:val="center"/>
        <w:rPr/>
      </w:pPr>
      <w:r>
        <w:rPr/>
        <w:drawing>
          <wp:inline distT="0" distB="0" distL="0" distR="0">
            <wp:extent cx="3256915" cy="4069715"/>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3256915" cy="4069715"/>
                    </a:xfrm>
                    <a:prstGeom prst="rect">
                      <a:avLst/>
                    </a:prstGeom>
                  </pic:spPr>
                </pic:pic>
              </a:graphicData>
            </a:graphic>
          </wp:inline>
        </w:drawing>
      </w:r>
    </w:p>
    <w:p>
      <w:pPr>
        <w:pStyle w:val="Normal"/>
        <w:jc w:val="left"/>
        <w:rPr/>
      </w:pPr>
      <w:r>
        <w:rPr>
          <w:rStyle w:val="Heading3Char"/>
          <w:b/>
          <w:bCs/>
          <w:position w:val="0"/>
          <w:sz w:val="20"/>
          <w:sz w:val="20"/>
          <w:vertAlign w:val="baseline"/>
        </w:rPr>
        <w:t>Figure S2</w:t>
      </w:r>
      <w:r>
        <w:rPr>
          <w:rStyle w:val="Heading3Char"/>
          <w:b w:val="false"/>
          <w:bCs w:val="false"/>
          <w:position w:val="0"/>
          <w:sz w:val="20"/>
          <w:sz w:val="20"/>
          <w:vertAlign w:val="baseline"/>
        </w:rPr>
        <w:t xml:space="preserve">  One-thousand randomly generated baselines provides accurate thermodynamic parameters and is computationally acheivable.</w:t>
      </w:r>
      <w:r>
        <w:br w:type="page"/>
      </w:r>
    </w:p>
    <w:p>
      <w:pPr>
        <w:pStyle w:val="Normal"/>
        <w:jc w:val="both"/>
        <w:rPr>
          <w:rStyle w:val="Heading3Char"/>
          <w:b w:val="false"/>
          <w:b w:val="false"/>
          <w:bCs w:val="false"/>
          <w:position w:val="0"/>
          <w:sz w:val="20"/>
          <w:sz w:val="20"/>
          <w:vertAlign w:val="baseline"/>
        </w:rPr>
      </w:pPr>
      <w:r>
        <w:rPr>
          <w:b w:val="false"/>
          <w:bCs w:val="false"/>
          <w:position w:val="0"/>
          <w:sz w:val="20"/>
          <w:sz w:val="20"/>
          <w:vertAlign w:val="baseline"/>
        </w:rPr>
      </w:r>
    </w:p>
    <w:p>
      <w:pPr>
        <w:pStyle w:val="Normal"/>
        <w:jc w:val="both"/>
        <w:rPr/>
      </w:pPr>
      <w:r>
        <w:rPr/>
        <w:drawing>
          <wp:inline distT="0" distB="0" distL="0" distR="0">
            <wp:extent cx="5943600" cy="392811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3928110"/>
                    </a:xfrm>
                    <a:prstGeom prst="rect">
                      <a:avLst/>
                    </a:prstGeom>
                  </pic:spPr>
                </pic:pic>
              </a:graphicData>
            </a:graphic>
          </wp:inline>
        </w:drawing>
      </w:r>
    </w:p>
    <w:p>
      <w:pPr>
        <w:pStyle w:val="VDTableTitle"/>
        <w:spacing w:before="0" w:after="72"/>
        <w:jc w:val="both"/>
        <w:rPr/>
      </w:pPr>
      <w:bookmarkStart w:id="5" w:name="_Toc111794060"/>
      <w:bookmarkStart w:id="6" w:name="_Toc108513668"/>
      <w:r>
        <w:rPr>
          <w:rStyle w:val="Heading3Char"/>
          <w:b/>
          <w:bCs/>
        </w:rPr>
        <w:t xml:space="preserve">Figure </w:t>
      </w:r>
      <w:bookmarkEnd w:id="5"/>
      <w:bookmarkEnd w:id="6"/>
      <w:r>
        <w:rPr>
          <w:rStyle w:val="Heading3Char"/>
          <w:b/>
          <w:bCs/>
        </w:rPr>
        <w:t>S3</w:t>
      </w:r>
      <w:r>
        <w:rPr>
          <w:rFonts w:eastAsia="Times New Roman" w:cs="Times New Roman"/>
          <w:b w:val="false"/>
          <w:sz w:val="19"/>
          <w:szCs w:val="19"/>
        </w:rPr>
        <w:t xml:space="preserve">  Precanned BLtrimmer outputs for assessing the quality of the results are written as a PDF file. Blue lines and points represent the 25% of baseline combinations that produce parameters that exhibit the best internal consistency across the data set. Each point comes from fitting a combination of baselines with method 1 or 2. </w:t>
      </w:r>
      <w:r>
        <w:rPr>
          <w:rFonts w:eastAsia="Times New Roman" w:cs="Times New Roman"/>
          <w:b/>
          <w:bCs/>
          <w:sz w:val="19"/>
          <w:szCs w:val="19"/>
        </w:rPr>
        <w:t>(A)</w:t>
      </w:r>
      <w:r>
        <w:rPr>
          <w:rFonts w:eastAsia="Times New Roman" w:cs="Times New Roman"/>
          <w:b w:val="false"/>
          <w:bCs w:val="false"/>
          <w:sz w:val="19"/>
          <w:szCs w:val="19"/>
        </w:rPr>
        <w:t xml:space="preserve"> Distribution of the standard deviation of enthalpy (</w:t>
      </w:r>
      <w:r>
        <w:rPr>
          <w:rStyle w:val="Heading3Char"/>
          <w:b w:val="false"/>
          <w:bCs w:val="false"/>
          <w:position w:val="0"/>
          <w:sz w:val="20"/>
          <w:sz w:val="20"/>
          <w:vertAlign w:val="baseline"/>
        </w:rPr>
        <w:t xml:space="preserve">ΔH°) </w:t>
      </w:r>
      <w:r>
        <w:rPr>
          <w:rFonts w:eastAsia="Times New Roman" w:cs="Times New Roman"/>
          <w:b w:val="false"/>
          <w:bCs w:val="false"/>
          <w:sz w:val="19"/>
          <w:szCs w:val="19"/>
        </w:rPr>
        <w:t xml:space="preserve">values, determined by fitting combinations of baselines options. Low standard deviation indicate that the baseline combination exhibits high agreement in enthalpies calculated using method 1, fitting melting curves for each sample individually. </w:t>
      </w:r>
      <w:r>
        <w:rPr>
          <w:rFonts w:eastAsia="Times New Roman" w:cs="Times New Roman"/>
          <w:b/>
          <w:bCs/>
          <w:sz w:val="19"/>
          <w:szCs w:val="19"/>
        </w:rPr>
        <w:t>(B)</w:t>
      </w:r>
      <w:r>
        <w:rPr>
          <w:rFonts w:eastAsia="Times New Roman" w:cs="Times New Roman"/>
          <w:b w:val="false"/>
          <w:bCs w:val="false"/>
          <w:sz w:val="19"/>
          <w:szCs w:val="19"/>
        </w:rPr>
        <w:t xml:space="preserve"> Distribution of the </w:t>
      </w:r>
      <w:r>
        <w:rPr>
          <w:rStyle w:val="Heading3Char"/>
          <w:b w:val="false"/>
          <w:bCs w:val="false"/>
          <w:position w:val="0"/>
          <w:sz w:val="20"/>
          <w:sz w:val="20"/>
          <w:vertAlign w:val="baseline"/>
        </w:rPr>
        <w:t xml:space="preserve">ΔH° </w:t>
      </w:r>
      <w:r>
        <w:rPr>
          <w:rFonts w:eastAsia="Times New Roman" w:cs="Times New Roman"/>
          <w:b w:val="false"/>
          <w:bCs w:val="false"/>
          <w:sz w:val="19"/>
          <w:szCs w:val="19"/>
        </w:rPr>
        <w:t>agreement between method 1 and method 2, fitting melting curves for each sample individually and fitting the relationship between 1/T</w:t>
      </w:r>
      <w:r>
        <w:rPr>
          <w:rFonts w:eastAsia="Times New Roman" w:cs="Times New Roman"/>
          <w:b w:val="false"/>
          <w:bCs w:val="false"/>
          <w:sz w:val="19"/>
          <w:szCs w:val="19"/>
          <w:vertAlign w:val="subscript"/>
        </w:rPr>
        <w:t>m</w:t>
      </w:r>
      <w:r>
        <w:rPr>
          <w:rFonts w:eastAsia="Times New Roman" w:cs="Times New Roman"/>
          <w:b w:val="false"/>
          <w:bCs w:val="false"/>
          <w:sz w:val="19"/>
          <w:szCs w:val="19"/>
        </w:rPr>
        <w:t xml:space="preserve"> versus lnC</w:t>
      </w:r>
      <w:r>
        <w:rPr>
          <w:rFonts w:eastAsia="Times New Roman" w:cs="Times New Roman"/>
          <w:b w:val="false"/>
          <w:bCs w:val="false"/>
          <w:sz w:val="19"/>
          <w:szCs w:val="19"/>
          <w:vertAlign w:val="subscript"/>
        </w:rPr>
        <w:t>t</w:t>
      </w:r>
      <w:r>
        <w:rPr>
          <w:rFonts w:eastAsia="Times New Roman" w:cs="Times New Roman"/>
          <w:b w:val="false"/>
          <w:bCs w:val="false"/>
          <w:position w:val="0"/>
          <w:sz w:val="19"/>
          <w:sz w:val="19"/>
          <w:szCs w:val="19"/>
          <w:vertAlign w:val="baseline"/>
        </w:rPr>
        <w:t>, respectively,</w:t>
      </w:r>
      <w:r>
        <w:rPr>
          <w:rFonts w:eastAsia="Times New Roman" w:cs="Times New Roman"/>
          <w:b w:val="false"/>
          <w:bCs w:val="false"/>
          <w:sz w:val="19"/>
          <w:szCs w:val="19"/>
        </w:rPr>
        <w:t xml:space="preserve"> determined by fitting combinations of baselines options. Low difference indicates that the baseline combination exhibits high agreement in </w:t>
      </w:r>
      <w:r>
        <w:rPr>
          <w:rStyle w:val="Heading3Char"/>
          <w:b w:val="false"/>
          <w:bCs w:val="false"/>
          <w:position w:val="0"/>
          <w:sz w:val="20"/>
          <w:sz w:val="20"/>
          <w:vertAlign w:val="baseline"/>
        </w:rPr>
        <w:t>ΔH°</w:t>
      </w:r>
      <w:r>
        <w:rPr>
          <w:rFonts w:eastAsia="Times New Roman" w:cs="Times New Roman"/>
          <w:b w:val="false"/>
          <w:bCs w:val="false"/>
          <w:sz w:val="19"/>
          <w:szCs w:val="19"/>
        </w:rPr>
        <w:t xml:space="preserve"> values calculated using method 1 and method 2. </w:t>
      </w:r>
      <w:r>
        <w:rPr>
          <w:rFonts w:eastAsia="Times New Roman" w:cs="Times New Roman"/>
          <w:b/>
          <w:bCs/>
          <w:sz w:val="19"/>
          <w:szCs w:val="19"/>
        </w:rPr>
        <w:t>(C)</w:t>
      </w:r>
      <w:r>
        <w:rPr>
          <w:rFonts w:eastAsia="Times New Roman" w:cs="Times New Roman"/>
          <w:b w:val="false"/>
          <w:bCs w:val="false"/>
          <w:sz w:val="19"/>
          <w:szCs w:val="19"/>
        </w:rPr>
        <w:t xml:space="preserve"> </w:t>
      </w:r>
      <w:r>
        <w:rPr>
          <w:rFonts w:eastAsia="Times New Roman" w:cs="Times New Roman"/>
          <w:b w:val="false"/>
          <w:bCs w:val="false"/>
          <w:kern w:val="2"/>
          <w:sz w:val="19"/>
          <w:szCs w:val="19"/>
          <w:lang w:eastAsia="zh-CN" w:bidi="hi-IN"/>
        </w:rPr>
        <w:t xml:space="preserve">Quantalized (ranked from smallest to largest and assigned a quantile between 0 and 1) standard deviation of </w:t>
      </w:r>
      <w:r>
        <w:rPr>
          <w:rStyle w:val="Heading3Char"/>
          <w:rFonts w:eastAsia="Times New Roman" w:cs="Times New Roman"/>
          <w:b w:val="false"/>
          <w:bCs w:val="false"/>
          <w:color w:val="auto"/>
          <w:kern w:val="2"/>
          <w:position w:val="0"/>
          <w:sz w:val="20"/>
          <w:sz w:val="19"/>
          <w:szCs w:val="19"/>
          <w:vertAlign w:val="baseline"/>
          <w:lang w:val="en-US" w:eastAsia="zh-CN" w:bidi="hi-IN"/>
        </w:rPr>
        <w:t>ΔH° values in the method 1 fit</w:t>
      </w:r>
      <w:r>
        <w:rPr>
          <w:rFonts w:eastAsia="Times New Roman" w:cs="Times New Roman"/>
          <w:b w:val="false"/>
          <w:bCs w:val="false"/>
          <w:color w:val="auto"/>
          <w:kern w:val="2"/>
          <w:sz w:val="19"/>
          <w:szCs w:val="19"/>
          <w:lang w:val="en-US" w:eastAsia="zh-CN" w:bidi="hi-IN"/>
        </w:rPr>
        <w:t xml:space="preserve"> versus the difference between </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ΔH° values in the method 1 and method 2 fit, for each baseline combination. Error distance, which is used to identify the 25% of baseline combinations that produce parameters that exhibit the best internal consistency, is the Pythagorean distance between a point and the origin of the plot. </w:t>
      </w:r>
      <w:r>
        <w:rPr>
          <w:rStyle w:val="Heading3Char"/>
          <w:rFonts w:eastAsia="Times New Roman" w:cs="Times New Roman"/>
          <w:b/>
          <w:bCs/>
          <w:color w:val="auto"/>
          <w:kern w:val="2"/>
          <w:position w:val="0"/>
          <w:sz w:val="20"/>
          <w:sz w:val="19"/>
          <w:szCs w:val="19"/>
          <w:vertAlign w:val="baseline"/>
          <w:lang w:val="en-US" w:eastAsia="zh-CN" w:bidi="hi-IN"/>
        </w:rPr>
        <w:t>(D)</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 The average enthalpy produced by method 1 versus the standard deviation of ΔH° values produced by method 1 for each baseline combination. </w:t>
      </w:r>
      <w:r>
        <w:rPr>
          <w:rStyle w:val="Heading3Char"/>
          <w:rFonts w:eastAsia="Times New Roman" w:cs="Times New Roman"/>
          <w:b/>
          <w:bCs/>
          <w:color w:val="auto"/>
          <w:kern w:val="2"/>
          <w:position w:val="0"/>
          <w:sz w:val="20"/>
          <w:sz w:val="19"/>
          <w:szCs w:val="19"/>
          <w:vertAlign w:val="baseline"/>
          <w:lang w:val="en-US" w:eastAsia="zh-CN" w:bidi="hi-IN"/>
        </w:rPr>
        <w:t>(E)</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 The average enthalpy produced by method 1 (Black) or the enthalpy produced by method 2 versus the difference in ΔH° between methods 1 and 2, for each baseline combination. </w:t>
      </w:r>
      <w:r>
        <w:rPr>
          <w:rStyle w:val="Heading3Char"/>
          <w:rFonts w:eastAsia="Times New Roman" w:cs="Times New Roman"/>
          <w:b/>
          <w:bCs/>
          <w:color w:val="auto"/>
          <w:kern w:val="2"/>
          <w:position w:val="0"/>
          <w:sz w:val="20"/>
          <w:sz w:val="19"/>
          <w:szCs w:val="19"/>
          <w:vertAlign w:val="baseline"/>
          <w:lang w:val="en-US" w:eastAsia="zh-CN" w:bidi="hi-IN"/>
        </w:rPr>
        <w:t xml:space="preserve">(F) </w:t>
      </w:r>
      <w:r>
        <w:rPr>
          <w:rStyle w:val="Heading3Char"/>
          <w:rFonts w:eastAsia="Times New Roman" w:cs="Times New Roman"/>
          <w:b w:val="false"/>
          <w:bCs w:val="false"/>
          <w:color w:val="auto"/>
          <w:kern w:val="2"/>
          <w:position w:val="0"/>
          <w:sz w:val="20"/>
          <w:sz w:val="19"/>
          <w:szCs w:val="19"/>
          <w:vertAlign w:val="baseline"/>
          <w:lang w:val="en-US" w:eastAsia="zh-CN" w:bidi="hi-IN"/>
        </w:rPr>
        <w:t>The standard deviation of ΔH° values produced by method 1 versus  difference in ΔH° between methods 1 and 2, for each baseline combination.</w:t>
      </w:r>
    </w:p>
    <w:p>
      <w:pPr>
        <w:pStyle w:val="Normal"/>
        <w:jc w:val="center"/>
        <w:rPr>
          <w:rFonts w:ascii="Arno Pro" w:hAnsi="Arno Pro" w:eastAsia="Times New Roman" w:cs="Times New Roman"/>
          <w:b w:val="false"/>
          <w:b w:val="false"/>
          <w:kern w:val="2"/>
          <w:sz w:val="19"/>
          <w:szCs w:val="19"/>
          <w:lang w:eastAsia="zh-CN" w:bidi="hi-IN"/>
        </w:rPr>
      </w:pPr>
      <w:r>
        <w:rPr/>
        <w:drawing>
          <wp:inline distT="0" distB="0" distL="0" distR="0">
            <wp:extent cx="4187825" cy="650049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187825" cy="6500495"/>
                    </a:xfrm>
                    <a:prstGeom prst="rect">
                      <a:avLst/>
                    </a:prstGeom>
                  </pic:spPr>
                </pic:pic>
              </a:graphicData>
            </a:graphic>
          </wp:inline>
        </w:drawing>
      </w:r>
    </w:p>
    <w:p>
      <w:pPr>
        <w:sectPr>
          <w:footerReference w:type="default" r:id="rId6"/>
          <w:type w:val="nextPage"/>
          <w:pgSz w:w="12240" w:h="15840"/>
          <w:pgMar w:left="1440" w:right="1440" w:gutter="0" w:header="0" w:top="777" w:footer="720" w:bottom="1440"/>
          <w:pgNumType w:fmt="decimal"/>
          <w:formProt w:val="false"/>
          <w:textDirection w:val="lrTb"/>
          <w:docGrid w:type="default" w:linePitch="100" w:charSpace="8192"/>
        </w:sectPr>
        <w:pStyle w:val="VDTableTitle"/>
        <w:spacing w:before="0" w:after="72"/>
        <w:jc w:val="both"/>
        <w:rPr/>
      </w:pPr>
      <w:bookmarkStart w:id="7" w:name="_Toc1117940601"/>
      <w:bookmarkStart w:id="8" w:name="_Toc1085136681"/>
      <w:r>
        <w:rPr>
          <w:rStyle w:val="Heading3Char"/>
          <w:rFonts w:eastAsia="Times New Roman" w:cs="Times New Roman"/>
          <w:b/>
          <w:bCs/>
          <w:color w:val="auto"/>
          <w:kern w:val="2"/>
          <w:sz w:val="19"/>
          <w:szCs w:val="19"/>
          <w:lang w:val="en-US" w:eastAsia="zh-CN" w:bidi="hi-IN"/>
        </w:rPr>
        <w:t>Figure S</w:t>
      </w:r>
      <w:bookmarkEnd w:id="7"/>
      <w:bookmarkEnd w:id="8"/>
      <w:r>
        <w:rPr>
          <w:rStyle w:val="Heading3Char"/>
          <w:rFonts w:eastAsia="Times New Roman" w:cs="Times New Roman"/>
          <w:b/>
          <w:bCs/>
          <w:color w:val="auto"/>
          <w:kern w:val="2"/>
          <w:sz w:val="19"/>
          <w:szCs w:val="19"/>
          <w:lang w:val="en-US" w:eastAsia="zh-CN" w:bidi="hi-IN"/>
        </w:rPr>
        <w:t>4</w:t>
      </w:r>
      <w:r>
        <w:rPr>
          <w:rFonts w:eastAsia="Times New Roman" w:cs="Times New Roman"/>
          <w:b w:val="false"/>
          <w:bCs w:val="false"/>
          <w:color w:val="auto"/>
          <w:kern w:val="2"/>
          <w:sz w:val="19"/>
          <w:szCs w:val="19"/>
          <w:lang w:val="en-US" w:eastAsia="zh-CN" w:bidi="hi-IN"/>
        </w:rPr>
        <w:t xml:space="preserve">  The MeltR accurately fits modeled data with no user intervention. </w:t>
      </w:r>
      <w:r>
        <w:rPr>
          <w:rFonts w:eastAsia="Times New Roman" w:cs="Times New Roman"/>
          <w:b/>
          <w:bCs/>
          <w:color w:val="auto"/>
          <w:kern w:val="2"/>
          <w:sz w:val="19"/>
          <w:szCs w:val="19"/>
          <w:lang w:val="en-US" w:eastAsia="zh-CN" w:bidi="hi-IN"/>
        </w:rPr>
        <w:t>(A)</w:t>
      </w:r>
      <w:r>
        <w:rPr>
          <w:rFonts w:eastAsia="Times New Roman" w:cs="Times New Roman"/>
          <w:b w:val="false"/>
          <w:bCs w:val="false"/>
          <w:color w:val="auto"/>
          <w:kern w:val="2"/>
          <w:sz w:val="19"/>
          <w:szCs w:val="19"/>
          <w:lang w:val="en-US" w:eastAsia="zh-CN" w:bidi="hi-IN"/>
        </w:rPr>
        <w:t xml:space="preserve"> Helix association ΔH° determined using meltR.A followed by the BLtrimmer to fit modeled data, versus the known ΔH°. Vertical error bars represent 95% confidence intervals calculated using the BLtrimmer. </w:t>
      </w:r>
      <w:r>
        <w:rPr>
          <w:rFonts w:eastAsia="Times New Roman" w:cs="Times New Roman"/>
          <w:b/>
          <w:bCs/>
          <w:color w:val="auto"/>
          <w:kern w:val="2"/>
          <w:sz w:val="19"/>
          <w:szCs w:val="19"/>
          <w:lang w:val="en-US" w:eastAsia="zh-CN" w:bidi="hi-IN"/>
        </w:rPr>
        <w:t>(B)</w:t>
      </w:r>
      <w:r>
        <w:rPr>
          <w:rFonts w:eastAsia="Times New Roman" w:cs="Times New Roman"/>
          <w:b w:val="false"/>
          <w:bCs w:val="false"/>
          <w:color w:val="auto"/>
          <w:kern w:val="2"/>
          <w:sz w:val="19"/>
          <w:szCs w:val="19"/>
          <w:lang w:val="en-US" w:eastAsia="zh-CN" w:bidi="hi-IN"/>
        </w:rPr>
        <w:t xml:space="preserve"> Helix association ΔS° determined using meltR.A followed by the BLtrimmer to fit modeled data, versus the known ΔH°. Error bars are the same as A. </w:t>
      </w:r>
      <w:r>
        <w:rPr>
          <w:rFonts w:eastAsia="Times New Roman" w:cs="Times New Roman"/>
          <w:b/>
          <w:bCs/>
          <w:color w:val="auto"/>
          <w:kern w:val="2"/>
          <w:sz w:val="19"/>
          <w:szCs w:val="19"/>
          <w:lang w:val="en-US" w:eastAsia="zh-CN" w:bidi="hi-IN"/>
        </w:rPr>
        <w:t>(C)</w:t>
      </w:r>
      <w:r>
        <w:rPr>
          <w:rFonts w:eastAsia="Times New Roman" w:cs="Times New Roman"/>
          <w:b w:val="false"/>
          <w:bCs w:val="false"/>
          <w:color w:val="auto"/>
          <w:kern w:val="2"/>
          <w:sz w:val="19"/>
          <w:szCs w:val="19"/>
          <w:lang w:val="en-US" w:eastAsia="zh-CN" w:bidi="hi-IN"/>
        </w:rPr>
        <w:t xml:space="preserve"> Helix association ΔG°</w:t>
      </w:r>
      <w:r>
        <w:rPr>
          <w:rFonts w:eastAsia="Times New Roman" w:cs="Times New Roman"/>
          <w:b w:val="false"/>
          <w:bCs w:val="false"/>
          <w:color w:val="auto"/>
          <w:kern w:val="2"/>
          <w:sz w:val="19"/>
          <w:szCs w:val="19"/>
          <w:vertAlign w:val="subscript"/>
          <w:lang w:val="en-US" w:eastAsia="zh-CN" w:bidi="hi-IN"/>
        </w:rPr>
        <w:t>37</w:t>
      </w:r>
      <w:r>
        <w:rPr>
          <w:rFonts w:eastAsia="Times New Roman" w:cs="Times New Roman"/>
          <w:b w:val="false"/>
          <w:bCs w:val="false"/>
          <w:color w:val="auto"/>
          <w:kern w:val="2"/>
          <w:sz w:val="19"/>
          <w:szCs w:val="19"/>
          <w:lang w:val="en-US" w:eastAsia="zh-CN" w:bidi="hi-IN"/>
        </w:rPr>
        <w:t xml:space="preserve"> determined using meltR.A followed by the BLtrimmer to fit modeled data, versus the known ΔH°. Error bars are the same as A. </w:t>
      </w:r>
      <w:r>
        <w:rPr>
          <w:rFonts w:eastAsia="Times New Roman" w:cs="Times New Roman"/>
          <w:b/>
          <w:bCs/>
          <w:color w:val="auto"/>
          <w:kern w:val="2"/>
          <w:sz w:val="19"/>
          <w:szCs w:val="19"/>
          <w:lang w:val="en-US" w:eastAsia="zh-CN" w:bidi="hi-IN"/>
        </w:rPr>
        <w:t>(D)</w:t>
      </w:r>
      <w:r>
        <w:rPr>
          <w:rFonts w:eastAsia="Times New Roman" w:cs="Times New Roman"/>
          <w:b w:val="false"/>
          <w:bCs w:val="false"/>
          <w:color w:val="auto"/>
          <w:kern w:val="2"/>
          <w:sz w:val="19"/>
          <w:szCs w:val="19"/>
          <w:lang w:val="en-US" w:eastAsia="zh-CN" w:bidi="hi-IN"/>
        </w:rPr>
        <w:t xml:space="preserve"> T</w:t>
      </w:r>
      <w:r>
        <w:rPr>
          <w:rFonts w:eastAsia="Times New Roman" w:cs="Times New Roman"/>
          <w:b w:val="false"/>
          <w:bCs w:val="false"/>
          <w:color w:val="auto"/>
          <w:kern w:val="2"/>
          <w:sz w:val="19"/>
          <w:szCs w:val="19"/>
          <w:vertAlign w:val="subscript"/>
          <w:lang w:val="en-US" w:eastAsia="zh-CN" w:bidi="hi-IN"/>
        </w:rPr>
        <w:t>m</w:t>
      </w:r>
      <w:r>
        <w:rPr>
          <w:rFonts w:eastAsia="Times New Roman" w:cs="Times New Roman"/>
          <w:b w:val="false"/>
          <w:bCs w:val="false"/>
          <w:color w:val="auto"/>
          <w:kern w:val="2"/>
          <w:sz w:val="19"/>
          <w:szCs w:val="19"/>
          <w:lang w:val="en-US" w:eastAsia="zh-CN" w:bidi="hi-IN"/>
        </w:rPr>
        <w:t xml:space="preserve"> at 0.1 mM determined using meltR.A followed by the BLtrimmer to fit modeled data, versus the known ΔH°. Error bars are the same as A. </w:t>
      </w:r>
      <w:r>
        <w:rPr>
          <w:rFonts w:eastAsia="Times New Roman" w:cs="Times New Roman"/>
          <w:b/>
          <w:bCs/>
          <w:color w:val="auto"/>
          <w:kern w:val="2"/>
          <w:sz w:val="19"/>
          <w:szCs w:val="19"/>
          <w:lang w:val="en-US" w:eastAsia="zh-CN" w:bidi="hi-IN"/>
        </w:rPr>
        <w:t xml:space="preserve">(E) </w:t>
      </w:r>
      <w:r>
        <w:rPr>
          <w:rFonts w:eastAsia="Times New Roman" w:cs="Times New Roman"/>
          <w:b w:val="false"/>
          <w:bCs w:val="false"/>
          <w:color w:val="auto"/>
          <w:kern w:val="2"/>
          <w:sz w:val="19"/>
          <w:szCs w:val="19"/>
          <w:lang w:val="en-US" w:eastAsia="zh-CN" w:bidi="hi-IN"/>
        </w:rPr>
        <w:t>Agreement between MeltWin and MeltR methods and the consensus nearest neighbor model.</w:t>
      </w:r>
      <w:bookmarkStart w:id="9" w:name="_Toc108513679"/>
      <w:bookmarkStart w:id="10" w:name="_Toc111794072"/>
      <w:bookmarkEnd w:id="9"/>
      <w:bookmarkEnd w:id="10"/>
    </w:p>
    <w:p>
      <w:pPr>
        <w:pStyle w:val="Normal"/>
        <w:widowControl w:val="false"/>
        <w:suppressAutoHyphens w:val="true"/>
        <w:overflowPunct w:val="false"/>
        <w:bidi w:val="0"/>
        <w:spacing w:before="0" w:after="0"/>
        <w:ind w:left="89" w:right="0" w:hanging="0"/>
        <w:jc w:val="both"/>
        <w:textAlignment w:val="baseline"/>
        <w:rPr/>
      </w:pPr>
      <w:bookmarkStart w:id="11" w:name="_Toc108513680"/>
      <w:bookmarkStart w:id="12" w:name="_Toc111794073"/>
      <w:r>
        <w:rPr>
          <w:rStyle w:val="Heading3Char"/>
        </w:rPr>
        <w:t xml:space="preserve">SI Table </w:t>
      </w:r>
      <w:bookmarkEnd w:id="11"/>
      <w:bookmarkEnd w:id="12"/>
      <w:r>
        <w:rPr>
          <w:rStyle w:val="Heading3Char"/>
        </w:rPr>
        <w:t>1</w:t>
      </w:r>
      <w:r>
        <w:rPr/>
        <w:t xml:space="preserve">  </w:t>
      </w:r>
      <w:r>
        <w:rPr/>
        <w:t xml:space="preserve">Results for fitting raw absorbance melting curves with </w:t>
      </w:r>
      <w:r>
        <w:rPr/>
        <w:t xml:space="preserve">MeltR </w:t>
      </w:r>
      <w:r>
        <w:rPr/>
        <w:t>and MeltWin</w:t>
      </w:r>
      <w:r>
        <w:rPr/>
        <w:t>.</w:t>
      </w:r>
    </w:p>
    <w:tbl>
      <w:tblPr>
        <w:tblW w:w="14841" w:type="dxa"/>
        <w:jc w:val="center"/>
        <w:tblInd w:w="0" w:type="dxa"/>
        <w:tblLayout w:type="fixed"/>
        <w:tblCellMar>
          <w:top w:w="55" w:type="dxa"/>
          <w:left w:w="55" w:type="dxa"/>
          <w:bottom w:w="55" w:type="dxa"/>
          <w:right w:w="55" w:type="dxa"/>
        </w:tblCellMar>
      </w:tblPr>
      <w:tblGrid>
        <w:gridCol w:w="1091"/>
        <w:gridCol w:w="720"/>
        <w:gridCol w:w="720"/>
        <w:gridCol w:w="720"/>
        <w:gridCol w:w="720"/>
        <w:gridCol w:w="720"/>
        <w:gridCol w:w="720"/>
        <w:gridCol w:w="720"/>
        <w:gridCol w:w="720"/>
        <w:gridCol w:w="720"/>
        <w:gridCol w:w="720"/>
        <w:gridCol w:w="720"/>
        <w:gridCol w:w="720"/>
        <w:gridCol w:w="720"/>
        <w:gridCol w:w="720"/>
        <w:gridCol w:w="720"/>
        <w:gridCol w:w="590"/>
        <w:gridCol w:w="590"/>
        <w:gridCol w:w="590"/>
        <w:gridCol w:w="590"/>
        <w:gridCol w:w="590"/>
      </w:tblGrid>
      <w:tr>
        <w:trPr>
          <w:trHeight w:val="256" w:hRule="atLeast"/>
        </w:trPr>
        <w:tc>
          <w:tcPr>
            <w:tcW w:w="1091" w:type="dxa"/>
            <w:tcBorders>
              <w:top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t>Helix</w:t>
            </w:r>
          </w:p>
        </w:tc>
        <w:tc>
          <w:tcPr>
            <w:tcW w:w="720"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t>MeltR</w:t>
              <w:br/>
            </w:r>
            <w:r>
              <w:rPr>
                <w:sz w:val="13"/>
                <w:szCs w:val="13"/>
              </w:rPr>
              <w:t>ΔH°</w:t>
            </w:r>
          </w:p>
          <w:p>
            <w:pPr>
              <w:pStyle w:val="Normal"/>
              <w:widowControl w:val="false"/>
              <w:tabs>
                <w:tab w:val="clear" w:pos="720"/>
              </w:tabs>
              <w:jc w:val="center"/>
              <w:rPr>
                <w:sz w:val="13"/>
                <w:szCs w:val="13"/>
              </w:rPr>
            </w:pPr>
            <w:r>
              <w:rPr>
                <w:sz w:val="13"/>
                <w:szCs w:val="13"/>
              </w:rPr>
              <w:t>Method 1</w:t>
            </w:r>
            <w:r>
              <w:rPr>
                <w:sz w:val="13"/>
                <w:szCs w:val="13"/>
                <w:vertAlign w:val="superscript"/>
              </w:rPr>
              <w:t>a</w:t>
            </w:r>
            <w:r>
              <w:rPr>
                <w:sz w:val="13"/>
                <w:szCs w:val="13"/>
              </w:rPr>
              <w:br/>
              <w:t>(kcal/mol)</w:t>
            </w:r>
          </w:p>
        </w:tc>
        <w:tc>
          <w:tcPr>
            <w:tcW w:w="720" w:type="dxa"/>
            <w:tcBorders>
              <w:top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t>MeltR</w:t>
              <w:br/>
            </w:r>
            <w:r>
              <w:rPr>
                <w:sz w:val="13"/>
                <w:szCs w:val="13"/>
              </w:rPr>
              <w:t>ΔH°</w:t>
            </w:r>
          </w:p>
          <w:p>
            <w:pPr>
              <w:pStyle w:val="Normal"/>
              <w:widowControl w:val="false"/>
              <w:tabs>
                <w:tab w:val="clear" w:pos="720"/>
              </w:tabs>
              <w:jc w:val="center"/>
              <w:rPr>
                <w:sz w:val="13"/>
                <w:szCs w:val="13"/>
              </w:rPr>
            </w:pPr>
            <w:r>
              <w:rPr>
                <w:sz w:val="13"/>
                <w:szCs w:val="13"/>
              </w:rPr>
              <w:t>Method 2</w:t>
            </w:r>
            <w:r>
              <w:rPr>
                <w:sz w:val="13"/>
                <w:szCs w:val="13"/>
                <w:vertAlign w:val="superscript"/>
              </w:rPr>
              <w:t>b</w:t>
            </w:r>
            <w:r>
              <w:rPr>
                <w:sz w:val="13"/>
                <w:szCs w:val="13"/>
              </w:rPr>
              <w:br/>
              <w:t>(kcal/mol)</w:t>
            </w:r>
          </w:p>
        </w:tc>
        <w:tc>
          <w:tcPr>
            <w:tcW w:w="720" w:type="dxa"/>
            <w:tcBorders>
              <w:top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t>MeltR</w:t>
              <w:br/>
            </w:r>
            <w:r>
              <w:rPr>
                <w:sz w:val="13"/>
                <w:szCs w:val="13"/>
              </w:rPr>
              <w:t>ΔH°</w:t>
            </w:r>
          </w:p>
          <w:p>
            <w:pPr>
              <w:pStyle w:val="Normal"/>
              <w:widowControl w:val="false"/>
              <w:tabs>
                <w:tab w:val="clear" w:pos="720"/>
              </w:tabs>
              <w:jc w:val="center"/>
              <w:rPr>
                <w:sz w:val="13"/>
                <w:szCs w:val="13"/>
              </w:rPr>
            </w:pPr>
            <w:r>
              <w:rPr>
                <w:sz w:val="13"/>
                <w:szCs w:val="13"/>
              </w:rPr>
              <w:t>Method 3</w:t>
            </w:r>
            <w:r>
              <w:rPr>
                <w:sz w:val="13"/>
                <w:szCs w:val="13"/>
                <w:vertAlign w:val="superscript"/>
              </w:rPr>
              <w:t>c</w:t>
            </w:r>
            <w:r>
              <w:rPr>
                <w:sz w:val="13"/>
                <w:szCs w:val="13"/>
              </w:rPr>
              <w:br/>
              <w:t>(kcal/mol)</w:t>
            </w:r>
          </w:p>
        </w:tc>
        <w:tc>
          <w:tcPr>
            <w:tcW w:w="720"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3"/>
                <w:szCs w:val="13"/>
              </w:rPr>
            </w:pPr>
            <w:r>
              <w:rPr>
                <w:sz w:val="13"/>
                <w:szCs w:val="13"/>
              </w:rPr>
            </w:r>
          </w:p>
        </w:tc>
        <w:tc>
          <w:tcPr>
            <w:tcW w:w="720"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3"/>
                <w:szCs w:val="13"/>
              </w:rPr>
            </w:pPr>
            <w:r>
              <w:rPr>
                <w:sz w:val="13"/>
                <w:szCs w:val="13"/>
              </w:rPr>
            </w:r>
          </w:p>
        </w:tc>
        <w:tc>
          <w:tcPr>
            <w:tcW w:w="720"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t>MeltR</w:t>
              <w:br/>
            </w:r>
            <w:r>
              <w:rPr>
                <w:sz w:val="13"/>
                <w:szCs w:val="13"/>
              </w:rPr>
              <w:t>ΔS°</w:t>
            </w:r>
          </w:p>
          <w:p>
            <w:pPr>
              <w:pStyle w:val="Normal"/>
              <w:widowControl w:val="false"/>
              <w:tabs>
                <w:tab w:val="clear" w:pos="720"/>
              </w:tabs>
              <w:jc w:val="center"/>
              <w:rPr>
                <w:sz w:val="13"/>
                <w:szCs w:val="13"/>
              </w:rPr>
            </w:pPr>
            <w:r>
              <w:rPr>
                <w:sz w:val="13"/>
                <w:szCs w:val="13"/>
              </w:rPr>
              <w:t>Method 1</w:t>
            </w:r>
            <w:r>
              <w:rPr>
                <w:sz w:val="13"/>
                <w:szCs w:val="13"/>
                <w:vertAlign w:val="superscript"/>
              </w:rPr>
              <w:t>a</w:t>
            </w:r>
            <w:r>
              <w:rPr>
                <w:sz w:val="13"/>
                <w:szCs w:val="13"/>
              </w:rPr>
              <w:br/>
            </w:r>
            <w:r>
              <w:rPr>
                <w:sz w:val="12"/>
                <w:szCs w:val="12"/>
              </w:rPr>
              <w:t>(cal/mol/K)</w:t>
            </w:r>
          </w:p>
        </w:tc>
        <w:tc>
          <w:tcPr>
            <w:tcW w:w="720" w:type="dxa"/>
            <w:tcBorders>
              <w:top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t>MeltR</w:t>
              <w:br/>
            </w:r>
            <w:r>
              <w:rPr>
                <w:sz w:val="13"/>
                <w:szCs w:val="13"/>
              </w:rPr>
              <w:t>ΔS°</w:t>
            </w:r>
          </w:p>
          <w:p>
            <w:pPr>
              <w:pStyle w:val="Normal"/>
              <w:widowControl w:val="false"/>
              <w:tabs>
                <w:tab w:val="clear" w:pos="720"/>
              </w:tabs>
              <w:jc w:val="center"/>
              <w:rPr>
                <w:sz w:val="13"/>
                <w:szCs w:val="13"/>
              </w:rPr>
            </w:pPr>
            <w:r>
              <w:rPr>
                <w:sz w:val="13"/>
                <w:szCs w:val="13"/>
              </w:rPr>
              <w:t>Method 2</w:t>
            </w:r>
            <w:r>
              <w:rPr>
                <w:sz w:val="13"/>
                <w:szCs w:val="13"/>
                <w:vertAlign w:val="superscript"/>
              </w:rPr>
              <w:t>b</w:t>
            </w:r>
            <w:r>
              <w:rPr>
                <w:sz w:val="13"/>
                <w:szCs w:val="13"/>
              </w:rPr>
              <w:br/>
            </w:r>
            <w:r>
              <w:rPr>
                <w:sz w:val="12"/>
                <w:szCs w:val="12"/>
              </w:rPr>
              <w:t>(cal/mol/K)</w:t>
            </w:r>
          </w:p>
        </w:tc>
        <w:tc>
          <w:tcPr>
            <w:tcW w:w="720" w:type="dxa"/>
            <w:tcBorders>
              <w:top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t>MeltR</w:t>
              <w:br/>
              <w:t>Δ</w:t>
            </w:r>
            <w:r>
              <w:rPr>
                <w:sz w:val="13"/>
                <w:szCs w:val="13"/>
              </w:rPr>
              <w:t>S°</w:t>
            </w:r>
          </w:p>
          <w:p>
            <w:pPr>
              <w:pStyle w:val="Normal"/>
              <w:widowControl w:val="false"/>
              <w:tabs>
                <w:tab w:val="clear" w:pos="720"/>
              </w:tabs>
              <w:jc w:val="center"/>
              <w:rPr>
                <w:sz w:val="13"/>
                <w:szCs w:val="13"/>
              </w:rPr>
            </w:pPr>
            <w:r>
              <w:rPr>
                <w:sz w:val="13"/>
                <w:szCs w:val="13"/>
              </w:rPr>
              <w:t>Method 3</w:t>
            </w:r>
            <w:r>
              <w:rPr>
                <w:sz w:val="13"/>
                <w:szCs w:val="13"/>
                <w:vertAlign w:val="superscript"/>
              </w:rPr>
              <w:t>c</w:t>
            </w:r>
            <w:r>
              <w:rPr>
                <w:sz w:val="13"/>
                <w:szCs w:val="13"/>
              </w:rPr>
              <w:br/>
            </w:r>
            <w:r>
              <w:rPr>
                <w:sz w:val="12"/>
                <w:szCs w:val="12"/>
              </w:rPr>
              <w:t>(cal/mol/K)</w:t>
            </w:r>
          </w:p>
        </w:tc>
        <w:tc>
          <w:tcPr>
            <w:tcW w:w="720"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3"/>
                <w:szCs w:val="13"/>
              </w:rPr>
            </w:pPr>
            <w:r>
              <w:rPr>
                <w:sz w:val="13"/>
                <w:szCs w:val="13"/>
              </w:rPr>
            </w:r>
          </w:p>
        </w:tc>
        <w:tc>
          <w:tcPr>
            <w:tcW w:w="720"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3"/>
                <w:szCs w:val="13"/>
              </w:rPr>
            </w:pPr>
            <w:r>
              <w:rPr>
                <w:sz w:val="13"/>
                <w:szCs w:val="13"/>
              </w:rPr>
            </w:r>
          </w:p>
        </w:tc>
        <w:tc>
          <w:tcPr>
            <w:tcW w:w="720" w:type="dxa"/>
            <w:tcBorders>
              <w:top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t>MeltR</w:t>
              <w:br/>
            </w:r>
            <w:r>
              <w:rPr>
                <w:sz w:val="13"/>
                <w:szCs w:val="13"/>
              </w:rPr>
              <w:t>ΔG°</w:t>
            </w:r>
            <w:r>
              <w:rPr>
                <w:sz w:val="13"/>
                <w:szCs w:val="13"/>
                <w:vertAlign w:val="subscript"/>
              </w:rPr>
              <w:t>37</w:t>
            </w:r>
          </w:p>
          <w:p>
            <w:pPr>
              <w:pStyle w:val="Normal"/>
              <w:widowControl w:val="false"/>
              <w:tabs>
                <w:tab w:val="clear" w:pos="720"/>
              </w:tabs>
              <w:jc w:val="center"/>
              <w:rPr>
                <w:sz w:val="13"/>
                <w:szCs w:val="13"/>
              </w:rPr>
            </w:pPr>
            <w:r>
              <w:rPr>
                <w:sz w:val="13"/>
                <w:szCs w:val="13"/>
              </w:rPr>
              <w:t>Method 1</w:t>
            </w:r>
            <w:r>
              <w:rPr>
                <w:sz w:val="13"/>
                <w:szCs w:val="13"/>
                <w:vertAlign w:val="superscript"/>
              </w:rPr>
              <w:t>a</w:t>
            </w:r>
            <w:r>
              <w:rPr>
                <w:sz w:val="13"/>
                <w:szCs w:val="13"/>
              </w:rPr>
              <w:br/>
              <w:t>(kcal/mol)</w:t>
            </w:r>
          </w:p>
        </w:tc>
        <w:tc>
          <w:tcPr>
            <w:tcW w:w="720" w:type="dxa"/>
            <w:tcBorders>
              <w:top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t>MeltR</w:t>
              <w:br/>
            </w:r>
            <w:r>
              <w:rPr>
                <w:sz w:val="13"/>
                <w:szCs w:val="13"/>
              </w:rPr>
              <w:t>ΔG°</w:t>
            </w:r>
            <w:r>
              <w:rPr>
                <w:sz w:val="13"/>
                <w:szCs w:val="13"/>
                <w:vertAlign w:val="subscript"/>
              </w:rPr>
              <w:t>37</w:t>
            </w:r>
          </w:p>
          <w:p>
            <w:pPr>
              <w:pStyle w:val="Normal"/>
              <w:widowControl w:val="false"/>
              <w:tabs>
                <w:tab w:val="clear" w:pos="720"/>
              </w:tabs>
              <w:jc w:val="center"/>
              <w:rPr>
                <w:sz w:val="13"/>
                <w:szCs w:val="13"/>
              </w:rPr>
            </w:pPr>
            <w:r>
              <w:rPr>
                <w:sz w:val="13"/>
                <w:szCs w:val="13"/>
              </w:rPr>
              <w:t>Method 2</w:t>
            </w:r>
            <w:r>
              <w:rPr>
                <w:sz w:val="13"/>
                <w:szCs w:val="13"/>
                <w:vertAlign w:val="superscript"/>
              </w:rPr>
              <w:t>b</w:t>
            </w:r>
            <w:r>
              <w:rPr>
                <w:sz w:val="13"/>
                <w:szCs w:val="13"/>
              </w:rPr>
              <w:br/>
              <w:t>(kcal/mol)</w:t>
            </w:r>
          </w:p>
        </w:tc>
        <w:tc>
          <w:tcPr>
            <w:tcW w:w="720" w:type="dxa"/>
            <w:tcBorders>
              <w:top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t>MeltR</w:t>
              <w:br/>
            </w:r>
            <w:r>
              <w:rPr>
                <w:sz w:val="13"/>
                <w:szCs w:val="13"/>
              </w:rPr>
              <w:t>ΔG°</w:t>
            </w:r>
            <w:r>
              <w:rPr>
                <w:sz w:val="13"/>
                <w:szCs w:val="13"/>
                <w:vertAlign w:val="subscript"/>
              </w:rPr>
              <w:t>37</w:t>
            </w:r>
          </w:p>
          <w:p>
            <w:pPr>
              <w:pStyle w:val="Normal"/>
              <w:widowControl w:val="false"/>
              <w:tabs>
                <w:tab w:val="clear" w:pos="720"/>
              </w:tabs>
              <w:jc w:val="center"/>
              <w:rPr>
                <w:sz w:val="13"/>
                <w:szCs w:val="13"/>
              </w:rPr>
            </w:pPr>
            <w:r>
              <w:rPr>
                <w:sz w:val="13"/>
                <w:szCs w:val="13"/>
              </w:rPr>
              <w:t>Method 3</w:t>
            </w:r>
            <w:r>
              <w:rPr>
                <w:sz w:val="13"/>
                <w:szCs w:val="13"/>
                <w:vertAlign w:val="superscript"/>
              </w:rPr>
              <w:t>c</w:t>
            </w:r>
            <w:r>
              <w:rPr>
                <w:sz w:val="13"/>
                <w:szCs w:val="13"/>
              </w:rPr>
              <w:br/>
              <w:t>(kcal/mol)</w:t>
            </w:r>
          </w:p>
        </w:tc>
        <w:tc>
          <w:tcPr>
            <w:tcW w:w="720"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3"/>
                <w:szCs w:val="13"/>
              </w:rPr>
            </w:pPr>
            <w:r>
              <w:rPr>
                <w:sz w:val="13"/>
                <w:szCs w:val="13"/>
              </w:rPr>
            </w:r>
          </w:p>
        </w:tc>
        <w:tc>
          <w:tcPr>
            <w:tcW w:w="720"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3"/>
                <w:szCs w:val="13"/>
              </w:rPr>
            </w:pPr>
            <w:r>
              <w:rPr>
                <w:sz w:val="13"/>
                <w:szCs w:val="13"/>
              </w:rPr>
            </w:r>
          </w:p>
        </w:tc>
        <w:tc>
          <w:tcPr>
            <w:tcW w:w="590" w:type="dxa"/>
            <w:tcBorders>
              <w:top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t>MeltR</w:t>
              <w:br/>
            </w:r>
            <w:r>
              <w:rPr>
                <w:sz w:val="13"/>
                <w:szCs w:val="13"/>
              </w:rPr>
              <w:t>T</w:t>
            </w:r>
            <w:r>
              <w:rPr>
                <w:sz w:val="13"/>
                <w:szCs w:val="13"/>
                <w:vertAlign w:val="subscript"/>
              </w:rPr>
              <w:t>m</w:t>
            </w:r>
            <w:r>
              <w:rPr>
                <w:sz w:val="13"/>
                <w:szCs w:val="13"/>
                <w:vertAlign w:val="superscript"/>
              </w:rPr>
              <w:t>d</w:t>
            </w:r>
          </w:p>
          <w:p>
            <w:pPr>
              <w:pStyle w:val="Normal"/>
              <w:widowControl w:val="false"/>
              <w:tabs>
                <w:tab w:val="clear" w:pos="720"/>
              </w:tabs>
              <w:jc w:val="center"/>
              <w:rPr>
                <w:sz w:val="13"/>
                <w:szCs w:val="13"/>
              </w:rPr>
            </w:pPr>
            <w:r>
              <w:rPr>
                <w:sz w:val="13"/>
                <w:szCs w:val="13"/>
              </w:rPr>
              <w:t>Method 1</w:t>
            </w:r>
            <w:r>
              <w:rPr>
                <w:sz w:val="13"/>
                <w:szCs w:val="13"/>
                <w:vertAlign w:val="superscript"/>
              </w:rPr>
              <w:t>a</w:t>
            </w:r>
            <w:r>
              <w:rPr>
                <w:sz w:val="13"/>
                <w:szCs w:val="13"/>
              </w:rPr>
              <w:br/>
              <w:t>(°C)</w:t>
            </w:r>
          </w:p>
        </w:tc>
        <w:tc>
          <w:tcPr>
            <w:tcW w:w="590" w:type="dxa"/>
            <w:tcBorders>
              <w:top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t>MeltR</w:t>
              <w:br/>
            </w:r>
            <w:r>
              <w:rPr>
                <w:sz w:val="13"/>
                <w:szCs w:val="13"/>
              </w:rPr>
              <w:t>T</w:t>
            </w:r>
            <w:r>
              <w:rPr>
                <w:sz w:val="13"/>
                <w:szCs w:val="13"/>
                <w:vertAlign w:val="subscript"/>
              </w:rPr>
              <w:t>m</w:t>
            </w:r>
            <w:r>
              <w:rPr>
                <w:sz w:val="13"/>
                <w:szCs w:val="13"/>
                <w:vertAlign w:val="superscript"/>
              </w:rPr>
              <w:t>d</w:t>
            </w:r>
          </w:p>
          <w:p>
            <w:pPr>
              <w:pStyle w:val="Normal"/>
              <w:widowControl w:val="false"/>
              <w:tabs>
                <w:tab w:val="clear" w:pos="720"/>
              </w:tabs>
              <w:jc w:val="center"/>
              <w:rPr>
                <w:sz w:val="13"/>
                <w:szCs w:val="13"/>
              </w:rPr>
            </w:pPr>
            <w:r>
              <w:rPr>
                <w:sz w:val="13"/>
                <w:szCs w:val="13"/>
              </w:rPr>
              <w:t>Method 2</w:t>
            </w:r>
            <w:r>
              <w:rPr>
                <w:sz w:val="13"/>
                <w:szCs w:val="13"/>
                <w:vertAlign w:val="superscript"/>
              </w:rPr>
              <w:t>b</w:t>
            </w:r>
            <w:r>
              <w:rPr>
                <w:sz w:val="13"/>
                <w:szCs w:val="13"/>
              </w:rPr>
              <w:br/>
              <w:t>(°C)</w:t>
            </w:r>
          </w:p>
        </w:tc>
        <w:tc>
          <w:tcPr>
            <w:tcW w:w="590" w:type="dxa"/>
            <w:tcBorders>
              <w:top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t>MeltR</w:t>
              <w:br/>
            </w:r>
            <w:r>
              <w:rPr>
                <w:sz w:val="13"/>
                <w:szCs w:val="13"/>
              </w:rPr>
              <w:t>T</w:t>
            </w:r>
            <w:r>
              <w:rPr>
                <w:sz w:val="13"/>
                <w:szCs w:val="13"/>
                <w:vertAlign w:val="subscript"/>
              </w:rPr>
              <w:t>m</w:t>
            </w:r>
            <w:r>
              <w:rPr>
                <w:sz w:val="13"/>
                <w:szCs w:val="13"/>
                <w:vertAlign w:val="superscript"/>
              </w:rPr>
              <w:t>d</w:t>
            </w:r>
          </w:p>
          <w:p>
            <w:pPr>
              <w:pStyle w:val="Normal"/>
              <w:widowControl w:val="false"/>
              <w:tabs>
                <w:tab w:val="clear" w:pos="720"/>
              </w:tabs>
              <w:jc w:val="center"/>
              <w:rPr>
                <w:sz w:val="13"/>
                <w:szCs w:val="13"/>
              </w:rPr>
            </w:pPr>
            <w:r>
              <w:rPr>
                <w:sz w:val="13"/>
                <w:szCs w:val="13"/>
              </w:rPr>
              <w:t>Method 3</w:t>
            </w:r>
            <w:r>
              <w:rPr>
                <w:sz w:val="13"/>
                <w:szCs w:val="13"/>
                <w:vertAlign w:val="superscript"/>
              </w:rPr>
              <w:t>c</w:t>
            </w:r>
            <w:r>
              <w:rPr>
                <w:sz w:val="13"/>
                <w:szCs w:val="13"/>
              </w:rPr>
              <w:br/>
              <w:t>(°C)</w:t>
            </w:r>
          </w:p>
        </w:tc>
        <w:tc>
          <w:tcPr>
            <w:tcW w:w="590" w:type="dxa"/>
            <w:tcBorders>
              <w:top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sz w:val="13"/>
                <w:szCs w:val="13"/>
              </w:rPr>
            </w:pPr>
            <w:r>
              <w:rPr>
                <w:sz w:val="13"/>
                <w:szCs w:val="13"/>
              </w:rPr>
            </w:r>
          </w:p>
        </w:tc>
      </w:tr>
      <w:tr>
        <w:trPr>
          <w:trHeight w:val="256" w:hRule="atLeast"/>
        </w:trPr>
        <w:tc>
          <w:tcPr>
            <w:tcW w:w="1091" w:type="dxa"/>
            <w:tcBorders/>
            <w:tcMar>
              <w:top w:w="0" w:type="dxa"/>
              <w:left w:w="30" w:type="dxa"/>
              <w:bottom w:w="0" w:type="dxa"/>
              <w:right w:w="30" w:type="dxa"/>
            </w:tcMar>
            <w:vAlign w:val="center"/>
          </w:tcPr>
          <w:p>
            <w:pPr>
              <w:pStyle w:val="Normal"/>
              <w:widowControl w:val="false"/>
              <w:tabs>
                <w:tab w:val="clear" w:pos="720"/>
              </w:tabs>
              <w:jc w:val="center"/>
              <w:rPr>
                <w:sz w:val="12"/>
                <w:szCs w:val="12"/>
              </w:rPr>
            </w:pPr>
            <w:r>
              <w:rPr>
                <w:sz w:val="12"/>
                <w:szCs w:val="12"/>
              </w:rPr>
              <w:t>5’-CGCGCG-3’</w:t>
            </w:r>
            <w:r>
              <w:rPr>
                <w:sz w:val="12"/>
                <w:szCs w:val="12"/>
                <w:vertAlign w:val="superscript"/>
              </w:rPr>
              <w:t>e</w:t>
            </w:r>
            <w:r>
              <w:rPr>
                <w:sz w:val="12"/>
                <w:szCs w:val="12"/>
              </w:rPr>
              <w:br/>
              <w:t>‘3’-GCGCGC-3  ’</w:t>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r>
      <w:tr>
        <w:trPr>
          <w:trHeight w:val="256" w:hRule="atLeast"/>
        </w:trPr>
        <w:tc>
          <w:tcPr>
            <w:tcW w:w="1091" w:type="dxa"/>
            <w:tcBorders/>
            <w:tcMar>
              <w:top w:w="0" w:type="dxa"/>
              <w:left w:w="30" w:type="dxa"/>
              <w:bottom w:w="0" w:type="dxa"/>
              <w:right w:w="30" w:type="dxa"/>
            </w:tcMar>
            <w:vAlign w:val="center"/>
          </w:tcPr>
          <w:p>
            <w:pPr>
              <w:pStyle w:val="Normal"/>
              <w:widowControl w:val="false"/>
              <w:tabs>
                <w:tab w:val="clear" w:pos="720"/>
              </w:tabs>
              <w:jc w:val="center"/>
              <w:rPr>
                <w:sz w:val="12"/>
                <w:szCs w:val="12"/>
              </w:rPr>
            </w:pPr>
            <w:r>
              <w:rPr>
                <w:sz w:val="12"/>
                <w:szCs w:val="12"/>
              </w:rPr>
              <w:t>5’-ACCGGU-3’</w:t>
            </w:r>
            <w:r>
              <w:rPr>
                <w:sz w:val="12"/>
                <w:szCs w:val="12"/>
                <w:vertAlign w:val="superscript"/>
              </w:rPr>
              <w:t>e</w:t>
            </w:r>
            <w:r>
              <w:rPr>
                <w:sz w:val="12"/>
                <w:szCs w:val="12"/>
              </w:rPr>
              <w:br/>
              <w:t>3’-UGGCCA-3’</w:t>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r>
      <w:tr>
        <w:trPr>
          <w:trHeight w:val="256" w:hRule="atLeast"/>
        </w:trPr>
        <w:tc>
          <w:tcPr>
            <w:tcW w:w="1091" w:type="dxa"/>
            <w:tcBorders/>
            <w:tcMar>
              <w:top w:w="0" w:type="dxa"/>
              <w:left w:w="30" w:type="dxa"/>
              <w:bottom w:w="0" w:type="dxa"/>
              <w:right w:w="30" w:type="dxa"/>
            </w:tcMar>
            <w:vAlign w:val="center"/>
          </w:tcPr>
          <w:p>
            <w:pPr>
              <w:pStyle w:val="Normal"/>
              <w:widowControl w:val="false"/>
              <w:tabs>
                <w:tab w:val="clear" w:pos="720"/>
              </w:tabs>
              <w:jc w:val="center"/>
              <w:rPr>
                <w:sz w:val="12"/>
                <w:szCs w:val="12"/>
              </w:rPr>
            </w:pPr>
            <w:r>
              <w:rPr>
                <w:sz w:val="12"/>
                <w:szCs w:val="12"/>
              </w:rPr>
              <w:t>5’-CCAUGG-3’</w:t>
            </w:r>
            <w:r>
              <w:rPr>
                <w:sz w:val="12"/>
                <w:szCs w:val="12"/>
                <w:vertAlign w:val="superscript"/>
              </w:rPr>
              <w:t>e</w:t>
            </w:r>
            <w:r>
              <w:rPr>
                <w:sz w:val="12"/>
                <w:szCs w:val="12"/>
              </w:rPr>
              <w:br/>
              <w:t>3’-GGUACC-5’</w:t>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r>
      <w:tr>
        <w:trPr>
          <w:trHeight w:val="256" w:hRule="atLeast"/>
        </w:trPr>
        <w:tc>
          <w:tcPr>
            <w:tcW w:w="1091" w:type="dxa"/>
            <w:tcBorders/>
            <w:tcMar>
              <w:top w:w="0" w:type="dxa"/>
              <w:left w:w="30" w:type="dxa"/>
              <w:bottom w:w="0" w:type="dxa"/>
              <w:right w:w="30" w:type="dxa"/>
            </w:tcMar>
            <w:vAlign w:val="center"/>
          </w:tcPr>
          <w:p>
            <w:pPr>
              <w:pStyle w:val="Normal"/>
              <w:widowControl w:val="false"/>
              <w:tabs>
                <w:tab w:val="clear" w:pos="720"/>
              </w:tabs>
              <w:jc w:val="center"/>
              <w:rPr>
                <w:sz w:val="12"/>
                <w:szCs w:val="12"/>
              </w:rPr>
            </w:pPr>
            <w:r>
              <w:rPr>
                <w:sz w:val="12"/>
                <w:szCs w:val="12"/>
              </w:rPr>
              <w:t>5’-GAUAUAUC-3’</w:t>
            </w:r>
            <w:r>
              <w:rPr>
                <w:sz w:val="12"/>
                <w:szCs w:val="12"/>
                <w:vertAlign w:val="superscript"/>
              </w:rPr>
              <w:t>e</w:t>
            </w:r>
            <w:r>
              <w:rPr>
                <w:sz w:val="12"/>
                <w:szCs w:val="12"/>
              </w:rPr>
              <w:br/>
              <w:t>3’-CUAUAUAG-5’</w:t>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r>
      <w:tr>
        <w:trPr>
          <w:trHeight w:val="256" w:hRule="atLeast"/>
        </w:trPr>
        <w:tc>
          <w:tcPr>
            <w:tcW w:w="1091" w:type="dxa"/>
            <w:tcBorders/>
            <w:tcMar>
              <w:top w:w="0" w:type="dxa"/>
              <w:left w:w="30" w:type="dxa"/>
              <w:bottom w:w="0" w:type="dxa"/>
              <w:right w:w="30" w:type="dxa"/>
            </w:tcMar>
            <w:vAlign w:val="center"/>
          </w:tcPr>
          <w:p>
            <w:pPr>
              <w:pStyle w:val="Normal"/>
              <w:widowControl w:val="false"/>
              <w:tabs>
                <w:tab w:val="clear" w:pos="720"/>
              </w:tabs>
              <w:jc w:val="center"/>
              <w:rPr>
                <w:sz w:val="12"/>
                <w:szCs w:val="12"/>
              </w:rPr>
            </w:pPr>
            <w:r>
              <w:rPr>
                <w:sz w:val="12"/>
                <w:szCs w:val="12"/>
              </w:rPr>
              <w:t>5’-GCAAUUGC-3’</w:t>
            </w:r>
            <w:r>
              <w:rPr>
                <w:sz w:val="12"/>
                <w:szCs w:val="12"/>
                <w:vertAlign w:val="superscript"/>
              </w:rPr>
              <w:t>e</w:t>
            </w:r>
            <w:r>
              <w:rPr>
                <w:sz w:val="12"/>
                <w:szCs w:val="12"/>
              </w:rPr>
              <w:br/>
              <w:t>3’-CGUUAACG-5’</w:t>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r>
      <w:tr>
        <w:trPr>
          <w:trHeight w:val="256" w:hRule="atLeast"/>
        </w:trPr>
        <w:tc>
          <w:tcPr>
            <w:tcW w:w="1091" w:type="dxa"/>
            <w:tcBorders/>
            <w:tcMar>
              <w:top w:w="0" w:type="dxa"/>
              <w:left w:w="30" w:type="dxa"/>
              <w:bottom w:w="0" w:type="dxa"/>
              <w:right w:w="30" w:type="dxa"/>
            </w:tcMar>
            <w:vAlign w:val="center"/>
          </w:tcPr>
          <w:p>
            <w:pPr>
              <w:pStyle w:val="Normal"/>
              <w:widowControl w:val="false"/>
              <w:tabs>
                <w:tab w:val="clear" w:pos="720"/>
              </w:tabs>
              <w:jc w:val="center"/>
              <w:rPr>
                <w:sz w:val="12"/>
                <w:szCs w:val="12"/>
              </w:rPr>
            </w:pPr>
            <w:r>
              <w:rPr>
                <w:sz w:val="12"/>
                <w:szCs w:val="12"/>
              </w:rPr>
              <w:t>5’-CGAAAGGU-3’</w:t>
            </w:r>
            <w:r>
              <w:rPr>
                <w:sz w:val="12"/>
                <w:szCs w:val="12"/>
                <w:vertAlign w:val="superscript"/>
              </w:rPr>
              <w:t>f</w:t>
            </w:r>
            <w:r>
              <w:rPr>
                <w:sz w:val="12"/>
                <w:szCs w:val="12"/>
              </w:rPr>
              <w:br/>
              <w:t>3’-GCUUUCCA-5’</w:t>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r>
      <w:tr>
        <w:trPr>
          <w:trHeight w:val="256" w:hRule="atLeast"/>
        </w:trPr>
        <w:tc>
          <w:tcPr>
            <w:tcW w:w="1091" w:type="dxa"/>
            <w:tcBorders/>
            <w:tcMar>
              <w:top w:w="0" w:type="dxa"/>
              <w:left w:w="30" w:type="dxa"/>
              <w:bottom w:w="0" w:type="dxa"/>
              <w:right w:w="30" w:type="dxa"/>
            </w:tcMar>
            <w:vAlign w:val="center"/>
          </w:tcPr>
          <w:p>
            <w:pPr>
              <w:pStyle w:val="Normal"/>
              <w:widowControl w:val="false"/>
              <w:tabs>
                <w:tab w:val="clear" w:pos="720"/>
              </w:tabs>
              <w:jc w:val="center"/>
              <w:rPr>
                <w:sz w:val="12"/>
                <w:szCs w:val="12"/>
              </w:rPr>
            </w:pPr>
            <w:r>
              <w:rPr>
                <w:sz w:val="12"/>
                <w:szCs w:val="12"/>
              </w:rPr>
              <w:t>5’-CUGAGUC-3’</w:t>
            </w:r>
            <w:r>
              <w:rPr>
                <w:sz w:val="12"/>
                <w:szCs w:val="12"/>
                <w:vertAlign w:val="superscript"/>
              </w:rPr>
              <w:t>f</w:t>
            </w:r>
            <w:r>
              <w:rPr>
                <w:sz w:val="12"/>
                <w:szCs w:val="12"/>
              </w:rPr>
              <w:br/>
              <w:t>3’-GACUCAG-5’</w:t>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r>
      <w:tr>
        <w:trPr>
          <w:trHeight w:val="256" w:hRule="atLeast"/>
        </w:trPr>
        <w:tc>
          <w:tcPr>
            <w:tcW w:w="1091" w:type="dxa"/>
            <w:tcBorders/>
            <w:tcMar>
              <w:top w:w="0" w:type="dxa"/>
              <w:left w:w="30" w:type="dxa"/>
              <w:bottom w:w="0" w:type="dxa"/>
              <w:right w:w="30" w:type="dxa"/>
            </w:tcMar>
            <w:vAlign w:val="center"/>
          </w:tcPr>
          <w:p>
            <w:pPr>
              <w:pStyle w:val="Normal"/>
              <w:widowControl w:val="false"/>
              <w:tabs>
                <w:tab w:val="clear" w:pos="720"/>
              </w:tabs>
              <w:jc w:val="center"/>
              <w:rPr>
                <w:sz w:val="12"/>
                <w:szCs w:val="12"/>
              </w:rPr>
            </w:pPr>
            <w:r>
              <w:rPr>
                <w:sz w:val="12"/>
                <w:szCs w:val="12"/>
              </w:rPr>
              <w:t>5’-CGUUGC-3’</w:t>
            </w:r>
            <w:r>
              <w:rPr>
                <w:sz w:val="12"/>
                <w:szCs w:val="12"/>
                <w:vertAlign w:val="superscript"/>
              </w:rPr>
              <w:t>f</w:t>
            </w:r>
            <w:r>
              <w:rPr>
                <w:sz w:val="12"/>
                <w:szCs w:val="12"/>
              </w:rPr>
              <w:br/>
              <w:t>3’-GCAACG-5’</w:t>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r>
      <w:tr>
        <w:trPr>
          <w:trHeight w:val="256" w:hRule="atLeast"/>
        </w:trPr>
        <w:tc>
          <w:tcPr>
            <w:tcW w:w="1091" w:type="dxa"/>
            <w:tcBorders/>
            <w:tcMar>
              <w:top w:w="0" w:type="dxa"/>
              <w:left w:w="30" w:type="dxa"/>
              <w:bottom w:w="0" w:type="dxa"/>
              <w:right w:w="30" w:type="dxa"/>
            </w:tcMar>
            <w:vAlign w:val="center"/>
          </w:tcPr>
          <w:p>
            <w:pPr>
              <w:pStyle w:val="Normal"/>
              <w:widowControl w:val="false"/>
              <w:tabs>
                <w:tab w:val="clear" w:pos="720"/>
              </w:tabs>
              <w:jc w:val="center"/>
              <w:rPr>
                <w:sz w:val="12"/>
                <w:szCs w:val="12"/>
              </w:rPr>
            </w:pPr>
            <w:r>
              <w:rPr>
                <w:sz w:val="12"/>
                <w:szCs w:val="12"/>
              </w:rPr>
              <w:t xml:space="preserve">  </w:t>
            </w:r>
            <w:r>
              <w:rPr>
                <w:sz w:val="12"/>
                <w:szCs w:val="12"/>
              </w:rPr>
              <w:t>F-CGAAAGGU-3’</w:t>
            </w:r>
            <w:r>
              <w:rPr>
                <w:sz w:val="12"/>
                <w:szCs w:val="12"/>
                <w:vertAlign w:val="superscript"/>
              </w:rPr>
              <w:t>f</w:t>
            </w:r>
            <w:r>
              <w:rPr>
                <w:sz w:val="12"/>
                <w:szCs w:val="12"/>
              </w:rPr>
              <w:br/>
              <w:t>Q-GCUUUCCA-5’</w:t>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r>
      <w:tr>
        <w:trPr>
          <w:trHeight w:val="256" w:hRule="atLeast"/>
        </w:trPr>
        <w:tc>
          <w:tcPr>
            <w:tcW w:w="1091" w:type="dxa"/>
            <w:tcBorders/>
            <w:tcMar>
              <w:top w:w="0" w:type="dxa"/>
              <w:left w:w="30" w:type="dxa"/>
              <w:bottom w:w="0" w:type="dxa"/>
              <w:right w:w="30" w:type="dxa"/>
            </w:tcMar>
            <w:vAlign w:val="center"/>
          </w:tcPr>
          <w:p>
            <w:pPr>
              <w:pStyle w:val="Normal"/>
              <w:widowControl w:val="false"/>
              <w:tabs>
                <w:tab w:val="clear" w:pos="720"/>
              </w:tabs>
              <w:jc w:val="center"/>
              <w:rPr>
                <w:sz w:val="12"/>
                <w:szCs w:val="12"/>
              </w:rPr>
            </w:pPr>
            <w:r>
              <w:rPr>
                <w:sz w:val="12"/>
                <w:szCs w:val="12"/>
              </w:rPr>
              <w:t xml:space="preserve">  </w:t>
            </w:r>
            <w:r>
              <w:rPr>
                <w:sz w:val="12"/>
                <w:szCs w:val="12"/>
              </w:rPr>
              <w:t xml:space="preserve">F-CUGAGUC-3’ </w:t>
            </w:r>
            <w:r>
              <w:rPr>
                <w:sz w:val="12"/>
                <w:szCs w:val="12"/>
                <w:vertAlign w:val="superscript"/>
              </w:rPr>
              <w:t>f</w:t>
            </w:r>
            <w:r>
              <w:rPr>
                <w:sz w:val="12"/>
                <w:szCs w:val="12"/>
              </w:rPr>
              <w:br/>
              <w:t>Q-GACUCAG-5’</w:t>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lef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vAlign w:val="center"/>
          </w:tcPr>
          <w:p>
            <w:pPr>
              <w:pStyle w:val="Normal"/>
              <w:widowControl w:val="false"/>
              <w:tabs>
                <w:tab w:val="clear" w:pos="720"/>
              </w:tabs>
              <w:jc w:val="center"/>
              <w:rPr>
                <w:sz w:val="13"/>
                <w:szCs w:val="13"/>
              </w:rPr>
            </w:pPr>
            <w:r>
              <w:rPr>
                <w:sz w:val="13"/>
                <w:szCs w:val="13"/>
              </w:rPr>
            </w:r>
          </w:p>
        </w:tc>
        <w:tc>
          <w:tcPr>
            <w:tcW w:w="72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vAlign w:val="center"/>
          </w:tcPr>
          <w:p>
            <w:pPr>
              <w:pStyle w:val="Normal"/>
              <w:widowControl w:val="false"/>
              <w:tabs>
                <w:tab w:val="clear" w:pos="720"/>
              </w:tabs>
              <w:jc w:val="center"/>
              <w:rPr>
                <w:sz w:val="13"/>
                <w:szCs w:val="13"/>
              </w:rPr>
            </w:pPr>
            <w:r>
              <w:rPr>
                <w:sz w:val="13"/>
                <w:szCs w:val="13"/>
              </w:rPr>
            </w:r>
          </w:p>
        </w:tc>
        <w:tc>
          <w:tcPr>
            <w:tcW w:w="590" w:type="dxa"/>
            <w:tcBorders>
              <w:right w:val="single" w:sz="4" w:space="0" w:color="000000"/>
            </w:tcBorders>
            <w:vAlign w:val="center"/>
          </w:tcPr>
          <w:p>
            <w:pPr>
              <w:pStyle w:val="Normal"/>
              <w:widowControl w:val="false"/>
              <w:tabs>
                <w:tab w:val="clear" w:pos="720"/>
              </w:tabs>
              <w:jc w:val="center"/>
              <w:rPr>
                <w:sz w:val="13"/>
                <w:szCs w:val="13"/>
              </w:rPr>
            </w:pPr>
            <w:r>
              <w:rPr>
                <w:sz w:val="13"/>
                <w:szCs w:val="13"/>
              </w:rPr>
            </w:r>
          </w:p>
        </w:tc>
      </w:tr>
      <w:tr>
        <w:trPr>
          <w:trHeight w:val="256" w:hRule="atLeast"/>
        </w:trPr>
        <w:tc>
          <w:tcPr>
            <w:tcW w:w="1091" w:type="dxa"/>
            <w:tcBorders>
              <w:bottom w:val="single" w:sz="4" w:space="0" w:color="000000"/>
            </w:tcBorders>
            <w:vAlign w:val="center"/>
          </w:tcPr>
          <w:p>
            <w:pPr>
              <w:pStyle w:val="Normal"/>
              <w:widowControl w:val="false"/>
              <w:tabs>
                <w:tab w:val="clear" w:pos="720"/>
              </w:tabs>
              <w:jc w:val="center"/>
              <w:rPr>
                <w:sz w:val="12"/>
                <w:szCs w:val="12"/>
              </w:rPr>
            </w:pPr>
            <w:r>
              <w:rPr>
                <w:sz w:val="12"/>
                <w:szCs w:val="12"/>
              </w:rPr>
              <w:t xml:space="preserve">  </w:t>
            </w:r>
            <w:r>
              <w:rPr>
                <w:sz w:val="12"/>
                <w:szCs w:val="12"/>
              </w:rPr>
              <w:t>F-CGUUGC-3’</w:t>
            </w:r>
            <w:r>
              <w:rPr>
                <w:sz w:val="12"/>
                <w:szCs w:val="12"/>
                <w:vertAlign w:val="superscript"/>
              </w:rPr>
              <w:t>f</w:t>
            </w:r>
            <w:r>
              <w:rPr>
                <w:sz w:val="12"/>
                <w:szCs w:val="12"/>
              </w:rPr>
              <w:br/>
              <w:t xml:space="preserve"> Q-GCAACG-5’</w:t>
            </w:r>
          </w:p>
        </w:tc>
        <w:tc>
          <w:tcPr>
            <w:tcW w:w="720" w:type="dxa"/>
            <w:tcBorders>
              <w:left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bottom w:val="single" w:sz="4" w:space="0" w:color="000000"/>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left w:val="single" w:sz="4" w:space="0" w:color="000000"/>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bottom w:val="single" w:sz="4" w:space="0" w:color="000000"/>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720" w:type="dxa"/>
            <w:tcBorders>
              <w:bottom w:val="single" w:sz="4" w:space="0" w:color="000000"/>
              <w:right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bottom w:val="single" w:sz="4" w:space="0" w:color="000000"/>
            </w:tcBorders>
            <w:vAlign w:val="center"/>
          </w:tcPr>
          <w:p>
            <w:pPr>
              <w:pStyle w:val="Normal"/>
              <w:widowControl w:val="false"/>
              <w:tabs>
                <w:tab w:val="clear" w:pos="720"/>
              </w:tabs>
              <w:jc w:val="center"/>
              <w:rPr>
                <w:sz w:val="13"/>
                <w:szCs w:val="13"/>
              </w:rPr>
            </w:pPr>
            <w:r>
              <w:rPr>
                <w:sz w:val="13"/>
                <w:szCs w:val="13"/>
              </w:rPr>
            </w:r>
          </w:p>
        </w:tc>
        <w:tc>
          <w:tcPr>
            <w:tcW w:w="590" w:type="dxa"/>
            <w:tcBorders>
              <w:bottom w:val="single" w:sz="4" w:space="0" w:color="000000"/>
              <w:right w:val="single" w:sz="4" w:space="0" w:color="000000"/>
            </w:tcBorders>
            <w:vAlign w:val="center"/>
          </w:tcPr>
          <w:p>
            <w:pPr>
              <w:pStyle w:val="Normal"/>
              <w:widowControl w:val="false"/>
              <w:tabs>
                <w:tab w:val="clear" w:pos="720"/>
              </w:tabs>
              <w:jc w:val="center"/>
              <w:rPr>
                <w:sz w:val="13"/>
                <w:szCs w:val="13"/>
              </w:rPr>
            </w:pPr>
            <w:r>
              <w:rPr>
                <w:sz w:val="13"/>
                <w:szCs w:val="13"/>
              </w:rPr>
            </w:r>
          </w:p>
        </w:tc>
      </w:tr>
    </w:tbl>
    <w:p>
      <w:pPr>
        <w:pStyle w:val="Normal"/>
        <w:widowControl w:val="false"/>
        <w:suppressAutoHyphens w:val="true"/>
        <w:bidi w:val="0"/>
        <w:spacing w:before="0" w:after="0"/>
        <w:ind w:left="629" w:right="0" w:hanging="0"/>
        <w:jc w:val="left"/>
        <w:textAlignment w:val="baseline"/>
        <w:rPr/>
      </w:pPr>
      <w:r>
        <w:rPr>
          <w:vertAlign w:val="superscript"/>
        </w:rPr>
        <w:t>a</w:t>
      </w:r>
      <w:r>
        <w:rPr/>
        <w:t>Determined with method 1, fitting curves individually and averaging the results.</w:t>
      </w:r>
    </w:p>
    <w:p>
      <w:pPr>
        <w:pStyle w:val="Normal"/>
        <w:widowControl w:val="false"/>
        <w:suppressAutoHyphens w:val="true"/>
        <w:bidi w:val="0"/>
        <w:spacing w:before="0" w:after="0"/>
        <w:ind w:left="629" w:right="0" w:hanging="0"/>
        <w:jc w:val="left"/>
        <w:textAlignment w:val="baseline"/>
        <w:rPr/>
      </w:pPr>
      <w:r>
        <w:rPr>
          <w:vertAlign w:val="superscript"/>
        </w:rPr>
        <w:t>b</w:t>
      </w:r>
      <w:r>
        <w:rPr/>
        <w:t>Determined with method 2, 1/T</w:t>
      </w:r>
      <w:r>
        <w:rPr>
          <w:vertAlign w:val="subscript"/>
        </w:rPr>
        <w:t>m</w:t>
      </w:r>
      <w:r>
        <w:rPr/>
        <w:t xml:space="preserve"> versus lnC</w:t>
      </w:r>
      <w:r>
        <w:rPr>
          <w:vertAlign w:val="subscript"/>
        </w:rPr>
        <w:t>t</w:t>
      </w:r>
      <w:r>
        <w:rPr/>
        <w:t xml:space="preserve"> analysis.</w:t>
      </w:r>
    </w:p>
    <w:p>
      <w:pPr>
        <w:pStyle w:val="Normal"/>
        <w:widowControl w:val="false"/>
        <w:suppressAutoHyphens w:val="true"/>
        <w:bidi w:val="0"/>
        <w:spacing w:before="0" w:after="0"/>
        <w:ind w:left="629" w:right="0" w:hanging="0"/>
        <w:jc w:val="left"/>
        <w:textAlignment w:val="baseline"/>
        <w:rPr/>
      </w:pPr>
      <w:r>
        <w:rPr>
          <w:vertAlign w:val="superscript"/>
        </w:rPr>
        <w:t>c</w:t>
      </w:r>
      <w:r>
        <w:rPr/>
        <w:t>Determined with method 3, globally fitting all curves with the same non-linear model.</w:t>
      </w:r>
    </w:p>
    <w:p>
      <w:pPr>
        <w:pStyle w:val="Normal"/>
        <w:widowControl w:val="false"/>
        <w:suppressAutoHyphens w:val="true"/>
        <w:bidi w:val="0"/>
        <w:spacing w:before="0" w:after="0"/>
        <w:ind w:left="629" w:right="0" w:hanging="0"/>
        <w:jc w:val="left"/>
        <w:textAlignment w:val="baseline"/>
        <w:rPr/>
      </w:pPr>
      <w:r>
        <w:rPr>
          <w:vertAlign w:val="superscript"/>
        </w:rPr>
        <w:t>d</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left="629" w:right="0" w:hanging="0"/>
        <w:jc w:val="left"/>
        <w:textAlignment w:val="baseline"/>
        <w:rPr/>
      </w:pPr>
      <w:r>
        <w:rPr>
          <w:vertAlign w:val="superscript"/>
        </w:rPr>
        <w:t>e</w:t>
      </w:r>
      <w:r>
        <w:rPr>
          <w:position w:val="0"/>
          <w:sz w:val="20"/>
          <w:sz w:val="20"/>
          <w:vertAlign w:val="baseline"/>
        </w:rPr>
        <w:t>Data compiled</w:t>
      </w:r>
      <w:r>
        <w:rPr/>
        <w:t xml:space="preserve"> from a published source.</w:t>
      </w:r>
      <w:r>
        <w:rPr>
          <w:vertAlign w:val="superscript"/>
        </w:rPr>
        <w:t>1</w:t>
      </w:r>
    </w:p>
    <w:p>
      <w:pPr>
        <w:sectPr>
          <w:footerReference w:type="default" r:id="rId7"/>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left="629" w:right="0" w:hanging="0"/>
        <w:jc w:val="left"/>
        <w:textAlignment w:val="baseline"/>
        <w:rPr>
          <w:vertAlign w:val="superscript"/>
        </w:rPr>
      </w:pPr>
      <w:r>
        <w:rPr>
          <w:vertAlign w:val="superscript"/>
        </w:rPr>
        <w:t>f</w:t>
      </w:r>
      <w:r>
        <w:rPr>
          <w:position w:val="0"/>
          <w:sz w:val="20"/>
          <w:sz w:val="20"/>
          <w:vertAlign w:val="baseline"/>
        </w:rPr>
        <w:t>Data compiled in this work.</w:t>
      </w:r>
      <w:r>
        <w:br w:type="page"/>
      </w:r>
    </w:p>
    <w:p>
      <w:pPr>
        <w:pStyle w:val="Heading1"/>
        <w:ind w:left="0" w:right="-720" w:hanging="0"/>
        <w:jc w:val="both"/>
        <w:rPr/>
      </w:pPr>
      <w:bookmarkStart w:id="13" w:name="__RefHeading___Toc99310_3449495920"/>
      <w:bookmarkStart w:id="14" w:name="_Toc1117940721"/>
      <w:bookmarkStart w:id="15" w:name="_Toc1085136791"/>
      <w:bookmarkEnd w:id="13"/>
      <w:r>
        <w:rPr/>
        <w:t>Supplementary information references</w:t>
      </w:r>
      <w:bookmarkEnd w:id="14"/>
      <w:bookmarkEnd w:id="15"/>
    </w:p>
    <w:p>
      <w:pPr>
        <w:pStyle w:val="Normal"/>
        <w:ind w:left="0" w:hanging="0"/>
        <w:jc w:val="both"/>
        <w:rPr/>
      </w:pPr>
      <w:r>
        <w:rPr/>
      </w:r>
    </w:p>
    <w:p>
      <w:pPr>
        <w:pStyle w:val="Normal"/>
        <w:widowControl w:val="false"/>
        <w:suppressAutoHyphens w:val="true"/>
        <w:bidi w:val="0"/>
        <w:spacing w:before="0" w:after="0"/>
        <w:ind w:left="0" w:hanging="0"/>
        <w:jc w:val="both"/>
        <w:textAlignment w:val="baseline"/>
        <w:rPr/>
      </w:pPr>
      <w:r>
        <w:rPr>
          <w:position w:val="0"/>
          <w:sz w:val="20"/>
          <w:sz w:val="20"/>
          <w:vertAlign w:val="baseline"/>
        </w:rPr>
        <w:t xml:space="preserve">(1) Adams, M. S.; Znosko, B. M. Thermodynamic Characterization and Nearest Neighbor Parameters for RNA Duplexes under Molecular Crowding Conditions. </w:t>
      </w:r>
      <w:r>
        <w:rPr>
          <w:i/>
          <w:position w:val="0"/>
          <w:sz w:val="20"/>
          <w:sz w:val="20"/>
          <w:vertAlign w:val="baseline"/>
        </w:rPr>
        <w:t>Nucleic Acids Research</w:t>
      </w:r>
      <w:r>
        <w:rPr>
          <w:position w:val="0"/>
          <w:sz w:val="20"/>
          <w:sz w:val="20"/>
          <w:vertAlign w:val="baseline"/>
        </w:rPr>
        <w:t xml:space="preserve"> </w:t>
      </w:r>
      <w:r>
        <w:rPr>
          <w:b/>
          <w:position w:val="0"/>
          <w:sz w:val="20"/>
          <w:sz w:val="20"/>
          <w:vertAlign w:val="baseline"/>
        </w:rPr>
        <w:t>2019</w:t>
      </w:r>
      <w:r>
        <w:rPr>
          <w:position w:val="0"/>
          <w:sz w:val="20"/>
          <w:sz w:val="20"/>
          <w:vertAlign w:val="baseline"/>
        </w:rPr>
        <w:t xml:space="preserve">, </w:t>
      </w:r>
      <w:r>
        <w:rPr>
          <w:i/>
          <w:position w:val="0"/>
          <w:sz w:val="20"/>
          <w:sz w:val="20"/>
          <w:vertAlign w:val="baseline"/>
        </w:rPr>
        <w:t>47</w:t>
      </w:r>
      <w:r>
        <w:rPr>
          <w:position w:val="0"/>
          <w:sz w:val="20"/>
          <w:sz w:val="20"/>
          <w:vertAlign w:val="baseline"/>
        </w:rPr>
        <w:t xml:space="preserve"> (7), 3658–3666. </w:t>
      </w:r>
      <w:hyperlink r:id="rId8">
        <w:r>
          <w:rPr>
            <w:rStyle w:val="InternetLink"/>
            <w:position w:val="0"/>
            <w:sz w:val="20"/>
            <w:sz w:val="20"/>
            <w:vertAlign w:val="baseline"/>
          </w:rPr>
          <w:t>https://doi.org/10.1093/nar/gkz019</w:t>
        </w:r>
      </w:hyperlink>
      <w:r>
        <w:rPr>
          <w:position w:val="0"/>
          <w:sz w:val="20"/>
          <w:sz w:val="20"/>
          <w:vertAlign w:val="baseline"/>
        </w:rPr>
        <w:t>.</w:t>
      </w:r>
    </w:p>
    <w:sectPr>
      <w:footerReference w:type="default" r:id="rId9"/>
      <w:type w:val="nextPage"/>
      <w:pgSz w:w="12240" w:h="15840"/>
      <w:pgMar w:left="1440" w:right="1440" w:gutter="0" w:header="0" w:top="777" w:footer="720" w:bottom="144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Times New Roman">
    <w:charset w:val="01"/>
    <w:family w:val="swiss"/>
    <w:pitch w:val="variable"/>
  </w:font>
  <w:font w:name="Courier New">
    <w:charset w:val="01"/>
    <w:family w:val="roman"/>
    <w:pitch w:val="variable"/>
  </w:font>
  <w:font w:name="Arno Pro">
    <w:charset w:val="01"/>
    <w:family w:val="roman"/>
    <w:pitch w:val="variable"/>
  </w:font>
  <w:font w:name="Liberation Sans">
    <w:altName w:val="Arial"/>
    <w:charset w:val="01"/>
    <w:family w:val="roman"/>
    <w:pitch w:val="variable"/>
  </w:font>
  <w:font w:name="Myriad Pro Ligh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Fonts w:cs="Times New Roman" w:ascii="Times New Roman" w:hAnsi="Times New Roman"/>
      </w:rPr>
      <w:t xml:space="preserve">Sieg supplemental figures and tables p. </w:t>
    </w: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7</w:t>
    </w:r>
    <w:r>
      <w:rPr>
        <w:rFonts w:cs="Times New Roman" w:ascii="Times New Roman" w:hAnsi="Times New Roman"/>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8</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Fonts w:cs="Times New Roman" w:ascii="Times New Roman" w:hAnsi="Times New Roman"/>
      </w:rPr>
      <w:t xml:space="preserve">Sieg supplemental figures and tables p. </w:t>
    </w: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9</w:t>
    </w:r>
    <w:r>
      <w:rPr>
        <w:rFonts w:cs="Times New Roman" w:ascii="Times New Roman" w:hAnsi="Times New Roman"/>
      </w:rPr>
      <w:fldChar w:fldCharType="end"/>
    </w:r>
  </w:p>
  <w:p>
    <w:pPr>
      <w:pStyle w:val="Footer"/>
      <w:rPr/>
    </w:pPr>
    <w:r>
      <w:rPr/>
    </w:r>
  </w:p>
</w:ftr>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DejaVu Sans"/>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textAlignment w:val="baseline"/>
    </w:pPr>
    <w:rPr>
      <w:rFonts w:ascii="Arial" w:hAnsi="Arial" w:eastAsia="Calibri" w:cs="DejaVu Sans"/>
      <w:color w:val="auto"/>
      <w:kern w:val="0"/>
      <w:sz w:val="20"/>
      <w:szCs w:val="22"/>
      <w:lang w:val="en-US" w:eastAsia="en-US" w:bidi="ar-SA"/>
    </w:rPr>
  </w:style>
  <w:style w:type="paragraph" w:styleId="Heading1">
    <w:name w:val="Heading 1"/>
    <w:basedOn w:val="Normal"/>
    <w:next w:val="Normal"/>
    <w:link w:val="Heading1Char"/>
    <w:qFormat/>
    <w:pPr>
      <w:keepNext w:val="true"/>
      <w:keepLines/>
      <w:spacing w:before="240" w:after="0"/>
      <w:outlineLvl w:val="0"/>
    </w:pPr>
    <w:rPr>
      <w:rFonts w:ascii="Times New Roman" w:hAnsi="Times New Roman" w:eastAsia="Calibri" w:cs="DejaVu Sans"/>
      <w:b/>
      <w:color w:val="000000"/>
      <w:sz w:val="32"/>
      <w:szCs w:val="32"/>
    </w:rPr>
  </w:style>
  <w:style w:type="paragraph" w:styleId="Heading2">
    <w:name w:val="Heading 2"/>
    <w:basedOn w:val="Heading"/>
    <w:next w:val="Textbody1"/>
    <w:qFormat/>
    <w:pPr>
      <w:spacing w:before="200" w:after="120"/>
      <w:outlineLvl w:val="1"/>
    </w:pPr>
    <w:rPr>
      <w:rFonts w:ascii="Times New Roman" w:hAnsi="Times New Roman" w:eastAsia="DejaVu Sans" w:cs="DejaVu Sans"/>
      <w:bCs/>
      <w:i/>
      <w:sz w:val="24"/>
      <w:szCs w:val="36"/>
    </w:rPr>
  </w:style>
  <w:style w:type="paragraph" w:styleId="Heading3">
    <w:name w:val="Heading 3"/>
    <w:basedOn w:val="Normal"/>
    <w:next w:val="Normal"/>
    <w:link w:val="Heading3Char"/>
    <w:qFormat/>
    <w:pPr>
      <w:keepNext w:val="true"/>
      <w:keepLines/>
      <w:spacing w:before="40" w:after="0"/>
      <w:outlineLvl w:val="2"/>
    </w:pPr>
    <w:rPr>
      <w:rFonts w:eastAsia="Calibri" w:cs="DejaVu Sans"/>
      <w:b/>
      <w:color w:val="000000"/>
      <w:szCs w:val="24"/>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Hyperlink"/>
    <w:basedOn w:val="DefaultParagraphFont"/>
    <w:qFormat/>
    <w:rPr>
      <w:color w:val="0563C1"/>
      <w:u w:val="single"/>
    </w:rPr>
  </w:style>
  <w:style w:type="character" w:styleId="UnresolvedMention">
    <w:name w:val="Unresolved Mention"/>
    <w:basedOn w:val="DefaultParagraphFont"/>
    <w:qFormat/>
    <w:rPr>
      <w:color w:val="605E5C"/>
      <w:shd w:fill="E1DFDD" w:val="clear"/>
    </w:rPr>
  </w:style>
  <w:style w:type="character" w:styleId="HTMLSample">
    <w:name w:val="HTML Sample"/>
    <w:basedOn w:val="DefaultParagraphFont"/>
    <w:qFormat/>
    <w:rPr>
      <w:rFonts w:ascii="Courier New" w:hAnsi="Courier New" w:eastAsia="Times New Roman" w:cs="Courier New"/>
    </w:rPr>
  </w:style>
  <w:style w:type="character" w:styleId="PlaceholderText">
    <w:name w:val="Placeholder Text"/>
    <w:basedOn w:val="DefaultParagraphFont"/>
    <w:qFormat/>
    <w:rPr>
      <w:color w:val="808080"/>
    </w:rPr>
  </w:style>
  <w:style w:type="character" w:styleId="VisitedInternetLink">
    <w:name w:val="FollowedHyperlink"/>
    <w:basedOn w:val="DefaultParagraphFont"/>
    <w:rPr>
      <w:color w:val="954F72"/>
      <w:u w:val="single"/>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Times New Roman" w:hAnsi="Times New Roman" w:eastAsia="Times New Roman" w:cs="Times New Roman"/>
      <w:sz w:val="18"/>
      <w:szCs w:val="18"/>
    </w:rPr>
  </w:style>
  <w:style w:type="character" w:styleId="StrongEmphasis">
    <w:name w:val="Strong Emphasis"/>
    <w:qFormat/>
    <w:rPr>
      <w:b/>
      <w:bCs/>
    </w:rPr>
  </w:style>
  <w:style w:type="character" w:styleId="Heading1Char">
    <w:name w:val="Heading 1 Char"/>
    <w:basedOn w:val="DefaultParagraphFont"/>
    <w:link w:val="Heading1"/>
    <w:qFormat/>
    <w:rPr>
      <w:rFonts w:ascii="Times New Roman" w:hAnsi="Times New Roman" w:eastAsia="Calibri" w:cs="DejaVu Sans"/>
      <w:b/>
      <w:color w:val="000000"/>
      <w:sz w:val="32"/>
      <w:szCs w:val="32"/>
    </w:rPr>
  </w:style>
  <w:style w:type="character" w:styleId="StandardChar">
    <w:name w:val="Standard Char"/>
    <w:basedOn w:val="DefaultParagraphFont"/>
    <w:qFormat/>
    <w:rPr/>
  </w:style>
  <w:style w:type="character" w:styleId="ChapterChar">
    <w:name w:val="Chapter Char"/>
    <w:basedOn w:val="StandardChar"/>
    <w:link w:val="Chapter"/>
    <w:qFormat/>
    <w:rPr>
      <w:rFonts w:ascii="Times New Roman" w:hAnsi="Times New Roman" w:cs="Times New Roman"/>
      <w:b/>
      <w:bCs/>
      <w:sz w:val="28"/>
      <w:szCs w:val="28"/>
    </w:rPr>
  </w:style>
  <w:style w:type="character" w:styleId="NumberingSymbols">
    <w:name w:val="Numbering Symbols"/>
    <w:qFormat/>
    <w:rPr/>
  </w:style>
  <w:style w:type="character" w:styleId="Heading3Char">
    <w:name w:val="Heading 3 Char"/>
    <w:basedOn w:val="DefaultParagraphFont"/>
    <w:link w:val="Heading3"/>
    <w:qFormat/>
    <w:rPr>
      <w:rFonts w:ascii="Arial" w:hAnsi="Arial" w:eastAsia="Calibri" w:cs="DejaVu Sans"/>
      <w:b/>
      <w:color w:val="000000"/>
      <w:sz w:val="20"/>
      <w:szCs w:val="24"/>
    </w:rPr>
  </w:style>
  <w:style w:type="character" w:styleId="Style1Char">
    <w:name w:val="Style1 Char"/>
    <w:basedOn w:val="StandardChar"/>
    <w:link w:val="Style11"/>
    <w:qFormat/>
    <w:rPr/>
  </w:style>
  <w:style w:type="character" w:styleId="SubtleEmphasis">
    <w:name w:val="Subtle Emphasis"/>
    <w:basedOn w:val="DefaultParagraphFont"/>
    <w:qFormat/>
    <w:rPr>
      <w:i/>
      <w:iCs/>
      <w:color w:val="404040"/>
    </w:rPr>
  </w:style>
  <w:style w:type="character" w:styleId="Htmlitalic">
    <w:name w:val="html-italic"/>
    <w:basedOn w:val="DefaultParagraphFont"/>
    <w:qFormat/>
    <w:rPr/>
  </w:style>
  <w:style w:type="character" w:styleId="Mn">
    <w:name w:val="mn"/>
    <w:basedOn w:val="DefaultParagraphFont"/>
    <w:qFormat/>
    <w:rPr/>
  </w:style>
  <w:style w:type="character" w:styleId="Mtext">
    <w:name w:val="mtext"/>
    <w:basedOn w:val="DefaultParagraphFont"/>
    <w:qFormat/>
    <w:rPr/>
  </w:style>
  <w:style w:type="character" w:styleId="Mo">
    <w:name w:val="mo"/>
    <w:basedOn w:val="DefaultParagraphFont"/>
    <w:qFormat/>
    <w:rPr/>
  </w:style>
  <w:style w:type="character" w:styleId="Mi">
    <w:name w:val="mi"/>
    <w:basedOn w:val="DefaultParagraphFont"/>
    <w:qFormat/>
    <w:rPr/>
  </w:style>
  <w:style w:type="character" w:styleId="Docsumauthors">
    <w:name w:val="docsum-authors"/>
    <w:basedOn w:val="DefaultParagraphFont"/>
    <w:qFormat/>
    <w:rPr/>
  </w:style>
  <w:style w:type="character" w:styleId="Docsumjournalcitation">
    <w:name w:val="docsum-journal-citation"/>
    <w:basedOn w:val="DefaultParagraphFont"/>
    <w:qFormat/>
    <w:rPr/>
  </w:style>
  <w:style w:type="character" w:styleId="BDAbstractTitleChar">
    <w:name w:val="BD_Abstract_Title Char"/>
    <w:qFormat/>
    <w:rPr>
      <w:rFonts w:ascii="Arno Pro" w:hAnsi="Arno Pro" w:eastAsia="Arno Pro" w:cs="Arno Pro"/>
      <w:b/>
      <w:kern w:val="2"/>
      <w:sz w:val="19"/>
      <w:lang w:val="en-US" w:eastAsia="en-US" w:bidi="ar-SA"/>
    </w:rPr>
  </w:style>
  <w:style w:type="character" w:styleId="IndexLink">
    <w:name w:val="Index Link"/>
    <w:qFormat/>
    <w:rPr/>
  </w:style>
  <w:style w:type="paragraph" w:styleId="Heading">
    <w:name w:val="Heading"/>
    <w:basedOn w:val="Standard"/>
    <w:next w:val="Textbody1"/>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Standard"/>
    <w:qFormat/>
    <w:pPr>
      <w:suppressLineNumbers/>
    </w:pPr>
    <w:rPr>
      <w:rFonts w:cs="Lohit Devanagari"/>
    </w:rPr>
  </w:style>
  <w:style w:type="paragraph" w:styleId="Standard">
    <w:name w:val="Standard"/>
    <w:link w:val="StandardChar"/>
    <w:qFormat/>
    <w:pPr>
      <w:widowControl/>
      <w:suppressAutoHyphens w:val="true"/>
      <w:overflowPunct w:val="false"/>
      <w:bidi w:val="0"/>
      <w:spacing w:lineRule="auto" w:line="259" w:before="0" w:after="160"/>
      <w:jc w:val="left"/>
      <w:textAlignment w:val="baseline"/>
    </w:pPr>
    <w:rPr>
      <w:rFonts w:ascii="Arial" w:hAnsi="Arial" w:eastAsia="Calibri" w:cs="DejaVu Sans"/>
      <w:color w:val="auto"/>
      <w:kern w:val="0"/>
      <w:sz w:val="20"/>
      <w:szCs w:val="22"/>
      <w:lang w:val="en-US" w:eastAsia="en-US" w:bidi="ar-SA"/>
    </w:rPr>
  </w:style>
  <w:style w:type="paragraph" w:styleId="Textbody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rFonts w:cs="Lohit Devanagari"/>
      <w:i/>
      <w:iCs/>
      <w:sz w:val="24"/>
      <w:szCs w:val="24"/>
    </w:rPr>
  </w:style>
  <w:style w:type="paragraph" w:styleId="HeaderandFooter">
    <w:name w:val="Header and Footer"/>
    <w:basedOn w:val="Standard"/>
    <w:qFormat/>
    <w:pPr/>
    <w:rPr/>
  </w:style>
  <w:style w:type="paragraph" w:styleId="Header">
    <w:name w:val="Header"/>
    <w:basedOn w:val="Standard"/>
    <w:pPr>
      <w:tabs>
        <w:tab w:val="clear" w:pos="720"/>
        <w:tab w:val="center" w:pos="4680" w:leader="none"/>
        <w:tab w:val="right" w:pos="9360" w:leader="none"/>
      </w:tabs>
      <w:spacing w:lineRule="auto" w:line="240" w:before="0" w:after="0"/>
    </w:pPr>
    <w:rPr/>
  </w:style>
  <w:style w:type="paragraph" w:styleId="Footer">
    <w:name w:val="Footer"/>
    <w:basedOn w:val="Standard"/>
    <w:pPr>
      <w:tabs>
        <w:tab w:val="clear" w:pos="720"/>
        <w:tab w:val="center" w:pos="4680" w:leader="none"/>
        <w:tab w:val="right" w:pos="9360" w:leader="none"/>
      </w:tabs>
      <w:spacing w:lineRule="auto" w:line="240" w:before="0" w:after="0"/>
    </w:pPr>
    <w:rPr/>
  </w:style>
  <w:style w:type="paragraph" w:styleId="ListParagraph">
    <w:name w:val="List Paragraph"/>
    <w:basedOn w:val="Standard"/>
    <w:qFormat/>
    <w:pPr>
      <w:ind w:left="720" w:right="0" w:hanging="0"/>
    </w:pPr>
    <w:rPr/>
  </w:style>
  <w:style w:type="paragraph" w:styleId="Bibliography">
    <w:name w:val="Bibliography"/>
    <w:basedOn w:val="Standard"/>
    <w:next w:val="Standard"/>
    <w:qFormat/>
    <w:pPr>
      <w:tabs>
        <w:tab w:val="clear" w:pos="720"/>
        <w:tab w:val="left" w:pos="1008" w:leader="none"/>
      </w:tabs>
      <w:spacing w:lineRule="auto" w:line="240" w:before="0" w:after="0"/>
      <w:ind w:left="504" w:right="0" w:hanging="504"/>
    </w:pPr>
    <w:rPr/>
  </w:style>
  <w:style w:type="paragraph" w:styleId="Msonormal">
    <w:name w:val="msonormal"/>
    <w:basedOn w:val="Standard"/>
    <w:qFormat/>
    <w:pPr>
      <w:suppressAutoHyphens w:val="false"/>
      <w:spacing w:lineRule="auto" w:line="240" w:before="280" w:after="280"/>
    </w:pPr>
    <w:rPr>
      <w:rFonts w:ascii="Times New Roman" w:hAnsi="Times New Roman" w:eastAsia="Times New Roman" w:cs="Times New Roman"/>
      <w:sz w:val="24"/>
      <w:szCs w:val="24"/>
    </w:rPr>
  </w:style>
  <w:style w:type="paragraph" w:styleId="Annotationtext">
    <w:name w:val="annotation text"/>
    <w:basedOn w:val="Standard"/>
    <w:qFormat/>
    <w:pPr>
      <w:spacing w:lineRule="auto" w:line="240"/>
    </w:pPr>
    <w:rPr>
      <w:szCs w:val="20"/>
    </w:rPr>
  </w:style>
  <w:style w:type="paragraph" w:styleId="Annotationsubject">
    <w:name w:val="annotation subject"/>
    <w:basedOn w:val="Annotationtext"/>
    <w:next w:val="Annotationtext"/>
    <w:qFormat/>
    <w:pPr/>
    <w:rPr>
      <w:b/>
      <w:bCs/>
    </w:rPr>
  </w:style>
  <w:style w:type="paragraph" w:styleId="BalloonText">
    <w:name w:val="Balloon Text"/>
    <w:basedOn w:val="Standard"/>
    <w:qFormat/>
    <w:pPr>
      <w:spacing w:lineRule="auto" w:line="240" w:before="0" w:after="0"/>
    </w:pPr>
    <w:rPr>
      <w:rFonts w:ascii="Times New Roman" w:hAnsi="Times New Roman" w:eastAsia="Times New Roman" w:cs="Times New Roman"/>
      <w:sz w:val="18"/>
      <w:szCs w:val="18"/>
    </w:rPr>
  </w:style>
  <w:style w:type="paragraph" w:styleId="BATitle">
    <w:name w:val="BA_Title"/>
    <w:basedOn w:val="Standard"/>
    <w:next w:val="BBAuthorName"/>
    <w:qFormat/>
    <w:pPr>
      <w:spacing w:before="1400" w:after="180"/>
    </w:pPr>
    <w:rPr>
      <w:rFonts w:ascii="Myriad Pro Light" w:hAnsi="Myriad Pro Light" w:eastAsia="Myriad Pro Light" w:cs="Myriad Pro Light"/>
      <w:b/>
      <w:kern w:val="2"/>
      <w:sz w:val="34"/>
    </w:rPr>
  </w:style>
  <w:style w:type="paragraph" w:styleId="BBAuthorName">
    <w:name w:val="BB_Author_Name"/>
    <w:basedOn w:val="Standard"/>
    <w:next w:val="BCAuthorAddress"/>
    <w:qFormat/>
    <w:pPr>
      <w:spacing w:before="0" w:after="180"/>
    </w:pPr>
    <w:rPr>
      <w:rFonts w:ascii="Arno Pro" w:hAnsi="Arno Pro" w:eastAsia="Arno Pro" w:cs="Arno Pro"/>
      <w:kern w:val="2"/>
    </w:rPr>
  </w:style>
  <w:style w:type="paragraph" w:styleId="BCAuthorAddress">
    <w:name w:val="BC_Author_Address"/>
    <w:basedOn w:val="Standard"/>
    <w:next w:val="BIEmailAddress"/>
    <w:qFormat/>
    <w:pPr>
      <w:spacing w:before="0" w:after="60"/>
    </w:pPr>
    <w:rPr>
      <w:rFonts w:ascii="Arno Pro" w:hAnsi="Arno Pro" w:eastAsia="Arno Pro" w:cs="Arno Pro"/>
      <w:kern w:val="2"/>
    </w:rPr>
  </w:style>
  <w:style w:type="paragraph" w:styleId="BIEmailAddress">
    <w:name w:val="BI_Email_Address"/>
    <w:basedOn w:val="Standard"/>
    <w:next w:val="AIReceivedDate"/>
    <w:qFormat/>
    <w:pPr>
      <w:spacing w:before="0" w:after="100"/>
    </w:pPr>
    <w:rPr>
      <w:rFonts w:ascii="Arno Pro" w:hAnsi="Arno Pro" w:eastAsia="Arno Pro" w:cs="Arno Pro"/>
      <w:sz w:val="18"/>
    </w:rPr>
  </w:style>
  <w:style w:type="paragraph" w:styleId="AIReceivedDate">
    <w:name w:val="AI_Received_Date"/>
    <w:basedOn w:val="Standard"/>
    <w:next w:val="Standard"/>
    <w:qFormat/>
    <w:pPr>
      <w:spacing w:before="0" w:after="100"/>
    </w:pPr>
    <w:rPr>
      <w:rFonts w:ascii="Arno Pro" w:hAnsi="Arno Pro" w:eastAsia="Arno Pro" w:cs="Arno Pro"/>
      <w:sz w:val="18"/>
    </w:rPr>
  </w:style>
  <w:style w:type="paragraph" w:styleId="TableContents">
    <w:name w:val="Table Contents"/>
    <w:basedOn w:val="Standard"/>
    <w:qFormat/>
    <w:pPr>
      <w:suppressLineNumbers/>
    </w:pPr>
    <w:rPr/>
  </w:style>
  <w:style w:type="paragraph" w:styleId="TableHeading">
    <w:name w:val="Table Heading"/>
    <w:basedOn w:val="TableContents"/>
    <w:qFormat/>
    <w:pPr>
      <w:jc w:val="center"/>
    </w:pPr>
    <w:rPr>
      <w:b/>
      <w:bCs/>
    </w:rPr>
  </w:style>
  <w:style w:type="paragraph" w:styleId="NormalWeb">
    <w:name w:val="Normal (Web)"/>
    <w:basedOn w:val="Normal"/>
    <w:qFormat/>
    <w:pPr/>
    <w:rPr>
      <w:rFonts w:ascii="Times New Roman" w:hAnsi="Times New Roman" w:cs="Times New Roman"/>
      <w:sz w:val="24"/>
      <w:szCs w:val="24"/>
    </w:rPr>
  </w:style>
  <w:style w:type="paragraph" w:styleId="Chapter">
    <w:name w:val="Chapter"/>
    <w:basedOn w:val="Standard"/>
    <w:link w:val="ChapterChar"/>
    <w:qFormat/>
    <w:pPr>
      <w:pageBreakBefore/>
    </w:pPr>
    <w:rPr>
      <w:rFonts w:ascii="Times New Roman" w:hAnsi="Times New Roman" w:cs="Times New Roman"/>
      <w:b/>
      <w:bCs/>
      <w:sz w:val="28"/>
      <w:szCs w:val="28"/>
    </w:rPr>
  </w:style>
  <w:style w:type="paragraph" w:styleId="Contents1">
    <w:name w:val="TOC 1"/>
    <w:basedOn w:val="Normal"/>
    <w:next w:val="Normal"/>
    <w:autoRedefine/>
    <w:pPr>
      <w:tabs>
        <w:tab w:val="clear" w:pos="720"/>
        <w:tab w:val="right" w:pos="9350" w:leader="dot"/>
      </w:tabs>
      <w:spacing w:before="0" w:after="100"/>
    </w:pPr>
    <w:rPr/>
  </w:style>
  <w:style w:type="paragraph" w:styleId="IndexHeading">
    <w:name w:val="Index Heading"/>
    <w:basedOn w:val="Heading"/>
    <w:pPr/>
    <w:rPr/>
  </w:style>
  <w:style w:type="paragraph" w:styleId="ContentsHeading">
    <w:name w:val="TOC Heading"/>
    <w:basedOn w:val="Heading1"/>
    <w:next w:val="Normal"/>
    <w:pPr>
      <w:widowControl/>
      <w:suppressAutoHyphens w:val="false"/>
      <w:spacing w:lineRule="auto" w:line="259"/>
      <w:textAlignment w:val="auto"/>
      <w:outlineLvl w:val="9"/>
    </w:pPr>
    <w:rPr/>
  </w:style>
  <w:style w:type="paragraph" w:styleId="Contents2">
    <w:name w:val="TOC 2"/>
    <w:basedOn w:val="Normal"/>
    <w:next w:val="Normal"/>
    <w:autoRedefine/>
    <w:pPr>
      <w:spacing w:before="0" w:after="100"/>
      <w:ind w:left="220" w:right="0" w:hanging="0"/>
    </w:pPr>
    <w:rPr/>
  </w:style>
  <w:style w:type="paragraph" w:styleId="VDTableTitle">
    <w:name w:val="VD_Table_Title"/>
    <w:basedOn w:val="Normal"/>
    <w:next w:val="Normal"/>
    <w:qFormat/>
    <w:pPr>
      <w:widowControl/>
      <w:suppressAutoHyphens w:val="false"/>
      <w:textAlignment w:val="auto"/>
    </w:pPr>
    <w:rPr>
      <w:rFonts w:ascii="Arno Pro" w:hAnsi="Arno Pro" w:eastAsia="Arno Pro" w:cs="Arno Pro"/>
      <w:b/>
      <w:kern w:val="2"/>
      <w:sz w:val="16"/>
      <w:szCs w:val="16"/>
      <w:lang w:eastAsia="zh-CN" w:bidi="hi-IN"/>
    </w:rPr>
  </w:style>
  <w:style w:type="paragraph" w:styleId="Style11">
    <w:name w:val="Style1"/>
    <w:basedOn w:val="Standard"/>
    <w:link w:val="Style1Char"/>
    <w:qFormat/>
    <w:pPr/>
    <w:rPr/>
  </w:style>
  <w:style w:type="paragraph" w:styleId="Contents3">
    <w:name w:val="TOC 3"/>
    <w:basedOn w:val="Normal"/>
    <w:next w:val="Normal"/>
    <w:autoRedefine/>
    <w:pPr>
      <w:tabs>
        <w:tab w:val="clear" w:pos="720"/>
        <w:tab w:val="right" w:pos="9350" w:leader="dot"/>
      </w:tabs>
      <w:spacing w:before="0" w:after="100"/>
      <w:ind w:left="440" w:right="0" w:hanging="0"/>
    </w:pPr>
    <w:rPr/>
  </w:style>
  <w:style w:type="paragraph" w:styleId="Revision">
    <w:name w:val="Revision"/>
    <w:qFormat/>
    <w:pPr>
      <w:widowControl/>
      <w:suppressAutoHyphens w:val="false"/>
      <w:overflowPunct w:val="false"/>
      <w:bidi w:val="0"/>
      <w:spacing w:before="0" w:after="0"/>
      <w:jc w:val="left"/>
      <w:textAlignment w:val="auto"/>
    </w:pPr>
    <w:rPr>
      <w:rFonts w:ascii="Arial" w:hAnsi="Arial" w:eastAsia="Calibri" w:cs="DejaVu Sans"/>
      <w:color w:val="auto"/>
      <w:kern w:val="0"/>
      <w:sz w:val="20"/>
      <w:szCs w:val="22"/>
      <w:lang w:val="en-US" w:eastAsia="en-US" w:bidi="ar-SA"/>
    </w:rPr>
  </w:style>
  <w:style w:type="numbering" w:styleId="NoList">
    <w:name w:val="No List"/>
    <w:qFormat/>
  </w:style>
  <w:style w:type="numbering" w:styleId="NoList1">
    <w:name w:val="No List_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emf"/><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yperlink" Target="https://doi.org/10.1093/nar/gkz019" TargetMode="External"/><Relationship Id="rId9" Type="http://schemas.openxmlformats.org/officeDocument/2006/relationships/footer" Target="footer3.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1162</TotalTime>
  <Application>LibreOffice/7.3.6.2$Linux_X86_64 LibreOffice_project/30$Build-2</Application>
  <AppVersion>15.0000</AppVersion>
  <Pages>9</Pages>
  <Words>1029</Words>
  <Characters>5856</Characters>
  <CharactersWithSpaces>6824</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2022-08-15T22:19:00Z</dcterms:created>
  <dc:creator>Sieg, Jacob Philip</dc:creator>
  <dc:description/>
  <dc:language>en-US</dc:language>
  <cp:lastModifiedBy/>
  <cp:lastPrinted>2022-08-18T13:13:00Z</cp:lastPrinted>
  <dcterms:modified xsi:type="dcterms:W3CDTF">2022-10-28T15:43:20Z</dcterms:modified>
  <cp:revision>105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ZOTERO_PREF_1">
    <vt:lpwstr>&lt;data data-version="3" zotero-version="6.0.12"&gt;&lt;session id="lx5fe08I"/&gt;&lt;style id="http://www.zotero.org/styles/american-chemical-society" hasBibliography="1" bibliographyStyleHasBeenSet="1"/&gt;&lt;prefs&gt;&lt;pref name="fieldType" value="Field"/&gt;&lt;pref name="automat</vt:lpwstr>
  </property>
  <property fmtid="{D5CDD505-2E9C-101B-9397-08002B2CF9AE}" pid="7" name="ZOTERO_PREF_2">
    <vt:lpwstr>icJournalAbbreviations" value="true"/&gt;&lt;pref name="dontAskDelayCitationUpdates" value="true"/&gt;&lt;/prefs&gt;&lt;/data&gt;</vt:lpwstr>
  </property>
</Properties>
</file>