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both"/>
        <w:rPr>
          <w:rFonts w:ascii="Times New Roman" w:hAnsi="Times New Roman" w:cs="Times New Roman"/>
          <w:b/>
          <w:b/>
          <w:bCs/>
          <w:sz w:val="28"/>
          <w:szCs w:val="28"/>
        </w:rPr>
      </w:pPr>
      <w:r>
        <w:rPr>
          <w:rFonts w:cs="Times New Roman" w:ascii="Times New Roman" w:hAnsi="Times New Roman"/>
          <w:b/>
          <w:bCs/>
          <w:sz w:val="28"/>
          <w:szCs w:val="28"/>
        </w:rPr>
        <w:t>Supplementary Information</w:t>
      </w:r>
    </w:p>
    <w:p>
      <w:pPr>
        <w:pStyle w:val="BATitle"/>
        <w:jc w:val="center"/>
        <w:rPr>
          <w:rFonts w:ascii="Times New Roman" w:hAnsi="Times New Roman" w:eastAsia="Times New Roman" w:cs="Times New Roman"/>
          <w:b w:val="false"/>
          <w:b w:val="false"/>
          <w:kern w:val="2"/>
          <w:sz w:val="36"/>
          <w:szCs w:val="36"/>
        </w:rPr>
      </w:pPr>
      <w:r>
        <w:rPr>
          <w:rFonts w:eastAsia="Times New Roman" w:cs="Times New Roman" w:ascii="Times New Roman" w:hAnsi="Times New Roman"/>
          <w:b w:val="false"/>
          <w:kern w:val="2"/>
          <w:sz w:val="36"/>
          <w:szCs w:val="36"/>
        </w:rPr>
        <w:t xml:space="preserve">MeltR: A Software package for Facile Determination of </w:t>
        <w:br/>
        <w:t>RNA Folding Energies from Absorbance Data</w:t>
      </w:r>
    </w:p>
    <w:p>
      <w:pPr>
        <w:pStyle w:val="Standard"/>
        <w:jc w:val="center"/>
        <w:rPr/>
      </w:pPr>
      <w:r>
        <w:rPr>
          <w:rFonts w:cs="Times New Roman" w:ascii="Times New Roman" w:hAnsi="Times New Roman"/>
          <w:position w:val="0"/>
          <w:sz w:val="28"/>
          <w:sz w:val="28"/>
          <w:szCs w:val="22"/>
          <w:vertAlign w:val="baseline"/>
        </w:rPr>
        <w:t>Jacob P. Sieg</w:t>
      </w:r>
      <w:r>
        <w:rPr>
          <w:rFonts w:cs="Times New Roman" w:ascii="Times New Roman" w:hAnsi="Times New Roman"/>
          <w:sz w:val="28"/>
          <w:szCs w:val="22"/>
          <w:vertAlign w:val="superscript"/>
        </w:rPr>
        <w:t>1,2</w:t>
      </w:r>
      <w:r>
        <w:rPr>
          <w:rFonts w:cs="Times New Roman" w:ascii="Times New Roman" w:hAnsi="Times New Roman"/>
          <w:position w:val="0"/>
          <w:sz w:val="28"/>
          <w:sz w:val="28"/>
          <w:szCs w:val="22"/>
          <w:vertAlign w:val="baseline"/>
        </w:rPr>
        <w:t>, Sebastian Arteaga, Brent Znosko, Philip C. Bevilacqua</w:t>
      </w:r>
      <w:r>
        <w:rPr>
          <w:rFonts w:cs="Times New Roman" w:ascii="Times New Roman" w:hAnsi="Times New Roman"/>
          <w:sz w:val="28"/>
          <w:szCs w:val="22"/>
          <w:vertAlign w:val="superscript"/>
        </w:rPr>
        <w:t>1,2,3</w:t>
      </w:r>
    </w:p>
    <w:p>
      <w:pPr>
        <w:pStyle w:val="Standard"/>
        <w:jc w:val="both"/>
        <w:rPr>
          <w:rFonts w:ascii="Times New Roman" w:hAnsi="Times New Roman" w:cs="Times New Roman"/>
        </w:rPr>
      </w:pPr>
      <w:r>
        <w:rPr>
          <w:rFonts w:cs="Times New Roman" w:ascii="Times New Roman" w:hAnsi="Times New Roman"/>
        </w:rPr>
      </w:r>
    </w:p>
    <w:p>
      <w:pPr>
        <w:pStyle w:val="Normal"/>
        <w:bidi w:val="0"/>
        <w:spacing w:lineRule="auto" w:line="480"/>
        <w:jc w:val="left"/>
        <w:rPr/>
      </w:pPr>
      <w:r>
        <w:rPr>
          <w:rFonts w:cs="Times New Roman" w:ascii="Times New Roman" w:hAnsi="Times New Roman"/>
          <w:sz w:val="22"/>
          <w:szCs w:val="22"/>
          <w:vertAlign w:val="superscript"/>
        </w:rPr>
        <w:t>1</w:t>
      </w:r>
      <w:r>
        <w:rPr>
          <w:rFonts w:cs="Times New Roman" w:ascii="Times New Roman" w:hAnsi="Times New Roman"/>
          <w:sz w:val="22"/>
          <w:szCs w:val="22"/>
        </w:rPr>
        <w:t>Department of Chemistry, Pennsylvania State University, University Park, PA 16802.</w:t>
      </w:r>
    </w:p>
    <w:p>
      <w:pPr>
        <w:pStyle w:val="Normal"/>
        <w:bidi w:val="0"/>
        <w:spacing w:lineRule="auto" w:line="480"/>
        <w:jc w:val="left"/>
        <w:rPr>
          <w:rFonts w:ascii="Times New Roman" w:hAnsi="Times New Roman" w:cs="Times New Roman"/>
        </w:rPr>
      </w:pPr>
      <w:r>
        <w:rPr>
          <w:rFonts w:cs="Times New Roman" w:ascii="Times New Roman" w:hAnsi="Times New Roman"/>
          <w:sz w:val="22"/>
          <w:szCs w:val="22"/>
          <w:vertAlign w:val="superscript"/>
        </w:rPr>
        <w:t>2</w:t>
      </w:r>
      <w:r>
        <w:rPr>
          <w:rFonts w:cs="Times New Roman" w:ascii="Times New Roman" w:hAnsi="Times New Roman"/>
          <w:sz w:val="22"/>
          <w:szCs w:val="22"/>
        </w:rPr>
        <w:t>Center for RNA Molecular Biology, Pennsylvania State University, University Park, PA 16802.</w:t>
      </w:r>
    </w:p>
    <w:p>
      <w:pPr>
        <w:pStyle w:val="Normal"/>
        <w:bidi w:val="0"/>
        <w:spacing w:lineRule="auto" w:line="480"/>
        <w:jc w:val="left"/>
        <w:rPr>
          <w:rFonts w:ascii="Times New Roman" w:hAnsi="Times New Roman" w:cs="Times New Roman"/>
        </w:rPr>
      </w:pPr>
      <w:r>
        <w:rPr>
          <w:rFonts w:cs="Times New Roman" w:ascii="Times New Roman" w:hAnsi="Times New Roman"/>
          <w:sz w:val="22"/>
          <w:szCs w:val="22"/>
          <w:vertAlign w:val="superscript"/>
        </w:rPr>
        <w:t>3</w:t>
      </w:r>
      <w:r>
        <w:rPr>
          <w:rFonts w:cs="Times New Roman" w:ascii="Times New Roman" w:hAnsi="Times New Roman"/>
          <w:sz w:val="22"/>
          <w:szCs w:val="22"/>
        </w:rPr>
        <w:t>Department of Biochemistry and Molecular Biology, Pennsylvania State University, University Park, PA 16802.</w:t>
      </w:r>
    </w:p>
    <w:p>
      <w:pPr>
        <w:pStyle w:val="Standard"/>
        <w:jc w:val="both"/>
        <w:rPr>
          <w:rFonts w:ascii="Times New Roman" w:hAnsi="Times New Roman" w:cs="Times New Roman"/>
          <w:b/>
          <w:b/>
        </w:rPr>
      </w:pPr>
      <w:r>
        <w:rPr>
          <w:rFonts w:cs="Times New Roman" w:ascii="Times New Roman" w:hAnsi="Times New Roman"/>
          <w:b/>
        </w:rPr>
        <w:t>Keywords</w:t>
      </w:r>
    </w:p>
    <w:p>
      <w:pPr>
        <w:pStyle w:val="Standard"/>
        <w:jc w:val="both"/>
        <w:rPr>
          <w:rFonts w:ascii="Times New Roman" w:hAnsi="Times New Roman" w:cs="Times New Roman"/>
        </w:rPr>
      </w:pPr>
      <w:r>
        <w:rPr>
          <w:rFonts w:cs="Times New Roman" w:ascii="Times New Roman" w:hAnsi="Times New Roman"/>
        </w:rPr>
        <w:t>Magnesium ion, Metabolites, Chelated magnesium, RNA folding, RNA function, Near-cellular condition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rPr>
      </w:pPr>
      <w:r>
        <w:rPr>
          <w:rFonts w:cs="Times New Roman" w:ascii="Times New Roman" w:hAnsi="Times New Roman"/>
          <w:b/>
        </w:rPr>
        <w:t>ORCID:</w:t>
      </w:r>
    </w:p>
    <w:p>
      <w:pPr>
        <w:pStyle w:val="Standard"/>
        <w:jc w:val="left"/>
        <w:rPr>
          <w:rFonts w:ascii="Times New Roman" w:hAnsi="Times New Roman" w:cs="Times New Roman"/>
        </w:rPr>
      </w:pPr>
      <w:r>
        <w:rPr>
          <w:rFonts w:cs="Times New Roman" w:ascii="Times New Roman" w:hAnsi="Times New Roman"/>
        </w:rPr>
        <w:t>Jacob P. Sieg: 0000-0001-5414-1667</w:t>
      </w:r>
    </w:p>
    <w:p>
      <w:pPr>
        <w:pStyle w:val="Standard"/>
        <w:jc w:val="left"/>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w:t>Sebastian Arteaga:</w:t>
      </w:r>
    </w:p>
    <w:p>
      <w:pPr>
        <w:pStyle w:val="Standard"/>
        <w:jc w:val="left"/>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w:t>Brent Znosko:</w:t>
      </w:r>
    </w:p>
    <w:p>
      <w:pPr>
        <w:pStyle w:val="Standard"/>
        <w:jc w:val="left"/>
        <w:rPr>
          <w:rFonts w:ascii="Times New Roman" w:hAnsi="Times New Roman" w:cs="Times New Roman"/>
        </w:rPr>
      </w:pPr>
      <w:r>
        <w:rPr>
          <w:rFonts w:cs="Times New Roman" w:ascii="Times New Roman" w:hAnsi="Times New Roman"/>
        </w:rPr>
        <w:t>Philip C. Bevilacqua: 0000-0001-8074-3434</w:t>
      </w:r>
    </w:p>
    <w:p>
      <w:pPr>
        <w:pStyle w:val="Standard"/>
        <w:jc w:val="both"/>
        <w:rPr>
          <w:rFonts w:ascii="Times New Roman" w:hAnsi="Times New Roman" w:cs="Times New Roman"/>
        </w:rPr>
      </w:pPr>
      <w:r>
        <w:rPr>
          <w:rFonts w:cs="Times New Roman" w:ascii="Times New Roman" w:hAnsi="Times New Roman"/>
        </w:rPr>
        <w:t>*Corresponding author</w:t>
      </w:r>
    </w:p>
    <w:p>
      <w:pPr>
        <w:pStyle w:val="Normal"/>
        <w:jc w:val="both"/>
        <w:rPr>
          <w:rFonts w:ascii="Times New Roman" w:hAnsi="Times New Roman" w:cs="Times New Roman"/>
        </w:rPr>
      </w:pPr>
      <w:r>
        <w:rPr>
          <w:rFonts w:cs="Times New Roman" w:ascii="Times New Roman" w:hAnsi="Times New Roman"/>
        </w:rPr>
      </w:r>
    </w:p>
    <w:sdt>
      <w:sdtPr>
        <w:docPartObj>
          <w:docPartGallery w:val="Table of Contents"/>
          <w:docPartUnique w:val="true"/>
        </w:docPartObj>
      </w:sdtPr>
      <w:sdtContent>
        <w:p>
          <w:pPr>
            <w:pStyle w:val="ContentsHeading"/>
            <w:rPr/>
          </w:pPr>
          <w:r>
            <w:br w:type="page"/>
          </w:r>
          <w:r>
            <w:rPr/>
            <w:t>Table of Contents</w:t>
          </w:r>
        </w:p>
        <w:p>
          <w:pPr>
            <w:pStyle w:val="Contents1"/>
            <w:tabs>
              <w:tab w:val="clear" w:pos="9350"/>
              <w:tab w:val="right" w:pos="9360" w:leader="dot"/>
            </w:tabs>
            <w:rPr/>
          </w:pPr>
          <w:r>
            <w:fldChar w:fldCharType="begin"/>
          </w:r>
          <w:r>
            <w:rPr>
              <w:rStyle w:val="IndexLink"/>
            </w:rPr>
            <w:instrText xml:space="preserve"> TOC \f \o "1-4" \h</w:instrText>
          </w:r>
          <w:r>
            <w:rPr>
              <w:rStyle w:val="IndexLink"/>
            </w:rPr>
            <w:fldChar w:fldCharType="separate"/>
          </w:r>
          <w:hyperlink w:anchor="__RefHeading___Toc99306_3449495920">
            <w:r>
              <w:rPr>
                <w:rStyle w:val="IndexLink"/>
              </w:rPr>
              <w:t>Supplementary information figures</w:t>
              <w:tab/>
              <w:t>3</w:t>
            </w:r>
          </w:hyperlink>
        </w:p>
        <w:p>
          <w:pPr>
            <w:pStyle w:val="Contents1"/>
            <w:tabs>
              <w:tab w:val="clear" w:pos="9350"/>
              <w:tab w:val="right" w:pos="9360" w:leader="dot"/>
            </w:tabs>
            <w:rPr/>
          </w:pPr>
          <w:hyperlink w:anchor="__RefHeading___Toc99308_3449495920">
            <w:r>
              <w:rPr>
                <w:rStyle w:val="IndexLink"/>
              </w:rPr>
              <w:t>Supplementary information tables</w:t>
              <w:tab/>
              <w:t>6</w:t>
            </w:r>
          </w:hyperlink>
        </w:p>
        <w:p>
          <w:pPr>
            <w:pStyle w:val="Contents1"/>
            <w:tabs>
              <w:tab w:val="clear" w:pos="9350"/>
              <w:tab w:val="right" w:pos="9360" w:leader="dot"/>
            </w:tabs>
            <w:rPr/>
          </w:pPr>
          <w:hyperlink w:anchor="__RefHeading___Toc99310_3449495920">
            <w:r>
              <w:rPr>
                <w:rStyle w:val="IndexLink"/>
              </w:rPr>
              <w:t>Supplementary information references</w:t>
              <w:tab/>
              <w:t>12</w:t>
            </w:r>
          </w:hyperlink>
          <w:r>
            <w:rPr>
              <w:rStyle w:val="IndexLink"/>
            </w:rPr>
            <w:fldChar w:fldCharType="end"/>
          </w:r>
        </w:p>
      </w:sdtContent>
    </w:sdt>
    <w:p>
      <w:pPr>
        <w:pStyle w:val="Heading1"/>
        <w:ind w:left="0" w:hanging="0"/>
        <w:jc w:val="both"/>
        <w:rPr/>
      </w:pPr>
      <w:r>
        <w:br w:type="page"/>
      </w:r>
      <w:bookmarkStart w:id="0" w:name="__RefHeading___Toc99306_3449495920"/>
      <w:bookmarkStart w:id="1" w:name="_Toc111794058"/>
      <w:bookmarkStart w:id="2" w:name="_Toc108513666"/>
      <w:bookmarkEnd w:id="0"/>
      <w:r>
        <w:rPr/>
        <w:t>Supplementary information figures</w:t>
      </w:r>
      <w:bookmarkEnd w:id="1"/>
      <w:bookmarkEnd w:id="2"/>
    </w:p>
    <w:p>
      <w:pPr>
        <w:pStyle w:val="Normal"/>
        <w:jc w:val="both"/>
        <w:rPr/>
      </w:pPr>
      <w:r>
        <w:rPr/>
      </w:r>
    </w:p>
    <w:p>
      <w:pPr>
        <w:pStyle w:val="Normal"/>
        <w:jc w:val="center"/>
        <w:rPr/>
      </w:pPr>
      <w:r>
        <w:rPr/>
        <w:drawing>
          <wp:inline distT="0" distB="0" distL="0" distR="0">
            <wp:extent cx="3854450" cy="558736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854450" cy="5587365"/>
                    </a:xfrm>
                    <a:prstGeom prst="rect">
                      <a:avLst/>
                    </a:prstGeom>
                  </pic:spPr>
                </pic:pic>
              </a:graphicData>
            </a:graphic>
          </wp:inline>
        </w:drawing>
      </w:r>
    </w:p>
    <w:p>
      <w:pPr>
        <w:pStyle w:val="Normal"/>
        <w:jc w:val="both"/>
        <w:rPr/>
      </w:pPr>
      <w:bookmarkStart w:id="3" w:name="_Toc108513667"/>
      <w:bookmarkStart w:id="4" w:name="_Toc111794059"/>
      <w:r>
        <w:rPr>
          <w:rStyle w:val="Heading3Char"/>
        </w:rPr>
        <w:t>SI Figure 1</w:t>
      </w:r>
      <w:bookmarkEnd w:id="3"/>
      <w:bookmarkEnd w:id="4"/>
      <w:r>
        <w:rPr>
          <w:rStyle w:val="Heading3Char"/>
        </w:rPr>
        <w:t xml:space="preserve">  </w:t>
      </w:r>
      <w:r>
        <w:rPr>
          <w:rStyle w:val="Heading3Char"/>
          <w:b w:val="false"/>
          <w:bCs w:val="false"/>
        </w:rPr>
        <w:t xml:space="preserve">Precanned meltR.A figures and tables for assessing the quality of the results are written as PDF and comma separated value files, respectively. Black circles represent data points and red lines represent fits. </w:t>
      </w:r>
      <w:r>
        <w:rPr>
          <w:rStyle w:val="Heading3Char"/>
          <w:b/>
          <w:bCs/>
        </w:rPr>
        <w:t>(A)</w:t>
      </w:r>
      <w:r>
        <w:rPr>
          <w:rStyle w:val="Heading3Char"/>
          <w:b w:val="false"/>
          <w:bCs w:val="false"/>
        </w:rPr>
        <w:t xml:space="preserve"> Raw data fit using method 1, fitting the melting curve for each sample individually. </w:t>
      </w:r>
      <w:r>
        <w:rPr>
          <w:rStyle w:val="Heading3Char"/>
          <w:b/>
          <w:bCs/>
        </w:rPr>
        <w:t>(B)</w:t>
      </w:r>
      <w:r>
        <w:rPr>
          <w:rStyle w:val="Heading3Char"/>
          <w:b w:val="false"/>
          <w:bCs w:val="false"/>
        </w:rPr>
        <w:t xml:space="preserve"> Normalized data fit using method 1. Data were normalized to calculate the Absorbtivity at each temperature by dividing the raw absorbance by the strand concentration and the pathlength of the cuvette. </w:t>
      </w:r>
      <w:r>
        <w:rPr>
          <w:rStyle w:val="Heading3Char"/>
          <w:b/>
          <w:bCs/>
        </w:rPr>
        <w:t xml:space="preserve">(C) </w:t>
      </w:r>
      <w:r>
        <w:rPr>
          <w:rStyle w:val="Heading3Char"/>
          <w:b w:val="false"/>
          <w:bCs w:val="false"/>
        </w:rPr>
        <w:t>Table summarizing the individual fits for method 1. Sample is the sample identifier in the data. Ct is the total RNA strand concentration, C</w:t>
      </w:r>
      <w:r>
        <w:rPr>
          <w:rStyle w:val="Heading3Char"/>
          <w:b w:val="false"/>
          <w:bCs w:val="false"/>
          <w:vertAlign w:val="subscript"/>
        </w:rPr>
        <w:t>t</w:t>
      </w:r>
      <w:r>
        <w:rPr>
          <w:rStyle w:val="Heading3Char"/>
          <w:b w:val="false"/>
          <w:bCs w:val="false"/>
          <w:position w:val="0"/>
          <w:sz w:val="20"/>
          <w:sz w:val="20"/>
          <w:vertAlign w:val="baseline"/>
        </w:rPr>
        <w:t>. H is the helix association enthalpy, ΔH°, in kcal/mol. S is the helix association entropy, ΔS°, in cal/mol/K. G is the free energy at 37 °C of helix association entropy, ΔG°</w:t>
      </w:r>
      <w:r>
        <w:rPr>
          <w:rStyle w:val="Heading3Char"/>
          <w:b w:val="false"/>
          <w:bCs w:val="false"/>
          <w:vertAlign w:val="subscript"/>
        </w:rPr>
        <w:t>37</w:t>
      </w:r>
      <w:r>
        <w:rPr>
          <w:rStyle w:val="Heading3Char"/>
          <w:b w:val="false"/>
          <w:bCs w:val="false"/>
          <w:position w:val="0"/>
          <w:sz w:val="20"/>
          <w:sz w:val="20"/>
          <w:vertAlign w:val="baseline"/>
        </w:rPr>
        <w:t>, in kcal/mol. Tm is the melting temperature, T</w:t>
      </w:r>
      <w:r>
        <w:rPr>
          <w:rStyle w:val="Heading3Char"/>
          <w:b w:val="false"/>
          <w:bCs w:val="false"/>
          <w:vertAlign w:val="subscript"/>
        </w:rPr>
        <w:t>m</w:t>
      </w:r>
      <w:r>
        <w:rPr>
          <w:rStyle w:val="Heading3Char"/>
          <w:b w:val="false"/>
          <w:bCs w:val="false"/>
          <w:position w:val="0"/>
          <w:sz w:val="20"/>
          <w:sz w:val="20"/>
          <w:vertAlign w:val="baseline"/>
        </w:rPr>
        <w:t xml:space="preserve">, of the curve in °C. </w:t>
      </w:r>
      <w:r>
        <w:rPr>
          <w:rStyle w:val="Heading3Char"/>
          <w:b/>
          <w:bCs/>
          <w:position w:val="0"/>
          <w:sz w:val="20"/>
          <w:sz w:val="20"/>
          <w:vertAlign w:val="baseline"/>
        </w:rPr>
        <w:t xml:space="preserve">(D) </w:t>
      </w:r>
      <w:r>
        <w:rPr>
          <w:rStyle w:val="Heading3Char"/>
          <w:b w:val="false"/>
          <w:bCs w:val="false"/>
          <w:position w:val="0"/>
          <w:sz w:val="20"/>
          <w:sz w:val="20"/>
          <w:vertAlign w:val="baseline"/>
        </w:rPr>
        <w:t>Plot of 1/T</w:t>
      </w:r>
      <w:r>
        <w:rPr>
          <w:rStyle w:val="Heading3Char"/>
          <w:b w:val="false"/>
          <w:bCs w:val="false"/>
          <w:vertAlign w:val="subscript"/>
        </w:rPr>
        <w:t>m</w:t>
      </w:r>
      <w:r>
        <w:rPr>
          <w:rStyle w:val="Heading3Char"/>
          <w:b w:val="false"/>
          <w:bCs w:val="false"/>
          <w:position w:val="0"/>
          <w:sz w:val="20"/>
          <w:sz w:val="20"/>
          <w:vertAlign w:val="baseline"/>
        </w:rPr>
        <w:t xml:space="preserve"> versus the natural log of the C</w:t>
      </w:r>
      <w:r>
        <w:rPr>
          <w:rStyle w:val="Heading3Char"/>
          <w:b w:val="false"/>
          <w:bCs w:val="false"/>
          <w:vertAlign w:val="subscript"/>
        </w:rPr>
        <w:t xml:space="preserve">t </w:t>
      </w:r>
      <w:r>
        <w:rPr>
          <w:rStyle w:val="Heading3Char"/>
          <w:b w:val="false"/>
          <w:bCs w:val="false"/>
          <w:position w:val="0"/>
          <w:sz w:val="20"/>
          <w:sz w:val="20"/>
          <w:vertAlign w:val="baseline"/>
        </w:rPr>
        <w:t xml:space="preserve">, used to determine folding energies for method 2. </w:t>
      </w:r>
      <w:r>
        <w:rPr>
          <w:rStyle w:val="Heading3Char"/>
          <w:b/>
          <w:bCs/>
          <w:position w:val="0"/>
          <w:sz w:val="20"/>
          <w:sz w:val="20"/>
          <w:vertAlign w:val="baseline"/>
        </w:rPr>
        <w:t>(E)</w:t>
      </w:r>
      <w:r>
        <w:rPr>
          <w:rStyle w:val="Heading3Char"/>
          <w:b w:val="false"/>
          <w:bCs w:val="false"/>
          <w:position w:val="0"/>
          <w:sz w:val="20"/>
          <w:sz w:val="20"/>
          <w:vertAlign w:val="baseline"/>
        </w:rPr>
        <w:t xml:space="preserve"> Raw data fit using method 3, fitting melting curves from each sample to a single regression model. </w:t>
      </w:r>
      <w:r>
        <w:rPr>
          <w:rStyle w:val="Heading3Char"/>
          <w:b/>
          <w:bCs/>
          <w:position w:val="0"/>
          <w:sz w:val="20"/>
          <w:sz w:val="20"/>
          <w:vertAlign w:val="baseline"/>
        </w:rPr>
        <w:t>(F)</w:t>
      </w:r>
      <w:r>
        <w:rPr>
          <w:rStyle w:val="Heading3Char"/>
          <w:b w:val="false"/>
          <w:bCs w:val="false"/>
          <w:position w:val="0"/>
          <w:sz w:val="20"/>
          <w:sz w:val="20"/>
          <w:vertAlign w:val="baseline"/>
        </w:rPr>
        <w:t xml:space="preserve"> Normalized data fit using method 3. Data were normalized as described in A. </w:t>
      </w:r>
      <w:r>
        <w:rPr>
          <w:rStyle w:val="Heading3Char"/>
          <w:b/>
          <w:bCs/>
          <w:position w:val="0"/>
          <w:sz w:val="20"/>
          <w:sz w:val="20"/>
          <w:vertAlign w:val="baseline"/>
        </w:rPr>
        <w:t>(G)</w:t>
      </w:r>
      <w:r>
        <w:rPr>
          <w:rStyle w:val="Heading3Char"/>
          <w:b w:val="false"/>
          <w:bCs w:val="false"/>
          <w:position w:val="0"/>
          <w:sz w:val="20"/>
          <w:sz w:val="20"/>
          <w:vertAlign w:val="baseline"/>
        </w:rPr>
        <w:t xml:space="preserve"> Table summarizing results from the three methods. Parameters are summarized in A. SE stands for the standard error, which is calculated from the regression models, and represent the precision of the parameter given the data.</w:t>
      </w:r>
    </w:p>
    <w:p>
      <w:pPr>
        <w:pStyle w:val="Normal"/>
        <w:jc w:val="both"/>
        <w:rPr/>
      </w:pPr>
      <w:r>
        <w:rPr/>
        <w:drawing>
          <wp:inline distT="0" distB="0" distL="0" distR="0">
            <wp:extent cx="5943600" cy="39281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928110"/>
                    </a:xfrm>
                    <a:prstGeom prst="rect">
                      <a:avLst/>
                    </a:prstGeom>
                  </pic:spPr>
                </pic:pic>
              </a:graphicData>
            </a:graphic>
          </wp:inline>
        </w:drawing>
      </w:r>
    </w:p>
    <w:p>
      <w:pPr>
        <w:pStyle w:val="VDTableTitle"/>
        <w:spacing w:before="0" w:after="72"/>
        <w:jc w:val="both"/>
        <w:rPr/>
      </w:pPr>
      <w:bookmarkStart w:id="5" w:name="_Toc108513668"/>
      <w:bookmarkStart w:id="6" w:name="_Toc111794060"/>
      <w:r>
        <w:rPr>
          <w:rStyle w:val="Heading3Char"/>
          <w:b/>
          <w:bCs/>
        </w:rPr>
        <w:t>SI Figure 2</w:t>
      </w:r>
      <w:bookmarkEnd w:id="5"/>
      <w:bookmarkEnd w:id="6"/>
      <w:r>
        <w:rPr>
          <w:rFonts w:eastAsia="Times New Roman" w:cs="Times New Roman"/>
          <w:b w:val="false"/>
          <w:sz w:val="19"/>
          <w:szCs w:val="19"/>
        </w:rPr>
        <w:t xml:space="preserve">  Precanned BLtrimmer outputs for assessing the quality of the results are written as a PDF file. Blue lines and points represent the 25% of baseline combinations that produce parameters that exhibit the best internal consistency across the data set. Each point comes from fitting a combination of baselines with method 1 or 2. </w:t>
      </w:r>
      <w:r>
        <w:rPr>
          <w:rFonts w:eastAsia="Times New Roman" w:cs="Times New Roman"/>
          <w:b/>
          <w:bCs/>
          <w:sz w:val="19"/>
          <w:szCs w:val="19"/>
        </w:rPr>
        <w:t>(A)</w:t>
      </w:r>
      <w:r>
        <w:rPr>
          <w:rFonts w:eastAsia="Times New Roman" w:cs="Times New Roman"/>
          <w:b w:val="false"/>
          <w:bCs w:val="false"/>
          <w:sz w:val="19"/>
          <w:szCs w:val="19"/>
        </w:rPr>
        <w:t xml:space="preserve"> Distribution of the standard deviation of enthalpy (</w:t>
      </w:r>
      <w:r>
        <w:rPr>
          <w:rStyle w:val="Heading3Char"/>
          <w:b w:val="false"/>
          <w:bCs w:val="false"/>
          <w:position w:val="0"/>
          <w:sz w:val="20"/>
          <w:sz w:val="20"/>
          <w:vertAlign w:val="baseline"/>
        </w:rPr>
        <w:t xml:space="preserve">ΔH°) </w:t>
      </w:r>
      <w:r>
        <w:rPr>
          <w:rFonts w:eastAsia="Times New Roman" w:cs="Times New Roman"/>
          <w:b w:val="false"/>
          <w:bCs w:val="false"/>
          <w:sz w:val="19"/>
          <w:szCs w:val="19"/>
        </w:rPr>
        <w:t xml:space="preserve">values, determined by fitting combinations of baselines options. Low standard deviation indicate that the baseline combination exhibits high agreement in enthalpies calculated using method 1, fitting melting curves for each sample individually. </w:t>
      </w:r>
      <w:r>
        <w:rPr>
          <w:rFonts w:eastAsia="Times New Roman" w:cs="Times New Roman"/>
          <w:b/>
          <w:bCs/>
          <w:sz w:val="19"/>
          <w:szCs w:val="19"/>
        </w:rPr>
        <w:t>(B)</w:t>
      </w:r>
      <w:r>
        <w:rPr>
          <w:rFonts w:eastAsia="Times New Roman" w:cs="Times New Roman"/>
          <w:b w:val="false"/>
          <w:bCs w:val="false"/>
          <w:sz w:val="19"/>
          <w:szCs w:val="19"/>
        </w:rPr>
        <w:t xml:space="preserve"> Distribution of the </w:t>
      </w:r>
      <w:r>
        <w:rPr>
          <w:rStyle w:val="Heading3Char"/>
          <w:b w:val="false"/>
          <w:bCs w:val="false"/>
          <w:position w:val="0"/>
          <w:sz w:val="20"/>
          <w:sz w:val="20"/>
          <w:vertAlign w:val="baseline"/>
        </w:rPr>
        <w:t xml:space="preserve">ΔH° </w:t>
      </w:r>
      <w:r>
        <w:rPr>
          <w:rFonts w:eastAsia="Times New Roman" w:cs="Times New Roman"/>
          <w:b w:val="false"/>
          <w:bCs w:val="false"/>
          <w:sz w:val="19"/>
          <w:szCs w:val="19"/>
        </w:rPr>
        <w:t>agreement between method 1 and method 2, fitting melting curves for each sample individually and fitting the relationship between 1/T</w:t>
      </w:r>
      <w:r>
        <w:rPr>
          <w:rFonts w:eastAsia="Times New Roman" w:cs="Times New Roman"/>
          <w:b w:val="false"/>
          <w:bCs w:val="false"/>
          <w:sz w:val="19"/>
          <w:szCs w:val="19"/>
          <w:vertAlign w:val="subscript"/>
        </w:rPr>
        <w:t>m</w:t>
      </w:r>
      <w:r>
        <w:rPr>
          <w:rFonts w:eastAsia="Times New Roman" w:cs="Times New Roman"/>
          <w:b w:val="false"/>
          <w:bCs w:val="false"/>
          <w:sz w:val="19"/>
          <w:szCs w:val="19"/>
        </w:rPr>
        <w:t xml:space="preserve"> versus lnC</w:t>
      </w:r>
      <w:r>
        <w:rPr>
          <w:rFonts w:eastAsia="Times New Roman" w:cs="Times New Roman"/>
          <w:b w:val="false"/>
          <w:bCs w:val="false"/>
          <w:sz w:val="19"/>
          <w:szCs w:val="19"/>
          <w:vertAlign w:val="subscript"/>
        </w:rPr>
        <w:t>t</w:t>
      </w:r>
      <w:r>
        <w:rPr>
          <w:rFonts w:eastAsia="Times New Roman" w:cs="Times New Roman"/>
          <w:b w:val="false"/>
          <w:bCs w:val="false"/>
          <w:position w:val="0"/>
          <w:sz w:val="19"/>
          <w:sz w:val="19"/>
          <w:szCs w:val="19"/>
          <w:vertAlign w:val="baseline"/>
        </w:rPr>
        <w:t>, respectively,</w:t>
      </w:r>
      <w:r>
        <w:rPr>
          <w:rFonts w:eastAsia="Times New Roman" w:cs="Times New Roman"/>
          <w:b w:val="false"/>
          <w:bCs w:val="false"/>
          <w:sz w:val="19"/>
          <w:szCs w:val="19"/>
        </w:rPr>
        <w:t xml:space="preserve"> determined by fitting combinations of baselines options. Low difference indicates that the baseline combination exhibits high agreement in </w:t>
      </w:r>
      <w:r>
        <w:rPr>
          <w:rStyle w:val="Heading3Char"/>
          <w:b w:val="false"/>
          <w:bCs w:val="false"/>
          <w:position w:val="0"/>
          <w:sz w:val="20"/>
          <w:sz w:val="20"/>
          <w:vertAlign w:val="baseline"/>
        </w:rPr>
        <w:t>ΔH°</w:t>
      </w:r>
      <w:r>
        <w:rPr>
          <w:rFonts w:eastAsia="Times New Roman" w:cs="Times New Roman"/>
          <w:b w:val="false"/>
          <w:bCs w:val="false"/>
          <w:sz w:val="19"/>
          <w:szCs w:val="19"/>
        </w:rPr>
        <w:t xml:space="preserve"> values calculated using method 1 and method 2. </w:t>
      </w:r>
      <w:r>
        <w:rPr>
          <w:rFonts w:eastAsia="Times New Roman" w:cs="Times New Roman"/>
          <w:b/>
          <w:bCs/>
          <w:sz w:val="19"/>
          <w:szCs w:val="19"/>
        </w:rPr>
        <w:t>(C)</w:t>
      </w:r>
      <w:r>
        <w:rPr>
          <w:rFonts w:eastAsia="Times New Roman" w:cs="Times New Roman"/>
          <w:b w:val="false"/>
          <w:bCs w:val="false"/>
          <w:sz w:val="19"/>
          <w:szCs w:val="19"/>
        </w:rPr>
        <w:t xml:space="preserve"> </w:t>
      </w:r>
      <w:r>
        <w:rPr>
          <w:rFonts w:eastAsia="Times New Roman" w:cs="Times New Roman"/>
          <w:b w:val="false"/>
          <w:bCs w:val="false"/>
          <w:kern w:val="2"/>
          <w:sz w:val="19"/>
          <w:szCs w:val="19"/>
          <w:lang w:eastAsia="zh-CN" w:bidi="hi-IN"/>
        </w:rPr>
        <w:t xml:space="preserve">Quantalized (ranked from smallest to largest and assigned a quantile between 0 and 1) standard deviation of </w:t>
      </w:r>
      <w:r>
        <w:rPr>
          <w:rStyle w:val="Heading3Char"/>
          <w:rFonts w:eastAsia="Times New Roman" w:cs="Times New Roman"/>
          <w:b w:val="false"/>
          <w:bCs w:val="false"/>
          <w:color w:val="auto"/>
          <w:kern w:val="2"/>
          <w:position w:val="0"/>
          <w:sz w:val="20"/>
          <w:sz w:val="19"/>
          <w:szCs w:val="19"/>
          <w:vertAlign w:val="baseline"/>
          <w:lang w:val="en-US" w:eastAsia="zh-CN" w:bidi="hi-IN"/>
        </w:rPr>
        <w:t>ΔH° values in the method 1 fit</w:t>
      </w:r>
      <w:r>
        <w:rPr>
          <w:rFonts w:eastAsia="Times New Roman" w:cs="Times New Roman"/>
          <w:b w:val="false"/>
          <w:bCs w:val="false"/>
          <w:color w:val="auto"/>
          <w:kern w:val="2"/>
          <w:sz w:val="19"/>
          <w:szCs w:val="19"/>
          <w:lang w:val="en-US" w:eastAsia="zh-CN" w:bidi="hi-IN"/>
        </w:rPr>
        <w:t xml:space="preserve"> versus the difference between </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ΔH° values in the method 1 and method 2 fit, for each baseline combination. Error distance, which is used to identify the 25% of baseline combinations that produce parameters that exhibit the best internal consistency, is the Pythagorean distance between a point and the origin of the plot. </w:t>
      </w:r>
      <w:r>
        <w:rPr>
          <w:rStyle w:val="Heading3Char"/>
          <w:rFonts w:eastAsia="Times New Roman" w:cs="Times New Roman"/>
          <w:b/>
          <w:bCs/>
          <w:color w:val="auto"/>
          <w:kern w:val="2"/>
          <w:position w:val="0"/>
          <w:sz w:val="20"/>
          <w:sz w:val="19"/>
          <w:szCs w:val="19"/>
          <w:vertAlign w:val="baseline"/>
          <w:lang w:val="en-US" w:eastAsia="zh-CN" w:bidi="hi-IN"/>
        </w:rPr>
        <w:t>(D)</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 The average enthalpy produced by method 1 versus the standard deviation of ΔH° values produced by method 1 for each baseline combination. </w:t>
      </w:r>
      <w:r>
        <w:rPr>
          <w:rStyle w:val="Heading3Char"/>
          <w:rFonts w:eastAsia="Times New Roman" w:cs="Times New Roman"/>
          <w:b/>
          <w:bCs/>
          <w:color w:val="auto"/>
          <w:kern w:val="2"/>
          <w:position w:val="0"/>
          <w:sz w:val="20"/>
          <w:sz w:val="19"/>
          <w:szCs w:val="19"/>
          <w:vertAlign w:val="baseline"/>
          <w:lang w:val="en-US" w:eastAsia="zh-CN" w:bidi="hi-IN"/>
        </w:rPr>
        <w:t>(E)</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 The average enthalpy produced by method 1 (Black) or the enthalpy produced by method 2 versus the difference in ΔH° between methods 1 and 2, for each baseline combination. </w:t>
      </w:r>
      <w:r>
        <w:rPr>
          <w:rStyle w:val="Heading3Char"/>
          <w:rFonts w:eastAsia="Times New Roman" w:cs="Times New Roman"/>
          <w:b/>
          <w:bCs/>
          <w:color w:val="auto"/>
          <w:kern w:val="2"/>
          <w:position w:val="0"/>
          <w:sz w:val="20"/>
          <w:sz w:val="19"/>
          <w:szCs w:val="19"/>
          <w:vertAlign w:val="baseline"/>
          <w:lang w:val="en-US" w:eastAsia="zh-CN" w:bidi="hi-IN"/>
        </w:rPr>
        <w:t xml:space="preserve">(F) </w:t>
      </w:r>
      <w:r>
        <w:rPr>
          <w:rStyle w:val="Heading3Char"/>
          <w:rFonts w:eastAsia="Times New Roman" w:cs="Times New Roman"/>
          <w:b w:val="false"/>
          <w:bCs w:val="false"/>
          <w:color w:val="auto"/>
          <w:kern w:val="2"/>
          <w:position w:val="0"/>
          <w:sz w:val="20"/>
          <w:sz w:val="19"/>
          <w:szCs w:val="19"/>
          <w:vertAlign w:val="baseline"/>
          <w:lang w:val="en-US" w:eastAsia="zh-CN" w:bidi="hi-IN"/>
        </w:rPr>
        <w:t>The standard deviation of ΔH° values produced by method 1 versus  difference in ΔH° between methods 1 and 2, for each baseline combination.</w:t>
      </w:r>
    </w:p>
    <w:p>
      <w:pPr>
        <w:pStyle w:val="Normal"/>
        <w:jc w:val="center"/>
        <w:rPr>
          <w:rFonts w:ascii="Arno Pro" w:hAnsi="Arno Pro" w:eastAsia="Times New Roman" w:cs="Times New Roman"/>
          <w:b w:val="false"/>
          <w:b w:val="false"/>
          <w:kern w:val="2"/>
          <w:sz w:val="19"/>
          <w:szCs w:val="19"/>
          <w:lang w:eastAsia="zh-CN" w:bidi="hi-IN"/>
        </w:rPr>
      </w:pPr>
      <w:r>
        <w:rPr/>
        <w:drawing>
          <wp:inline distT="0" distB="0" distL="0" distR="0">
            <wp:extent cx="4559935" cy="455993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559935" cy="4559935"/>
                    </a:xfrm>
                    <a:prstGeom prst="rect">
                      <a:avLst/>
                    </a:prstGeom>
                  </pic:spPr>
                </pic:pic>
              </a:graphicData>
            </a:graphic>
          </wp:inline>
        </w:drawing>
      </w:r>
    </w:p>
    <w:p>
      <w:pPr>
        <w:pStyle w:val="VDTableTitle"/>
        <w:spacing w:before="0" w:after="72"/>
        <w:jc w:val="both"/>
        <w:rPr/>
      </w:pPr>
      <w:bookmarkStart w:id="7" w:name="_Toc1117940601"/>
      <w:bookmarkStart w:id="8" w:name="_Toc1085136681"/>
      <w:r>
        <w:rPr>
          <w:rStyle w:val="Heading3Char"/>
          <w:rFonts w:eastAsia="Times New Roman" w:cs="Times New Roman"/>
          <w:b/>
          <w:bCs/>
          <w:color w:val="auto"/>
          <w:kern w:val="2"/>
          <w:sz w:val="19"/>
          <w:szCs w:val="19"/>
          <w:lang w:val="en-US" w:eastAsia="zh-CN" w:bidi="hi-IN"/>
        </w:rPr>
        <w:t>SI Figur</w:t>
      </w:r>
      <w:r>
        <w:rPr>
          <w:rStyle w:val="Heading3Char"/>
          <w:rFonts w:eastAsia="Times New Roman" w:cs="Times New Roman"/>
          <w:b/>
          <w:bCs/>
          <w:color w:val="auto"/>
          <w:kern w:val="2"/>
          <w:sz w:val="19"/>
          <w:szCs w:val="19"/>
          <w:lang w:val="en-US" w:eastAsia="zh-CN" w:bidi="hi-IN"/>
        </w:rPr>
        <w:t>e</w:t>
      </w:r>
      <w:r>
        <w:rPr>
          <w:rStyle w:val="Heading3Char"/>
          <w:rFonts w:eastAsia="Times New Roman" w:cs="Times New Roman"/>
          <w:b/>
          <w:bCs/>
          <w:color w:val="auto"/>
          <w:kern w:val="2"/>
          <w:sz w:val="19"/>
          <w:szCs w:val="19"/>
          <w:lang w:val="en-US" w:eastAsia="zh-CN" w:bidi="hi-IN"/>
        </w:rPr>
        <w:t xml:space="preserve"> 3</w:t>
      </w:r>
      <w:bookmarkEnd w:id="7"/>
      <w:bookmarkEnd w:id="8"/>
      <w:r>
        <w:rPr>
          <w:rFonts w:eastAsia="Times New Roman" w:cs="Times New Roman"/>
          <w:b w:val="false"/>
          <w:bCs w:val="false"/>
          <w:color w:val="auto"/>
          <w:kern w:val="2"/>
          <w:sz w:val="19"/>
          <w:szCs w:val="19"/>
          <w:lang w:val="en-US" w:eastAsia="zh-CN" w:bidi="hi-IN"/>
        </w:rPr>
        <w:t xml:space="preserve">  The BLtrimmer accurately fits modeled data. </w:t>
      </w:r>
      <w:r>
        <w:rPr>
          <w:rFonts w:eastAsia="Times New Roman" w:cs="Times New Roman"/>
          <w:b/>
          <w:bCs/>
          <w:color w:val="auto"/>
          <w:kern w:val="2"/>
          <w:sz w:val="19"/>
          <w:szCs w:val="19"/>
          <w:lang w:val="en-US" w:eastAsia="zh-CN" w:bidi="hi-IN"/>
        </w:rPr>
        <w:t>(A)</w:t>
      </w:r>
      <w:r>
        <w:rPr>
          <w:rFonts w:eastAsia="Times New Roman" w:cs="Times New Roman"/>
          <w:b w:val="false"/>
          <w:bCs w:val="false"/>
          <w:color w:val="auto"/>
          <w:kern w:val="2"/>
          <w:sz w:val="19"/>
          <w:szCs w:val="19"/>
          <w:lang w:val="en-US" w:eastAsia="zh-CN" w:bidi="hi-IN"/>
        </w:rPr>
        <w:t xml:space="preserve"> Helix association ΔH° determined using meltR.A followed by the BLtrimmer to fit modeled data, versus the known ΔH°. Vertical error bars represent 95% confidence intervals calculated using the BLtrimmer. </w:t>
      </w:r>
      <w:r>
        <w:rPr>
          <w:rFonts w:eastAsia="Times New Roman" w:cs="Times New Roman"/>
          <w:b/>
          <w:bCs/>
          <w:color w:val="auto"/>
          <w:kern w:val="2"/>
          <w:sz w:val="19"/>
          <w:szCs w:val="19"/>
          <w:lang w:val="en-US" w:eastAsia="zh-CN" w:bidi="hi-IN"/>
        </w:rPr>
        <w:t>(B)</w:t>
      </w:r>
      <w:r>
        <w:rPr>
          <w:rFonts w:eastAsia="Times New Roman" w:cs="Times New Roman"/>
          <w:b w:val="false"/>
          <w:bCs w:val="false"/>
          <w:color w:val="auto"/>
          <w:kern w:val="2"/>
          <w:sz w:val="19"/>
          <w:szCs w:val="19"/>
          <w:lang w:val="en-US" w:eastAsia="zh-CN" w:bidi="hi-IN"/>
        </w:rPr>
        <w:t xml:space="preserve"> Helix association ΔS° determined using meltR.A followed by the BLtrimmer to fit modeled data, versus the known ΔH°. Error bars are the same as A. </w:t>
      </w:r>
      <w:r>
        <w:rPr>
          <w:rFonts w:eastAsia="Times New Roman" w:cs="Times New Roman"/>
          <w:b/>
          <w:bCs/>
          <w:color w:val="auto"/>
          <w:kern w:val="2"/>
          <w:sz w:val="19"/>
          <w:szCs w:val="19"/>
          <w:lang w:val="en-US" w:eastAsia="zh-CN" w:bidi="hi-IN"/>
        </w:rPr>
        <w:t>(C)</w:t>
      </w:r>
      <w:r>
        <w:rPr>
          <w:rFonts w:eastAsia="Times New Roman" w:cs="Times New Roman"/>
          <w:b w:val="false"/>
          <w:bCs w:val="false"/>
          <w:color w:val="auto"/>
          <w:kern w:val="2"/>
          <w:sz w:val="19"/>
          <w:szCs w:val="19"/>
          <w:lang w:val="en-US" w:eastAsia="zh-CN" w:bidi="hi-IN"/>
        </w:rPr>
        <w:t xml:space="preserve"> Helix association ΔG°</w:t>
      </w:r>
      <w:r>
        <w:rPr>
          <w:rFonts w:eastAsia="Times New Roman" w:cs="Times New Roman"/>
          <w:b w:val="false"/>
          <w:bCs w:val="false"/>
          <w:color w:val="auto"/>
          <w:kern w:val="2"/>
          <w:sz w:val="19"/>
          <w:szCs w:val="19"/>
          <w:vertAlign w:val="subscript"/>
          <w:lang w:val="en-US" w:eastAsia="zh-CN" w:bidi="hi-IN"/>
        </w:rPr>
        <w:t>37</w:t>
      </w:r>
      <w:r>
        <w:rPr>
          <w:rFonts w:eastAsia="Times New Roman" w:cs="Times New Roman"/>
          <w:b w:val="false"/>
          <w:bCs w:val="false"/>
          <w:color w:val="auto"/>
          <w:kern w:val="2"/>
          <w:sz w:val="19"/>
          <w:szCs w:val="19"/>
          <w:lang w:val="en-US" w:eastAsia="zh-CN" w:bidi="hi-IN"/>
        </w:rPr>
        <w:t xml:space="preserve"> determined using meltR.A followed by the BLtrimmer to fit modeled data, versus the known ΔH°. Error bars are the same as A. </w:t>
      </w:r>
      <w:r>
        <w:rPr>
          <w:rFonts w:eastAsia="Times New Roman" w:cs="Times New Roman"/>
          <w:b/>
          <w:bCs/>
          <w:color w:val="auto"/>
          <w:kern w:val="2"/>
          <w:sz w:val="19"/>
          <w:szCs w:val="19"/>
          <w:lang w:val="en-US" w:eastAsia="zh-CN" w:bidi="hi-IN"/>
        </w:rPr>
        <w:t>(D)</w:t>
      </w:r>
      <w:r>
        <w:rPr>
          <w:rFonts w:eastAsia="Times New Roman" w:cs="Times New Roman"/>
          <w:b w:val="false"/>
          <w:bCs w:val="false"/>
          <w:color w:val="auto"/>
          <w:kern w:val="2"/>
          <w:sz w:val="19"/>
          <w:szCs w:val="19"/>
          <w:lang w:val="en-US" w:eastAsia="zh-CN" w:bidi="hi-IN"/>
        </w:rPr>
        <w:t xml:space="preserve"> T</w:t>
      </w:r>
      <w:r>
        <w:rPr>
          <w:rFonts w:eastAsia="Times New Roman" w:cs="Times New Roman"/>
          <w:b w:val="false"/>
          <w:bCs w:val="false"/>
          <w:color w:val="auto"/>
          <w:kern w:val="2"/>
          <w:sz w:val="19"/>
          <w:szCs w:val="19"/>
          <w:vertAlign w:val="subscript"/>
          <w:lang w:val="en-US" w:eastAsia="zh-CN" w:bidi="hi-IN"/>
        </w:rPr>
        <w:t>m</w:t>
      </w:r>
      <w:r>
        <w:rPr>
          <w:rFonts w:eastAsia="Times New Roman" w:cs="Times New Roman"/>
          <w:b w:val="false"/>
          <w:bCs w:val="false"/>
          <w:color w:val="auto"/>
          <w:kern w:val="2"/>
          <w:sz w:val="19"/>
          <w:szCs w:val="19"/>
          <w:lang w:val="en-US" w:eastAsia="zh-CN" w:bidi="hi-IN"/>
        </w:rPr>
        <w:t xml:space="preserve"> at 0.1 mM determined using meltR.A followed by the BLtrimmer to fit modeled data, versus the known ΔH°. Error bars are the same as A.</w:t>
      </w:r>
      <w:r>
        <w:br w:type="page"/>
      </w:r>
    </w:p>
    <w:p>
      <w:pPr>
        <w:pStyle w:val="Heading1"/>
        <w:ind w:left="0" w:hanging="0"/>
        <w:jc w:val="both"/>
        <w:rPr/>
      </w:pPr>
      <w:bookmarkStart w:id="9" w:name="__RefHeading___Toc99308_3449495920"/>
      <w:bookmarkStart w:id="10" w:name="_Toc108513679"/>
      <w:bookmarkStart w:id="11" w:name="_Toc111794072"/>
      <w:bookmarkEnd w:id="9"/>
      <w:r>
        <w:rPr/>
        <w:t>Supplementary information tables</w:t>
      </w:r>
      <w:bookmarkEnd w:id="10"/>
      <w:bookmarkEnd w:id="11"/>
    </w:p>
    <w:p>
      <w:pPr>
        <w:pStyle w:val="Normal"/>
        <w:jc w:val="both"/>
        <w:rPr/>
      </w:pPr>
      <w:r>
        <w:rPr/>
      </w:r>
    </w:p>
    <w:p>
      <w:pPr>
        <w:pStyle w:val="Normal"/>
        <w:jc w:val="both"/>
        <w:rPr/>
      </w:pPr>
      <w:bookmarkStart w:id="12" w:name="_Toc1117940732"/>
      <w:bookmarkStart w:id="13" w:name="_Toc1085136802"/>
      <w:r>
        <w:rPr>
          <w:rStyle w:val="Heading3Char"/>
        </w:rPr>
        <w:t>SI Tabl</w:t>
      </w:r>
      <w:r>
        <w:rPr>
          <w:rStyle w:val="Heading3Char"/>
        </w:rPr>
        <w:t>e 1</w:t>
      </w:r>
      <w:bookmarkEnd w:id="12"/>
      <w:bookmarkEnd w:id="13"/>
      <w:r>
        <w:rPr>
          <w:rStyle w:val="Heading3Char"/>
          <w:b w:val="false"/>
          <w:bCs w:val="false"/>
        </w:rPr>
        <w:t xml:space="preserve">  Precanned BLtrimmer results table are written as a comma separated value file.</w:t>
      </w:r>
    </w:p>
    <w:tbl>
      <w:tblPr>
        <w:tblW w:w="9360" w:type="dxa"/>
        <w:jc w:val="left"/>
        <w:tblInd w:w="55" w:type="dxa"/>
        <w:tblLayout w:type="fixed"/>
        <w:tblCellMar>
          <w:top w:w="55" w:type="dxa"/>
          <w:left w:w="55" w:type="dxa"/>
          <w:bottom w:w="55" w:type="dxa"/>
          <w:right w:w="55" w:type="dxa"/>
        </w:tblCellMar>
      </w:tblPr>
      <w:tblGrid>
        <w:gridCol w:w="1037"/>
        <w:gridCol w:w="761"/>
        <w:gridCol w:w="1351"/>
        <w:gridCol w:w="809"/>
        <w:gridCol w:w="1350"/>
        <w:gridCol w:w="806"/>
        <w:gridCol w:w="1271"/>
        <w:gridCol w:w="716"/>
        <w:gridCol w:w="1258"/>
      </w:tblGrid>
      <w:tr>
        <w:trPr>
          <w:trHeight w:val="256" w:hRule="atLeast"/>
        </w:trPr>
        <w:tc>
          <w:tcPr>
            <w:tcW w:w="1037" w:type="dxa"/>
            <w:tcBorders>
              <w:top w:val="single" w:sz="4" w:space="0" w:color="000000"/>
              <w:bottom w:val="single" w:sz="4" w:space="0" w:color="000000"/>
            </w:tcBorders>
            <w:vAlign w:val="center"/>
          </w:tcPr>
          <w:p>
            <w:pPr>
              <w:pStyle w:val="Normal"/>
              <w:widowControl w:val="false"/>
              <w:tabs>
                <w:tab w:val="clear" w:pos="720"/>
              </w:tabs>
              <w:jc w:val="center"/>
              <w:rPr/>
            </w:pPr>
            <w:r>
              <w:rPr>
                <w:rStyle w:val="Heading3Char"/>
                <w:b w:val="false"/>
                <w:bCs w:val="false"/>
                <w:sz w:val="14"/>
                <w:szCs w:val="14"/>
              </w:rPr>
              <w:t>Method</w:t>
            </w:r>
          </w:p>
        </w:tc>
        <w:tc>
          <w:tcPr>
            <w:tcW w:w="76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br/>
              <w:t>(kcal/mol)</w:t>
            </w:r>
          </w:p>
        </w:tc>
        <w:tc>
          <w:tcPr>
            <w:tcW w:w="135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position w:val="0"/>
                <w:sz w:val="14"/>
                <w:sz w:val="14"/>
                <w:szCs w:val="14"/>
                <w:vertAlign w:val="baseline"/>
              </w:rPr>
              <w:t>ΔH°</w:t>
            </w:r>
          </w:p>
          <w:p>
            <w:pPr>
              <w:pStyle w:val="Normal"/>
              <w:widowControl w:val="false"/>
              <w:tabs>
                <w:tab w:val="clear" w:pos="720"/>
              </w:tabs>
              <w:jc w:val="center"/>
              <w:rPr>
                <w:sz w:val="14"/>
                <w:szCs w:val="14"/>
              </w:rPr>
            </w:pPr>
            <w:r>
              <w:rPr>
                <w:sz w:val="14"/>
                <w:szCs w:val="14"/>
              </w:rPr>
              <w:t>95% confidence</w:t>
              <w:br/>
              <w:t xml:space="preserve"> interval</w:t>
              <w:br/>
              <w:t xml:space="preserve"> (kcal/mol)</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br/>
              <w:t>(cal/mol/K)</w:t>
            </w:r>
          </w:p>
        </w:tc>
        <w:tc>
          <w:tcPr>
            <w:tcW w:w="1350"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position w:val="0"/>
                <w:sz w:val="14"/>
                <w:sz w:val="14"/>
                <w:szCs w:val="14"/>
                <w:vertAlign w:val="baseline"/>
              </w:rPr>
              <w:t>ΔS°</w:t>
            </w:r>
          </w:p>
          <w:p>
            <w:pPr>
              <w:pStyle w:val="Normal"/>
              <w:widowControl w:val="false"/>
              <w:tabs>
                <w:tab w:val="clear" w:pos="720"/>
              </w:tabs>
              <w:jc w:val="center"/>
              <w:rPr>
                <w:sz w:val="14"/>
                <w:szCs w:val="14"/>
              </w:rPr>
            </w:pPr>
            <w:r>
              <w:rPr>
                <w:sz w:val="14"/>
                <w:szCs w:val="14"/>
              </w:rPr>
              <w:t>95% confidence</w:t>
              <w:br/>
              <w:t>interval</w:t>
              <w:br/>
              <w:t xml:space="preserve"> (cal/mol/K)</w:t>
            </w:r>
          </w:p>
        </w:tc>
        <w:tc>
          <w:tcPr>
            <w:tcW w:w="806"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r>
              <w:rPr>
                <w:sz w:val="14"/>
                <w:szCs w:val="14"/>
              </w:rPr>
              <w:br/>
              <w:t>(kcal/mol)</w:t>
            </w:r>
          </w:p>
        </w:tc>
        <w:tc>
          <w:tcPr>
            <w:tcW w:w="127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position w:val="0"/>
                <w:sz w:val="14"/>
                <w:sz w:val="14"/>
                <w:szCs w:val="14"/>
                <w:vertAlign w:val="baseline"/>
              </w:rPr>
              <w:t>ΔG°</w:t>
            </w:r>
            <w:r>
              <w:rPr>
                <w:sz w:val="14"/>
                <w:szCs w:val="14"/>
                <w:vertAlign w:val="subscript"/>
              </w:rPr>
              <w:t>37</w:t>
            </w:r>
          </w:p>
          <w:p>
            <w:pPr>
              <w:pStyle w:val="Normal"/>
              <w:widowControl w:val="false"/>
              <w:tabs>
                <w:tab w:val="clear" w:pos="720"/>
              </w:tabs>
              <w:jc w:val="center"/>
              <w:rPr>
                <w:sz w:val="14"/>
                <w:szCs w:val="14"/>
              </w:rPr>
            </w:pPr>
            <w:r>
              <w:rPr>
                <w:sz w:val="14"/>
                <w:szCs w:val="14"/>
              </w:rPr>
              <w:t>95% confidence</w:t>
              <w:br/>
              <w:t>interval</w:t>
              <w:br/>
              <w:t xml:space="preserve"> (kcal/mol)</w:t>
            </w:r>
          </w:p>
        </w:tc>
        <w:tc>
          <w:tcPr>
            <w:tcW w:w="716"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r>
              <w:rPr>
                <w:sz w:val="14"/>
                <w:szCs w:val="14"/>
              </w:rPr>
              <w:br/>
              <w:t>(°C)</w:t>
            </w:r>
          </w:p>
        </w:tc>
        <w:tc>
          <w:tcPr>
            <w:tcW w:w="125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sz w:val="14"/>
                <w:szCs w:val="14"/>
              </w:rPr>
              <w:t>95% confidence</w:t>
              <w:br/>
              <w:t>interval</w:t>
              <w:br/>
              <w:t xml:space="preserve"> (°C)</w:t>
            </w:r>
          </w:p>
        </w:tc>
      </w:tr>
      <w:tr>
        <w:trPr>
          <w:trHeight w:val="256" w:hRule="atLeast"/>
        </w:trPr>
        <w:tc>
          <w:tcPr>
            <w:tcW w:w="103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 individual fits</w:t>
            </w:r>
          </w:p>
        </w:tc>
        <w:tc>
          <w:tcPr>
            <w:tcW w:w="76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-57.03</w:t>
            </w:r>
          </w:p>
        </w:tc>
        <w:tc>
          <w:tcPr>
            <w:tcW w:w="135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-58.66 to -55.08</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-161.73</w:t>
            </w:r>
          </w:p>
        </w:tc>
        <w:tc>
          <w:tcPr>
            <w:tcW w:w="135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-166.82 to -155.52</w:t>
            </w:r>
          </w:p>
        </w:tc>
        <w:tc>
          <w:tcPr>
            <w:tcW w:w="806"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-6.87</w:t>
            </w:r>
          </w:p>
        </w:tc>
        <w:tc>
          <w:tcPr>
            <w:tcW w:w="127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-6.91 to -6.84</w:t>
            </w:r>
          </w:p>
        </w:tc>
        <w:tc>
          <w:tcPr>
            <w:tcW w:w="716"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43.63</w:t>
            </w:r>
          </w:p>
        </w:tc>
        <w:tc>
          <w:tcPr>
            <w:tcW w:w="125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43.34 to 43.84</w:t>
            </w:r>
          </w:p>
        </w:tc>
      </w:tr>
      <w:tr>
        <w:trPr>
          <w:trHeight w:val="256" w:hRule="atLeast"/>
        </w:trPr>
        <w:tc>
          <w:tcPr>
            <w:tcW w:w="103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2 Tm versus ln[Ct]</w:t>
            </w:r>
          </w:p>
        </w:tc>
        <w:tc>
          <w:tcPr>
            <w:tcW w:w="761"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-57.2</w:t>
            </w:r>
          </w:p>
        </w:tc>
        <w:tc>
          <w:tcPr>
            <w:tcW w:w="135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-58.75 to -54.69</w:t>
            </w:r>
          </w:p>
        </w:tc>
        <w:tc>
          <w:tcPr>
            <w:tcW w:w="809"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-162.27</w:t>
            </w:r>
          </w:p>
        </w:tc>
        <w:tc>
          <w:tcPr>
            <w:tcW w:w="1350"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-167.23 to -154.31</w:t>
            </w:r>
          </w:p>
        </w:tc>
        <w:tc>
          <w:tcPr>
            <w:tcW w:w="80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-6.87</w:t>
            </w:r>
          </w:p>
        </w:tc>
        <w:tc>
          <w:tcPr>
            <w:tcW w:w="127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-6.9 to -6.83</w:t>
            </w:r>
          </w:p>
        </w:tc>
        <w:tc>
          <w:tcPr>
            <w:tcW w:w="71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43.63</w:t>
            </w:r>
          </w:p>
        </w:tc>
        <w:tc>
          <w:tcPr>
            <w:tcW w:w="1258"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43.45 to 43.86</w:t>
            </w:r>
          </w:p>
        </w:tc>
      </w:tr>
      <w:tr>
        <w:trPr>
          <w:trHeight w:val="256" w:hRule="atLeast"/>
        </w:trPr>
        <w:tc>
          <w:tcPr>
            <w:tcW w:w="103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3 Global fit</w:t>
            </w:r>
          </w:p>
        </w:tc>
        <w:tc>
          <w:tcPr>
            <w:tcW w:w="761"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-56.89</w:t>
            </w:r>
          </w:p>
        </w:tc>
        <w:tc>
          <w:tcPr>
            <w:tcW w:w="135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-60.26 to -54.15</w:t>
            </w:r>
          </w:p>
        </w:tc>
        <w:tc>
          <w:tcPr>
            <w:tcW w:w="809"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-161.08</w:t>
            </w:r>
          </w:p>
        </w:tc>
        <w:tc>
          <w:tcPr>
            <w:tcW w:w="1350"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-171.78 to -152.38</w:t>
            </w:r>
          </w:p>
        </w:tc>
        <w:tc>
          <w:tcPr>
            <w:tcW w:w="80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-6.93</w:t>
            </w:r>
          </w:p>
        </w:tc>
        <w:tc>
          <w:tcPr>
            <w:tcW w:w="127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-7.05 to -6.84</w:t>
            </w:r>
          </w:p>
        </w:tc>
        <w:tc>
          <w:tcPr>
            <w:tcW w:w="71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43.99</w:t>
            </w:r>
          </w:p>
        </w:tc>
        <w:tc>
          <w:tcPr>
            <w:tcW w:w="1258"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43.37 to 44.52</w:t>
            </w:r>
          </w:p>
        </w:tc>
      </w:tr>
    </w:tbl>
    <w:p>
      <w:pPr>
        <w:sectPr>
          <w:footerReference w:type="default" r:id="rId5"/>
          <w:type w:val="nextPage"/>
          <w:pgSz w:w="12240" w:h="15840"/>
          <w:pgMar w:left="1440" w:right="1440" w:gutter="0" w:header="0" w:top="777" w:footer="720" w:bottom="1440"/>
          <w:pgNumType w:fmt="decimal"/>
          <w:formProt w:val="false"/>
          <w:textDirection w:val="lrTb"/>
          <w:docGrid w:type="default" w:linePitch="100" w:charSpace="8192"/>
        </w:sectPr>
        <w:pStyle w:val="Normal"/>
        <w:rPr/>
      </w:pPr>
      <w:r>
        <w:rPr>
          <w:rStyle w:val="Heading3Char"/>
          <w:b w:val="false"/>
          <w:bCs w:val="false"/>
          <w:vertAlign w:val="superscript"/>
        </w:rPr>
        <w:t>a</w:t>
      </w:r>
      <w:r>
        <w:rPr>
          <w:rStyle w:val="Heading3Char"/>
          <w:b w:val="false"/>
          <w:bCs w:val="false"/>
        </w:rPr>
        <w:t>Expectation maximized T</w:t>
      </w:r>
      <w:r>
        <w:rPr>
          <w:rStyle w:val="Heading3Char"/>
          <w:b w:val="false"/>
          <w:bCs w:val="false"/>
          <w:vertAlign w:val="subscript"/>
        </w:rPr>
        <w:t>m</w:t>
      </w:r>
      <w:r>
        <w:rPr>
          <w:rStyle w:val="Heading3Char"/>
          <w:b w:val="false"/>
          <w:bCs w:val="false"/>
        </w:rPr>
        <w:t xml:space="preserve"> at a C</w:t>
      </w:r>
      <w:r>
        <w:rPr>
          <w:rStyle w:val="Heading3Char"/>
          <w:b w:val="false"/>
          <w:bCs w:val="false"/>
          <w:vertAlign w:val="subscript"/>
        </w:rPr>
        <w:t>t</w:t>
      </w:r>
      <w:r>
        <w:rPr>
          <w:rStyle w:val="Heading3Char"/>
          <w:b w:val="false"/>
          <w:bCs w:val="false"/>
        </w:rPr>
        <w:t xml:space="preserve"> of 0.1 mM.</w:t>
      </w:r>
    </w:p>
    <w:p>
      <w:pPr>
        <w:pStyle w:val="Normal"/>
        <w:widowControl w:val="false"/>
        <w:suppressAutoHyphens w:val="true"/>
        <w:bidi w:val="0"/>
        <w:spacing w:before="0" w:after="0"/>
        <w:ind w:left="720" w:right="0" w:hanging="0"/>
        <w:jc w:val="both"/>
        <w:textAlignment w:val="baseline"/>
        <w:rPr/>
      </w:pPr>
      <w:bookmarkStart w:id="14" w:name="_Toc111794073"/>
      <w:bookmarkStart w:id="15" w:name="_Toc108513680"/>
      <w:r>
        <w:rPr>
          <w:rStyle w:val="Heading3Char"/>
        </w:rPr>
        <w:t>SI Tabl</w:t>
      </w:r>
      <w:r>
        <w:rPr>
          <w:rStyle w:val="Heading3Char"/>
        </w:rPr>
        <w:t>e 2</w:t>
      </w:r>
      <w:bookmarkEnd w:id="14"/>
      <w:bookmarkEnd w:id="15"/>
      <w:r>
        <w:rPr/>
        <w:t xml:space="preserve">  BLtrimmer results comparing MeltR methods 1, 2, and 3.</w:t>
      </w:r>
    </w:p>
    <w:tbl>
      <w:tblPr>
        <w:tblW w:w="13566" w:type="dxa"/>
        <w:jc w:val="center"/>
        <w:tblInd w:w="0" w:type="dxa"/>
        <w:tblLayout w:type="fixed"/>
        <w:tblCellMar>
          <w:top w:w="55" w:type="dxa"/>
          <w:left w:w="55" w:type="dxa"/>
          <w:bottom w:w="55" w:type="dxa"/>
          <w:right w:w="55" w:type="dxa"/>
        </w:tblCellMar>
      </w:tblPr>
      <w:tblGrid>
        <w:gridCol w:w="1512"/>
        <w:gridCol w:w="734"/>
        <w:gridCol w:w="810"/>
        <w:gridCol w:w="814"/>
        <w:gridCol w:w="806"/>
        <w:gridCol w:w="899"/>
        <w:gridCol w:w="897"/>
        <w:gridCol w:w="817"/>
        <w:gridCol w:w="804"/>
        <w:gridCol w:w="806"/>
        <w:gridCol w:w="818"/>
        <w:gridCol w:w="807"/>
        <w:gridCol w:w="814"/>
        <w:gridCol w:w="536"/>
        <w:gridCol w:w="544"/>
        <w:gridCol w:w="536"/>
        <w:gridCol w:w="612"/>
      </w:tblGrid>
      <w:tr>
        <w:trPr>
          <w:trHeight w:val="256" w:hRule="atLeast"/>
        </w:trPr>
        <w:tc>
          <w:tcPr>
            <w:tcW w:w="1512"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Helix</w:t>
            </w:r>
          </w:p>
        </w:tc>
        <w:tc>
          <w:tcPr>
            <w:tcW w:w="734"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sz w:val="14"/>
                <w:szCs w:val="14"/>
              </w:rPr>
              <w:t>Method 1</w:t>
            </w:r>
            <w:r>
              <w:rPr>
                <w:sz w:val="12"/>
                <w:szCs w:val="12"/>
                <w:vertAlign w:val="superscript"/>
              </w:rPr>
              <w:t>a</w:t>
            </w:r>
            <w:r>
              <w:rPr>
                <w:sz w:val="14"/>
                <w:szCs w:val="14"/>
              </w:rPr>
              <w:br/>
              <w:t>(kcal/mol)</w:t>
            </w:r>
          </w:p>
        </w:tc>
        <w:tc>
          <w:tcPr>
            <w:tcW w:w="810"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sz w:val="14"/>
                <w:szCs w:val="14"/>
              </w:rPr>
              <w:t>Method 2</w:t>
            </w:r>
            <w:r>
              <w:rPr>
                <w:sz w:val="12"/>
                <w:szCs w:val="12"/>
                <w:vertAlign w:val="superscript"/>
              </w:rPr>
              <w:t>b</w:t>
            </w:r>
            <w:r>
              <w:rPr>
                <w:sz w:val="14"/>
                <w:szCs w:val="14"/>
              </w:rPr>
              <w:br/>
              <w:t>(kcal/mol)</w:t>
            </w:r>
          </w:p>
        </w:tc>
        <w:tc>
          <w:tcPr>
            <w:tcW w:w="814"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sz w:val="14"/>
                <w:szCs w:val="14"/>
              </w:rPr>
              <w:t>Method 3</w:t>
            </w:r>
            <w:r>
              <w:rPr>
                <w:sz w:val="12"/>
                <w:szCs w:val="12"/>
                <w:vertAlign w:val="superscript"/>
              </w:rPr>
              <w:t>c</w:t>
            </w:r>
            <w:r>
              <w:rPr>
                <w:sz w:val="14"/>
                <w:szCs w:val="14"/>
              </w:rPr>
              <w:br/>
              <w:t>(kcal/mol)</w:t>
            </w:r>
          </w:p>
        </w:tc>
        <w:tc>
          <w:tcPr>
            <w:tcW w:w="806"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sz w:val="14"/>
                <w:szCs w:val="14"/>
              </w:rPr>
              <w:t>Method 1</w:t>
            </w:r>
            <w:r>
              <w:rPr>
                <w:sz w:val="14"/>
                <w:szCs w:val="14"/>
                <w:vertAlign w:val="superscript"/>
              </w:rPr>
              <w:t>a</w:t>
            </w:r>
            <w:r>
              <w:rPr>
                <w:sz w:val="14"/>
                <w:szCs w:val="14"/>
              </w:rPr>
              <w:br/>
              <w:t>(cal/mol/K)</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sz w:val="14"/>
                <w:szCs w:val="14"/>
              </w:rPr>
              <w:t>Method 2</w:t>
            </w:r>
            <w:r>
              <w:rPr>
                <w:sz w:val="14"/>
                <w:szCs w:val="14"/>
                <w:vertAlign w:val="superscript"/>
              </w:rPr>
              <w:t>b</w:t>
            </w:r>
            <w:r>
              <w:rPr>
                <w:sz w:val="14"/>
                <w:szCs w:val="14"/>
              </w:rPr>
              <w:br/>
              <w:t>(cal/mol/K)</w:t>
            </w:r>
          </w:p>
        </w:tc>
        <w:tc>
          <w:tcPr>
            <w:tcW w:w="897"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sz w:val="14"/>
                <w:szCs w:val="14"/>
              </w:rPr>
              <w:t>Method 3</w:t>
            </w:r>
            <w:r>
              <w:rPr>
                <w:sz w:val="14"/>
                <w:szCs w:val="14"/>
                <w:vertAlign w:val="superscript"/>
              </w:rPr>
              <w:t>c</w:t>
            </w:r>
            <w:r>
              <w:rPr>
                <w:sz w:val="14"/>
                <w:szCs w:val="14"/>
              </w:rPr>
              <w:br/>
              <w:t>(cal/mol/K)</w:t>
            </w:r>
          </w:p>
        </w:tc>
        <w:tc>
          <w:tcPr>
            <w:tcW w:w="817"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sz w:val="14"/>
                <w:szCs w:val="14"/>
              </w:rPr>
              <w:t>Method 1</w:t>
            </w:r>
            <w:r>
              <w:rPr>
                <w:sz w:val="14"/>
                <w:szCs w:val="14"/>
                <w:vertAlign w:val="superscript"/>
              </w:rPr>
              <w:t>a</w:t>
            </w:r>
            <w:r>
              <w:rPr>
                <w:sz w:val="14"/>
                <w:szCs w:val="14"/>
              </w:rPr>
              <w:br/>
              <w:t>(kcal/mol)</w:t>
            </w:r>
          </w:p>
        </w:tc>
        <w:tc>
          <w:tcPr>
            <w:tcW w:w="804"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sz w:val="14"/>
                <w:szCs w:val="14"/>
              </w:rPr>
              <w:t>Method 2</w:t>
            </w:r>
            <w:r>
              <w:rPr>
                <w:sz w:val="14"/>
                <w:szCs w:val="14"/>
                <w:vertAlign w:val="superscript"/>
              </w:rPr>
              <w:t>b</w:t>
            </w:r>
            <w:r>
              <w:rPr>
                <w:sz w:val="14"/>
                <w:szCs w:val="14"/>
              </w:rPr>
              <w:br/>
              <w:t>(kcal/mol)</w:t>
            </w:r>
          </w:p>
        </w:tc>
        <w:tc>
          <w:tcPr>
            <w:tcW w:w="806"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sz w:val="14"/>
                <w:szCs w:val="14"/>
              </w:rPr>
              <w:t>Method 3</w:t>
            </w:r>
            <w:r>
              <w:rPr>
                <w:sz w:val="14"/>
                <w:szCs w:val="14"/>
                <w:vertAlign w:val="superscript"/>
              </w:rPr>
              <w:t>c</w:t>
            </w:r>
            <w:r>
              <w:rPr>
                <w:sz w:val="14"/>
                <w:szCs w:val="14"/>
              </w:rPr>
              <w:br/>
              <w:t>(kcal/mol)</w:t>
            </w:r>
          </w:p>
        </w:tc>
        <w:tc>
          <w:tcPr>
            <w:tcW w:w="8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widowControl w:val="false"/>
              <w:tabs>
                <w:tab w:val="clear" w:pos="720"/>
              </w:tabs>
              <w:jc w:val="center"/>
              <w:rPr>
                <w:sz w:val="14"/>
                <w:szCs w:val="14"/>
              </w:rPr>
            </w:pPr>
            <w:r>
              <w:rPr>
                <w:sz w:val="14"/>
                <w:szCs w:val="14"/>
              </w:rPr>
              <w:t>Method 1</w:t>
            </w:r>
            <w:r>
              <w:rPr>
                <w:sz w:val="14"/>
                <w:szCs w:val="14"/>
                <w:vertAlign w:val="superscript"/>
              </w:rPr>
              <w:t>a</w:t>
            </w:r>
            <w:r>
              <w:rPr>
                <w:sz w:val="14"/>
                <w:szCs w:val="14"/>
              </w:rPr>
              <w:br/>
              <w:t>(°C)</w:t>
            </w:r>
          </w:p>
        </w:tc>
        <w:tc>
          <w:tcPr>
            <w:tcW w:w="8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widowControl w:val="false"/>
              <w:tabs>
                <w:tab w:val="clear" w:pos="720"/>
              </w:tabs>
              <w:jc w:val="center"/>
              <w:rPr>
                <w:sz w:val="14"/>
                <w:szCs w:val="14"/>
              </w:rPr>
            </w:pPr>
            <w:r>
              <w:rPr>
                <w:sz w:val="14"/>
                <w:szCs w:val="14"/>
              </w:rPr>
              <w:t>Method 2</w:t>
            </w:r>
            <w:r>
              <w:rPr>
                <w:sz w:val="14"/>
                <w:szCs w:val="14"/>
                <w:vertAlign w:val="superscript"/>
              </w:rPr>
              <w:t>b</w:t>
            </w:r>
            <w:r>
              <w:rPr>
                <w:sz w:val="14"/>
                <w:szCs w:val="14"/>
              </w:rPr>
              <w:br/>
              <w:t>(°C)</w:t>
            </w:r>
          </w:p>
        </w:tc>
        <w:tc>
          <w:tcPr>
            <w:tcW w:w="814"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widowControl w:val="false"/>
              <w:tabs>
                <w:tab w:val="clear" w:pos="720"/>
              </w:tabs>
              <w:jc w:val="center"/>
              <w:rPr>
                <w:sz w:val="14"/>
                <w:szCs w:val="14"/>
              </w:rPr>
            </w:pPr>
            <w:r>
              <w:rPr>
                <w:sz w:val="14"/>
                <w:szCs w:val="14"/>
              </w:rPr>
              <w:t>Method 3</w:t>
            </w:r>
            <w:r>
              <w:rPr>
                <w:sz w:val="14"/>
                <w:szCs w:val="14"/>
                <w:vertAlign w:val="superscript"/>
              </w:rPr>
              <w:t>c</w:t>
            </w:r>
            <w:r>
              <w:rPr>
                <w:sz w:val="14"/>
                <w:szCs w:val="14"/>
              </w:rPr>
              <w:br/>
              <w:t>(°C)</w:t>
            </w:r>
          </w:p>
        </w:tc>
        <w:tc>
          <w:tcPr>
            <w:tcW w:w="536"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544"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536"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6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5’-CGCGCG-3’</w:t>
            </w:r>
            <w:r>
              <w:rPr>
                <w:sz w:val="14"/>
                <w:szCs w:val="14"/>
                <w:vertAlign w:val="superscript"/>
              </w:rPr>
              <w:t>e</w:t>
            </w:r>
            <w:r>
              <w:rPr>
                <w:sz w:val="14"/>
                <w:szCs w:val="14"/>
              </w:rPr>
              <w:br/>
              <w:t>‘3’-GCGCGC-3  ’</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-55.69 </w:t>
              <w:br/>
              <w:t>(-56.46 to -54.89)</w:t>
            </w:r>
          </w:p>
        </w:tc>
        <w:tc>
          <w:tcPr>
            <w:tcW w:w="810" w:type="dxa"/>
            <w:tcBorders/>
            <w:vAlign w:val="center"/>
          </w:tcPr>
          <w:p>
            <w:pPr>
              <w:pStyle w:val="Normal"/>
              <w:widowControl w:val="false"/>
              <w:tabs>
                <w:tab w:val="clear" w:pos="720"/>
              </w:tabs>
              <w:jc w:val="center"/>
              <w:rPr>
                <w:sz w:val="14"/>
                <w:szCs w:val="14"/>
              </w:rPr>
            </w:pPr>
            <w:r>
              <w:rPr>
                <w:sz w:val="14"/>
                <w:szCs w:val="14"/>
              </w:rPr>
              <w:t>-55.78</w:t>
              <w:br/>
              <w:t xml:space="preserve"> (-56.71 to -54.76)</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-56.76 </w:t>
              <w:br/>
              <w:t>(-57.94 to -55.81)</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-153.72 </w:t>
              <w:br/>
              <w:t>(-156.09 to -151.27)</w:t>
            </w:r>
          </w:p>
        </w:tc>
        <w:tc>
          <w:tcPr>
            <w:tcW w:w="899" w:type="dxa"/>
            <w:tcBorders/>
            <w:vAlign w:val="center"/>
          </w:tcPr>
          <w:p>
            <w:pPr>
              <w:pStyle w:val="Normal"/>
              <w:widowControl w:val="false"/>
              <w:tabs>
                <w:tab w:val="clear" w:pos="720"/>
              </w:tabs>
              <w:jc w:val="center"/>
              <w:rPr>
                <w:sz w:val="14"/>
                <w:szCs w:val="14"/>
              </w:rPr>
            </w:pPr>
            <w:r>
              <w:rPr>
                <w:sz w:val="14"/>
                <w:szCs w:val="14"/>
              </w:rPr>
              <w:t>-154.04</w:t>
              <w:br/>
              <w:t xml:space="preserve"> (-156.9 to -150.91)</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-156.93 </w:t>
              <w:br/>
              <w:t>(-160.59 to -153.94)</w:t>
            </w:r>
          </w:p>
        </w:tc>
        <w:tc>
          <w:tcPr>
            <w:tcW w:w="817" w:type="dxa"/>
            <w:tcBorders/>
            <w:vAlign w:val="center"/>
          </w:tcPr>
          <w:p>
            <w:pPr>
              <w:pStyle w:val="Normal"/>
              <w:widowControl w:val="false"/>
              <w:tabs>
                <w:tab w:val="clear" w:pos="720"/>
              </w:tabs>
              <w:jc w:val="center"/>
              <w:rPr>
                <w:sz w:val="14"/>
                <w:szCs w:val="14"/>
              </w:rPr>
            </w:pPr>
            <w:r>
              <w:rPr>
                <w:sz w:val="14"/>
                <w:szCs w:val="14"/>
              </w:rPr>
              <w:t xml:space="preserve">-8.01 </w:t>
              <w:br/>
              <w:t>(-8.05 to -7.98)</w:t>
            </w:r>
          </w:p>
        </w:tc>
        <w:tc>
          <w:tcPr>
            <w:tcW w:w="804" w:type="dxa"/>
            <w:tcBorders/>
            <w:vAlign w:val="center"/>
          </w:tcPr>
          <w:p>
            <w:pPr>
              <w:pStyle w:val="Normal"/>
              <w:widowControl w:val="false"/>
              <w:tabs>
                <w:tab w:val="clear" w:pos="720"/>
              </w:tabs>
              <w:jc w:val="center"/>
              <w:rPr>
                <w:sz w:val="14"/>
                <w:szCs w:val="14"/>
              </w:rPr>
            </w:pPr>
            <w:r>
              <w:rPr>
                <w:sz w:val="14"/>
                <w:szCs w:val="14"/>
              </w:rPr>
              <w:t>-8.00</w:t>
              <w:br/>
              <w:t>(-8.16 to -8.01)</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-8.09</w:t>
              <w:br/>
              <w:t>(-8.16 to -8.01)</w:t>
            </w:r>
          </w:p>
        </w:tc>
        <w:tc>
          <w:tcPr>
            <w:tcW w:w="818" w:type="dxa"/>
            <w:tcBorders/>
            <w:vAlign w:val="center"/>
          </w:tcPr>
          <w:p>
            <w:pPr>
              <w:pStyle w:val="Normal"/>
              <w:widowControl w:val="false"/>
              <w:tabs>
                <w:tab w:val="clear" w:pos="720"/>
              </w:tabs>
              <w:jc w:val="center"/>
              <w:rPr>
                <w:sz w:val="14"/>
                <w:szCs w:val="14"/>
              </w:rPr>
            </w:pPr>
            <w:r>
              <w:rPr>
                <w:sz w:val="14"/>
                <w:szCs w:val="14"/>
              </w:rPr>
              <w:t>50.57</w:t>
              <w:br/>
              <w:t>(50.46 to 50.66)</w:t>
            </w:r>
          </w:p>
        </w:tc>
        <w:tc>
          <w:tcPr>
            <w:tcW w:w="807" w:type="dxa"/>
            <w:tcBorders/>
            <w:vAlign w:val="center"/>
          </w:tcPr>
          <w:p>
            <w:pPr>
              <w:pStyle w:val="Normal"/>
              <w:widowControl w:val="false"/>
              <w:tabs>
                <w:tab w:val="clear" w:pos="720"/>
              </w:tabs>
              <w:jc w:val="center"/>
              <w:rPr>
                <w:sz w:val="14"/>
                <w:szCs w:val="14"/>
              </w:rPr>
            </w:pPr>
            <w:r>
              <w:rPr>
                <w:sz w:val="14"/>
                <w:szCs w:val="14"/>
              </w:rPr>
              <w:t xml:space="preserve">50.49 </w:t>
              <w:br/>
              <w:t>(50.37 to 50.61)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50.76 </w:t>
              <w:br/>
              <w:t>(50.35 to 51.04)</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5’-ACCGGU-3’</w:t>
            </w:r>
            <w:r>
              <w:rPr>
                <w:sz w:val="14"/>
                <w:szCs w:val="14"/>
                <w:vertAlign w:val="superscript"/>
              </w:rPr>
              <w:t>e</w:t>
            </w:r>
            <w:r>
              <w:rPr>
                <w:sz w:val="14"/>
                <w:szCs w:val="14"/>
              </w:rPr>
              <w:br/>
              <w:t>3’-UGGCCA-3’</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-56.26 </w:t>
              <w:br/>
              <w:t>(-58.73 to -54.06)</w:t>
            </w:r>
          </w:p>
        </w:tc>
        <w:tc>
          <w:tcPr>
            <w:tcW w:w="810" w:type="dxa"/>
            <w:tcBorders/>
            <w:vAlign w:val="center"/>
          </w:tcPr>
          <w:p>
            <w:pPr>
              <w:pStyle w:val="Normal"/>
              <w:widowControl w:val="false"/>
              <w:tabs>
                <w:tab w:val="clear" w:pos="720"/>
              </w:tabs>
              <w:jc w:val="center"/>
              <w:rPr>
                <w:sz w:val="14"/>
                <w:szCs w:val="14"/>
              </w:rPr>
            </w:pPr>
            <w:r>
              <w:rPr>
                <w:sz w:val="14"/>
                <w:szCs w:val="14"/>
              </w:rPr>
              <w:t xml:space="preserve">-58.57 </w:t>
              <w:br/>
              <w:t>(-60.33 to -56.49)</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-56.53 </w:t>
              <w:br/>
              <w:t>(-60.25 to -53.16)</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-159.24 </w:t>
              <w:br/>
              <w:t>(-167.15 to -152.29)</w:t>
            </w:r>
          </w:p>
        </w:tc>
        <w:tc>
          <w:tcPr>
            <w:tcW w:w="899" w:type="dxa"/>
            <w:tcBorders/>
            <w:vAlign w:val="center"/>
          </w:tcPr>
          <w:p>
            <w:pPr>
              <w:pStyle w:val="Normal"/>
              <w:widowControl w:val="false"/>
              <w:tabs>
                <w:tab w:val="clear" w:pos="720"/>
              </w:tabs>
              <w:jc w:val="center"/>
              <w:rPr>
                <w:sz w:val="14"/>
                <w:szCs w:val="14"/>
              </w:rPr>
            </w:pPr>
            <w:r>
              <w:rPr>
                <w:sz w:val="14"/>
                <w:szCs w:val="14"/>
              </w:rPr>
              <w:t xml:space="preserve">-166.59 </w:t>
              <w:br/>
              <w:t>(-172.23 to -159.94)</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-159.96</w:t>
              <w:br/>
              <w:t xml:space="preserve"> (-172.21 to -149.33)</w:t>
            </w:r>
          </w:p>
        </w:tc>
        <w:tc>
          <w:tcPr>
            <w:tcW w:w="817" w:type="dxa"/>
            <w:tcBorders/>
            <w:vAlign w:val="center"/>
          </w:tcPr>
          <w:p>
            <w:pPr>
              <w:pStyle w:val="Normal"/>
              <w:widowControl w:val="false"/>
              <w:tabs>
                <w:tab w:val="clear" w:pos="720"/>
              </w:tabs>
              <w:jc w:val="center"/>
              <w:rPr>
                <w:sz w:val="14"/>
                <w:szCs w:val="14"/>
              </w:rPr>
            </w:pPr>
            <w:r>
              <w:rPr>
                <w:sz w:val="14"/>
                <w:szCs w:val="14"/>
              </w:rPr>
              <w:t xml:space="preserve">-6.87 </w:t>
              <w:br/>
              <w:t>(-6.93 to -6.8)</w:t>
            </w:r>
          </w:p>
        </w:tc>
        <w:tc>
          <w:tcPr>
            <w:tcW w:w="804" w:type="dxa"/>
            <w:tcBorders/>
            <w:vAlign w:val="center"/>
          </w:tcPr>
          <w:p>
            <w:pPr>
              <w:pStyle w:val="Normal"/>
              <w:widowControl w:val="false"/>
              <w:tabs>
                <w:tab w:val="clear" w:pos="720"/>
              </w:tabs>
              <w:jc w:val="center"/>
              <w:rPr>
                <w:sz w:val="14"/>
                <w:szCs w:val="14"/>
              </w:rPr>
            </w:pPr>
            <w:r>
              <w:rPr>
                <w:sz w:val="14"/>
                <w:szCs w:val="14"/>
              </w:rPr>
              <w:t>-6.9</w:t>
              <w:br/>
              <w:t xml:space="preserve"> (-6.95 to -6.87)</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-6.91 </w:t>
              <w:br/>
              <w:t>(-7.07 to -6.79)</w:t>
            </w:r>
          </w:p>
        </w:tc>
        <w:tc>
          <w:tcPr>
            <w:tcW w:w="818" w:type="dxa"/>
            <w:tcBorders/>
            <w:vAlign w:val="center"/>
          </w:tcPr>
          <w:p>
            <w:pPr>
              <w:pStyle w:val="Normal"/>
              <w:widowControl w:val="false"/>
              <w:tabs>
                <w:tab w:val="clear" w:pos="720"/>
              </w:tabs>
              <w:jc w:val="center"/>
              <w:rPr>
                <w:sz w:val="14"/>
                <w:szCs w:val="14"/>
              </w:rPr>
            </w:pPr>
            <w:r>
              <w:rPr>
                <w:sz w:val="14"/>
                <w:szCs w:val="14"/>
              </w:rPr>
              <w:t xml:space="preserve">43.71 </w:t>
              <w:br/>
              <w:t>(43.42 to 44.02)</w:t>
            </w:r>
          </w:p>
        </w:tc>
        <w:tc>
          <w:tcPr>
            <w:tcW w:w="807" w:type="dxa"/>
            <w:tcBorders/>
            <w:vAlign w:val="center"/>
          </w:tcPr>
          <w:p>
            <w:pPr>
              <w:pStyle w:val="Normal"/>
              <w:widowControl w:val="false"/>
              <w:tabs>
                <w:tab w:val="clear" w:pos="720"/>
              </w:tabs>
              <w:jc w:val="center"/>
              <w:rPr>
                <w:sz w:val="14"/>
                <w:szCs w:val="14"/>
              </w:rPr>
            </w:pPr>
            <w:r>
              <w:rPr>
                <w:sz w:val="14"/>
                <w:szCs w:val="14"/>
              </w:rPr>
              <w:t xml:space="preserve">43.64 </w:t>
              <w:br/>
              <w:t>(43.43 to 43.87)</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43.94 </w:t>
              <w:br/>
              <w:t>(43.08 to 44.54)</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4.0</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4.5</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0.6</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0.7</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5’-CCAUGG-3’</w:t>
            </w:r>
            <w:r>
              <w:rPr>
                <w:sz w:val="14"/>
                <w:szCs w:val="14"/>
                <w:vertAlign w:val="superscript"/>
              </w:rPr>
              <w:t>e</w:t>
            </w:r>
            <w:r>
              <w:rPr>
                <w:sz w:val="14"/>
                <w:szCs w:val="14"/>
              </w:rPr>
              <w:br/>
              <w:t>3’-GGUACC-5’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-60.25</w:t>
              <w:br/>
              <w:t xml:space="preserve"> (-60.95 to -59.42)</w:t>
            </w:r>
          </w:p>
        </w:tc>
        <w:tc>
          <w:tcPr>
            <w:tcW w:w="810" w:type="dxa"/>
            <w:tcBorders/>
            <w:vAlign w:val="center"/>
          </w:tcPr>
          <w:p>
            <w:pPr>
              <w:pStyle w:val="Normal"/>
              <w:widowControl w:val="false"/>
              <w:tabs>
                <w:tab w:val="clear" w:pos="720"/>
              </w:tabs>
              <w:jc w:val="center"/>
              <w:rPr>
                <w:sz w:val="14"/>
                <w:szCs w:val="14"/>
              </w:rPr>
            </w:pPr>
            <w:r>
              <w:rPr>
                <w:sz w:val="14"/>
                <w:szCs w:val="14"/>
              </w:rPr>
              <w:t xml:space="preserve">-59.82 </w:t>
              <w:br/>
              <w:t>(-60.51 to -59.15)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-59.86 </w:t>
              <w:br/>
              <w:t>(-61.28 to -58.83)</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-172.7 </w:t>
              <w:br/>
              <w:t>(-174.95 to -170.05)</w:t>
            </w:r>
          </w:p>
        </w:tc>
        <w:tc>
          <w:tcPr>
            <w:tcW w:w="899" w:type="dxa"/>
            <w:tcBorders/>
            <w:vAlign w:val="center"/>
          </w:tcPr>
          <w:p>
            <w:pPr>
              <w:pStyle w:val="Normal"/>
              <w:widowControl w:val="false"/>
              <w:tabs>
                <w:tab w:val="clear" w:pos="720"/>
              </w:tabs>
              <w:jc w:val="center"/>
              <w:rPr>
                <w:sz w:val="14"/>
                <w:szCs w:val="14"/>
              </w:rPr>
            </w:pPr>
            <w:r>
              <w:rPr>
                <w:sz w:val="14"/>
                <w:szCs w:val="14"/>
              </w:rPr>
              <w:t>-171.31</w:t>
              <w:br/>
              <w:t xml:space="preserve"> (-173.56 to -169.19)</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-171.4</w:t>
              <w:br/>
              <w:t xml:space="preserve"> (-175.85 to -168.12)</w:t>
            </w:r>
          </w:p>
        </w:tc>
        <w:tc>
          <w:tcPr>
            <w:tcW w:w="817" w:type="dxa"/>
            <w:tcBorders/>
            <w:vAlign w:val="center"/>
          </w:tcPr>
          <w:p>
            <w:pPr>
              <w:pStyle w:val="Normal"/>
              <w:widowControl w:val="false"/>
              <w:tabs>
                <w:tab w:val="clear" w:pos="720"/>
              </w:tabs>
              <w:jc w:val="center"/>
              <w:rPr>
                <w:sz w:val="14"/>
                <w:szCs w:val="14"/>
              </w:rPr>
            </w:pPr>
            <w:r>
              <w:rPr>
                <w:sz w:val="14"/>
                <w:szCs w:val="14"/>
              </w:rPr>
              <w:t xml:space="preserve">-6.69 </w:t>
              <w:br/>
              <w:t>(-6.71 to -6.67)</w:t>
            </w:r>
          </w:p>
        </w:tc>
        <w:tc>
          <w:tcPr>
            <w:tcW w:w="804" w:type="dxa"/>
            <w:tcBorders/>
            <w:vAlign w:val="center"/>
          </w:tcPr>
          <w:p>
            <w:pPr>
              <w:pStyle w:val="Normal"/>
              <w:widowControl w:val="false"/>
              <w:tabs>
                <w:tab w:val="clear" w:pos="720"/>
              </w:tabs>
              <w:jc w:val="center"/>
              <w:rPr>
                <w:sz w:val="14"/>
                <w:szCs w:val="14"/>
              </w:rPr>
            </w:pPr>
            <w:r>
              <w:rPr>
                <w:sz w:val="14"/>
                <w:szCs w:val="14"/>
              </w:rPr>
              <w:t xml:space="preserve">-6.69 </w:t>
              <w:br/>
              <w:t>(-6.7 to -6.67)</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-6.7 </w:t>
              <w:br/>
              <w:t>(-6.75 to -6.67)</w:t>
            </w:r>
          </w:p>
        </w:tc>
        <w:tc>
          <w:tcPr>
            <w:tcW w:w="818" w:type="dxa"/>
            <w:tcBorders/>
            <w:vAlign w:val="center"/>
          </w:tcPr>
          <w:p>
            <w:pPr>
              <w:pStyle w:val="Normal"/>
              <w:widowControl w:val="false"/>
              <w:tabs>
                <w:tab w:val="clear" w:pos="720"/>
              </w:tabs>
              <w:jc w:val="center"/>
              <w:rPr>
                <w:sz w:val="14"/>
                <w:szCs w:val="14"/>
              </w:rPr>
            </w:pPr>
            <w:r>
              <w:rPr>
                <w:sz w:val="14"/>
                <w:szCs w:val="14"/>
              </w:rPr>
              <w:t>42.29</w:t>
              <w:br/>
              <w:t xml:space="preserve"> (42.19 to 42.4)</w:t>
            </w:r>
          </w:p>
        </w:tc>
        <w:tc>
          <w:tcPr>
            <w:tcW w:w="807" w:type="dxa"/>
            <w:tcBorders/>
            <w:vAlign w:val="center"/>
          </w:tcPr>
          <w:p>
            <w:pPr>
              <w:pStyle w:val="Normal"/>
              <w:widowControl w:val="false"/>
              <w:tabs>
                <w:tab w:val="clear" w:pos="720"/>
              </w:tabs>
              <w:jc w:val="center"/>
              <w:rPr>
                <w:sz w:val="14"/>
                <w:szCs w:val="14"/>
              </w:rPr>
            </w:pPr>
            <w:r>
              <w:rPr>
                <w:sz w:val="14"/>
                <w:szCs w:val="14"/>
              </w:rPr>
              <w:t xml:space="preserve">42.33 </w:t>
              <w:br/>
              <w:t>(42.25 to 42.41)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42.37 </w:t>
              <w:br/>
              <w:t>(42.28 to 42.51)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0.7</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0.8</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0.2</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5’-GAUAUAUC-3’</w:t>
            </w:r>
            <w:r>
              <w:rPr>
                <w:sz w:val="14"/>
                <w:szCs w:val="14"/>
                <w:vertAlign w:val="superscript"/>
              </w:rPr>
              <w:t>e</w:t>
            </w:r>
            <w:r>
              <w:rPr>
                <w:sz w:val="14"/>
                <w:szCs w:val="14"/>
              </w:rPr>
              <w:br/>
              <w:t>3’-CUAUAUAG-5’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-73.53</w:t>
              <w:br/>
              <w:t xml:space="preserve"> (-74.25 to -72.58)</w:t>
            </w:r>
          </w:p>
        </w:tc>
        <w:tc>
          <w:tcPr>
            <w:tcW w:w="810" w:type="dxa"/>
            <w:tcBorders/>
            <w:vAlign w:val="center"/>
          </w:tcPr>
          <w:p>
            <w:pPr>
              <w:pStyle w:val="Normal"/>
              <w:widowControl w:val="false"/>
              <w:tabs>
                <w:tab w:val="clear" w:pos="720"/>
              </w:tabs>
              <w:jc w:val="center"/>
              <w:rPr>
                <w:sz w:val="14"/>
                <w:szCs w:val="14"/>
              </w:rPr>
            </w:pPr>
            <w:r>
              <w:rPr>
                <w:sz w:val="14"/>
                <w:szCs w:val="14"/>
              </w:rPr>
              <w:t xml:space="preserve">-63.12 </w:t>
              <w:br/>
              <w:t>(-64.49 to -62.15)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-74.15 </w:t>
              <w:br/>
              <w:t>(-78.59 to -71.74)</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-220.06</w:t>
              <w:br/>
              <w:t xml:space="preserve"> (-222.4 to -217.04)</w:t>
            </w:r>
          </w:p>
        </w:tc>
        <w:tc>
          <w:tcPr>
            <w:tcW w:w="899" w:type="dxa"/>
            <w:tcBorders/>
            <w:vAlign w:val="center"/>
          </w:tcPr>
          <w:p>
            <w:pPr>
              <w:pStyle w:val="Normal"/>
              <w:widowControl w:val="false"/>
              <w:tabs>
                <w:tab w:val="clear" w:pos="720"/>
              </w:tabs>
              <w:jc w:val="center"/>
              <w:rPr>
                <w:sz w:val="14"/>
                <w:szCs w:val="14"/>
              </w:rPr>
            </w:pPr>
            <w:r>
              <w:rPr>
                <w:sz w:val="14"/>
                <w:szCs w:val="14"/>
              </w:rPr>
              <w:t>-186.19</w:t>
              <w:br/>
              <w:t xml:space="preserve"> (-190.72 to -182.98)</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-221.96</w:t>
              <w:br/>
              <w:t xml:space="preserve"> (-236.28 to -214.21)</w:t>
            </w:r>
          </w:p>
        </w:tc>
        <w:tc>
          <w:tcPr>
            <w:tcW w:w="817" w:type="dxa"/>
            <w:tcBorders/>
            <w:vAlign w:val="center"/>
          </w:tcPr>
          <w:p>
            <w:pPr>
              <w:pStyle w:val="Normal"/>
              <w:widowControl w:val="false"/>
              <w:tabs>
                <w:tab w:val="clear" w:pos="720"/>
              </w:tabs>
              <w:jc w:val="center"/>
              <w:rPr>
                <w:sz w:val="14"/>
                <w:szCs w:val="14"/>
              </w:rPr>
            </w:pPr>
            <w:r>
              <w:rPr>
                <w:sz w:val="14"/>
                <w:szCs w:val="14"/>
              </w:rPr>
              <w:t xml:space="preserve">-5.28 </w:t>
              <w:br/>
              <w:t>(-5.3 to -5.24)</w:t>
            </w:r>
          </w:p>
        </w:tc>
        <w:tc>
          <w:tcPr>
            <w:tcW w:w="804" w:type="dxa"/>
            <w:tcBorders/>
            <w:vAlign w:val="center"/>
          </w:tcPr>
          <w:p>
            <w:pPr>
              <w:pStyle w:val="Normal"/>
              <w:widowControl w:val="false"/>
              <w:tabs>
                <w:tab w:val="clear" w:pos="720"/>
              </w:tabs>
              <w:jc w:val="center"/>
              <w:rPr>
                <w:sz w:val="14"/>
                <w:szCs w:val="14"/>
              </w:rPr>
            </w:pPr>
            <w:r>
              <w:rPr>
                <w:sz w:val="14"/>
                <w:szCs w:val="14"/>
              </w:rPr>
              <w:t xml:space="preserve">-5.37 </w:t>
              <w:br/>
              <w:t>(-5.4 to -5.33)</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-5.31 </w:t>
              <w:br/>
              <w:t>(-5.34 to -5.27)</w:t>
            </w:r>
          </w:p>
        </w:tc>
        <w:tc>
          <w:tcPr>
            <w:tcW w:w="818" w:type="dxa"/>
            <w:tcBorders/>
            <w:vAlign w:val="center"/>
          </w:tcPr>
          <w:p>
            <w:pPr>
              <w:pStyle w:val="Normal"/>
              <w:widowControl w:val="false"/>
              <w:tabs>
                <w:tab w:val="clear" w:pos="720"/>
              </w:tabs>
              <w:jc w:val="center"/>
              <w:rPr>
                <w:sz w:val="14"/>
                <w:szCs w:val="14"/>
              </w:rPr>
            </w:pPr>
            <w:r>
              <w:rPr>
                <w:sz w:val="14"/>
                <w:szCs w:val="14"/>
              </w:rPr>
              <w:t>35.33</w:t>
              <w:br/>
              <w:t xml:space="preserve"> (35.19 to 35.45)</w:t>
            </w:r>
          </w:p>
        </w:tc>
        <w:tc>
          <w:tcPr>
            <w:tcW w:w="807" w:type="dxa"/>
            <w:tcBorders/>
            <w:vAlign w:val="center"/>
          </w:tcPr>
          <w:p>
            <w:pPr>
              <w:pStyle w:val="Normal"/>
              <w:widowControl w:val="false"/>
              <w:tabs>
                <w:tab w:val="clear" w:pos="720"/>
              </w:tabs>
              <w:jc w:val="center"/>
              <w:rPr>
                <w:sz w:val="14"/>
                <w:szCs w:val="14"/>
              </w:rPr>
            </w:pPr>
            <w:r>
              <w:rPr>
                <w:sz w:val="14"/>
                <w:szCs w:val="14"/>
              </w:rPr>
              <w:t xml:space="preserve">35.52 </w:t>
              <w:br/>
              <w:t>(35.35 to 35.63)</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35.47 </w:t>
              <w:br/>
              <w:t>(35.26 to 35.59)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15.7</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5’-GCAAUUGC-3’</w:t>
            </w:r>
            <w:r>
              <w:rPr>
                <w:sz w:val="14"/>
                <w:szCs w:val="14"/>
                <w:vertAlign w:val="superscript"/>
              </w:rPr>
              <w:t>e</w:t>
            </w:r>
            <w:r>
              <w:rPr>
                <w:sz w:val="14"/>
                <w:szCs w:val="14"/>
              </w:rPr>
              <w:br/>
              <w:t>3’-CGUUAACG-5’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-77.7</w:t>
              <w:br/>
              <w:t xml:space="preserve"> (-79.22 to -76.53)</w:t>
            </w:r>
          </w:p>
        </w:tc>
        <w:tc>
          <w:tcPr>
            <w:tcW w:w="810" w:type="dxa"/>
            <w:tcBorders/>
            <w:vAlign w:val="center"/>
          </w:tcPr>
          <w:p>
            <w:pPr>
              <w:pStyle w:val="Normal"/>
              <w:widowControl w:val="false"/>
              <w:tabs>
                <w:tab w:val="clear" w:pos="720"/>
              </w:tabs>
              <w:jc w:val="center"/>
              <w:rPr>
                <w:sz w:val="14"/>
                <w:szCs w:val="14"/>
              </w:rPr>
            </w:pPr>
            <w:r>
              <w:rPr>
                <w:sz w:val="14"/>
                <w:szCs w:val="14"/>
              </w:rPr>
              <w:t xml:space="preserve">-75.39 </w:t>
              <w:br/>
              <w:t>(-77.18 to -73.68)</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-81.24 </w:t>
              <w:br/>
              <w:t>(-84.35 to -79.04)</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-223.08</w:t>
              <w:br/>
              <w:t xml:space="preserve"> (-227.87 to -219.42)</w:t>
            </w:r>
          </w:p>
        </w:tc>
        <w:tc>
          <w:tcPr>
            <w:tcW w:w="899" w:type="dxa"/>
            <w:tcBorders/>
            <w:vAlign w:val="center"/>
          </w:tcPr>
          <w:p>
            <w:pPr>
              <w:pStyle w:val="Normal"/>
              <w:widowControl w:val="false"/>
              <w:tabs>
                <w:tab w:val="clear" w:pos="720"/>
              </w:tabs>
              <w:jc w:val="center"/>
              <w:rPr>
                <w:sz w:val="14"/>
                <w:szCs w:val="14"/>
              </w:rPr>
            </w:pPr>
            <w:r>
              <w:rPr>
                <w:sz w:val="14"/>
                <w:szCs w:val="14"/>
              </w:rPr>
              <w:t>-215.93</w:t>
              <w:br/>
              <w:t xml:space="preserve"> (-221.55 to -210.59)</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-234.11</w:t>
              <w:br/>
              <w:t xml:space="preserve"> (-243.79 to -227.28)</w:t>
            </w:r>
          </w:p>
        </w:tc>
        <w:tc>
          <w:tcPr>
            <w:tcW w:w="817" w:type="dxa"/>
            <w:tcBorders/>
            <w:vAlign w:val="center"/>
          </w:tcPr>
          <w:p>
            <w:pPr>
              <w:pStyle w:val="Normal"/>
              <w:widowControl w:val="false"/>
              <w:tabs>
                <w:tab w:val="clear" w:pos="720"/>
              </w:tabs>
              <w:jc w:val="center"/>
              <w:rPr>
                <w:sz w:val="14"/>
                <w:szCs w:val="14"/>
              </w:rPr>
            </w:pPr>
            <w:r>
              <w:rPr>
                <w:sz w:val="14"/>
                <w:szCs w:val="14"/>
              </w:rPr>
              <w:t xml:space="preserve">-8.52 </w:t>
              <w:br/>
              <w:t>(-8.56 to -8.46)</w:t>
            </w:r>
          </w:p>
        </w:tc>
        <w:tc>
          <w:tcPr>
            <w:tcW w:w="804" w:type="dxa"/>
            <w:tcBorders/>
            <w:vAlign w:val="center"/>
          </w:tcPr>
          <w:p>
            <w:pPr>
              <w:pStyle w:val="Normal"/>
              <w:widowControl w:val="false"/>
              <w:tabs>
                <w:tab w:val="clear" w:pos="720"/>
              </w:tabs>
              <w:jc w:val="center"/>
              <w:rPr>
                <w:sz w:val="14"/>
                <w:szCs w:val="14"/>
              </w:rPr>
            </w:pPr>
            <w:r>
              <w:rPr>
                <w:sz w:val="14"/>
                <w:szCs w:val="14"/>
              </w:rPr>
              <w:t xml:space="preserve">-8.42 </w:t>
              <w:br/>
              <w:t>(-8.47 to -8.35)</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-8.63 </w:t>
              <w:br/>
              <w:t>(-8.73 to -8.54)</w:t>
            </w:r>
          </w:p>
        </w:tc>
        <w:tc>
          <w:tcPr>
            <w:tcW w:w="818" w:type="dxa"/>
            <w:tcBorders/>
            <w:vAlign w:val="center"/>
          </w:tcPr>
          <w:p>
            <w:pPr>
              <w:pStyle w:val="Normal"/>
              <w:widowControl w:val="false"/>
              <w:tabs>
                <w:tab w:val="clear" w:pos="720"/>
              </w:tabs>
              <w:jc w:val="center"/>
              <w:rPr>
                <w:sz w:val="14"/>
                <w:szCs w:val="14"/>
              </w:rPr>
            </w:pPr>
            <w:r>
              <w:rPr>
                <w:sz w:val="14"/>
                <w:szCs w:val="14"/>
              </w:rPr>
              <w:t xml:space="preserve">48.76 </w:t>
              <w:br/>
              <w:t>(48.57 to 48.88)</w:t>
            </w:r>
          </w:p>
        </w:tc>
        <w:tc>
          <w:tcPr>
            <w:tcW w:w="807" w:type="dxa"/>
            <w:tcBorders/>
            <w:vAlign w:val="center"/>
          </w:tcPr>
          <w:p>
            <w:pPr>
              <w:pStyle w:val="Normal"/>
              <w:widowControl w:val="false"/>
              <w:tabs>
                <w:tab w:val="clear" w:pos="720"/>
              </w:tabs>
              <w:jc w:val="center"/>
              <w:rPr>
                <w:sz w:val="14"/>
                <w:szCs w:val="14"/>
              </w:rPr>
            </w:pPr>
            <w:r>
              <w:rPr>
                <w:sz w:val="14"/>
                <w:szCs w:val="14"/>
              </w:rPr>
              <w:t xml:space="preserve">48.7 </w:t>
              <w:br/>
              <w:t>(48.59 to 48.82)</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48.71 </w:t>
              <w:br/>
              <w:t>(48.64 to 48.78)</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7.5</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8.1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2.5</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5’-CGAAAGGU-3’</w:t>
            </w:r>
            <w:r>
              <w:rPr>
                <w:sz w:val="14"/>
                <w:szCs w:val="14"/>
                <w:vertAlign w:val="superscript"/>
              </w:rPr>
              <w:t>f</w:t>
            </w:r>
            <w:r>
              <w:rPr>
                <w:sz w:val="14"/>
                <w:szCs w:val="14"/>
              </w:rPr>
              <w:br/>
              <w:t>3’-GCUUUCCA-5’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-68.64 </w:t>
              <w:br/>
              <w:t>(-70.07 to -67.32)</w:t>
            </w:r>
          </w:p>
        </w:tc>
        <w:tc>
          <w:tcPr>
            <w:tcW w:w="810" w:type="dxa"/>
            <w:tcBorders/>
            <w:vAlign w:val="center"/>
          </w:tcPr>
          <w:p>
            <w:pPr>
              <w:pStyle w:val="Normal"/>
              <w:widowControl w:val="false"/>
              <w:tabs>
                <w:tab w:val="clear" w:pos="720"/>
              </w:tabs>
              <w:jc w:val="center"/>
              <w:rPr>
                <w:sz w:val="14"/>
                <w:szCs w:val="14"/>
              </w:rPr>
            </w:pPr>
            <w:r>
              <w:rPr>
                <w:sz w:val="14"/>
                <w:szCs w:val="14"/>
              </w:rPr>
              <w:t xml:space="preserve">-68.03 </w:t>
              <w:br/>
              <w:t>(-69.92 to -66.25)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-67.98 </w:t>
              <w:br/>
              <w:t>(-69.89 to -66.16)</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-188.69 </w:t>
              <w:br/>
              <w:t>(-193.12 to -184.54)</w:t>
            </w:r>
          </w:p>
        </w:tc>
        <w:tc>
          <w:tcPr>
            <w:tcW w:w="899" w:type="dxa"/>
            <w:tcBorders/>
            <w:vAlign w:val="center"/>
          </w:tcPr>
          <w:p>
            <w:pPr>
              <w:pStyle w:val="Normal"/>
              <w:widowControl w:val="false"/>
              <w:tabs>
                <w:tab w:val="clear" w:pos="720"/>
              </w:tabs>
              <w:jc w:val="center"/>
              <w:rPr>
                <w:sz w:val="14"/>
                <w:szCs w:val="14"/>
              </w:rPr>
            </w:pPr>
            <w:r>
              <w:rPr>
                <w:sz w:val="14"/>
                <w:szCs w:val="14"/>
              </w:rPr>
              <w:t xml:space="preserve">-186.82 </w:t>
              <w:br/>
              <w:t>(-192.62 to -181.35)</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-186.59 </w:t>
              <w:br/>
              <w:t>(-192.46 to -181.12)</w:t>
            </w:r>
          </w:p>
        </w:tc>
        <w:tc>
          <w:tcPr>
            <w:tcW w:w="817" w:type="dxa"/>
            <w:tcBorders/>
            <w:vAlign w:val="center"/>
          </w:tcPr>
          <w:p>
            <w:pPr>
              <w:pStyle w:val="Normal"/>
              <w:widowControl w:val="false"/>
              <w:tabs>
                <w:tab w:val="clear" w:pos="720"/>
              </w:tabs>
              <w:jc w:val="center"/>
              <w:rPr>
                <w:sz w:val="14"/>
                <w:szCs w:val="14"/>
              </w:rPr>
            </w:pPr>
            <w:r>
              <w:rPr>
                <w:sz w:val="14"/>
                <w:szCs w:val="14"/>
              </w:rPr>
              <w:t xml:space="preserve">-10.12 </w:t>
              <w:br/>
              <w:t>(-10.18 to -10.06)</w:t>
            </w:r>
          </w:p>
        </w:tc>
        <w:tc>
          <w:tcPr>
            <w:tcW w:w="804" w:type="dxa"/>
            <w:tcBorders/>
            <w:vAlign w:val="center"/>
          </w:tcPr>
          <w:p>
            <w:pPr>
              <w:pStyle w:val="Normal"/>
              <w:widowControl w:val="false"/>
              <w:tabs>
                <w:tab w:val="clear" w:pos="720"/>
              </w:tabs>
              <w:jc w:val="center"/>
              <w:rPr>
                <w:sz w:val="14"/>
                <w:szCs w:val="14"/>
              </w:rPr>
            </w:pPr>
            <w:r>
              <w:rPr>
                <w:sz w:val="14"/>
                <w:szCs w:val="14"/>
              </w:rPr>
              <w:t xml:space="preserve">-10.09 </w:t>
              <w:br/>
              <w:t>(-10.19 to -10)</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-10.11 </w:t>
              <w:br/>
              <w:t>(-10.2 to -10)</w:t>
            </w:r>
          </w:p>
        </w:tc>
        <w:tc>
          <w:tcPr>
            <w:tcW w:w="818" w:type="dxa"/>
            <w:tcBorders/>
            <w:vAlign w:val="center"/>
          </w:tcPr>
          <w:p>
            <w:pPr>
              <w:pStyle w:val="Normal"/>
              <w:widowControl w:val="false"/>
              <w:tabs>
                <w:tab w:val="clear" w:pos="720"/>
              </w:tabs>
              <w:jc w:val="center"/>
              <w:rPr>
                <w:sz w:val="14"/>
                <w:szCs w:val="14"/>
              </w:rPr>
            </w:pPr>
            <w:r>
              <w:rPr>
                <w:sz w:val="14"/>
                <w:szCs w:val="14"/>
              </w:rPr>
              <w:t>54.12</w:t>
              <w:br/>
              <w:t xml:space="preserve"> (53.87 to 54.38)</w:t>
            </w:r>
          </w:p>
        </w:tc>
        <w:tc>
          <w:tcPr>
            <w:tcW w:w="807" w:type="dxa"/>
            <w:tcBorders/>
            <w:vAlign w:val="center"/>
          </w:tcPr>
          <w:p>
            <w:pPr>
              <w:pStyle w:val="Normal"/>
              <w:widowControl w:val="false"/>
              <w:tabs>
                <w:tab w:val="clear" w:pos="720"/>
              </w:tabs>
              <w:jc w:val="center"/>
              <w:rPr>
                <w:sz w:val="14"/>
                <w:szCs w:val="14"/>
              </w:rPr>
            </w:pPr>
            <w:r>
              <w:rPr>
                <w:sz w:val="14"/>
                <w:szCs w:val="14"/>
              </w:rPr>
              <w:t xml:space="preserve">54.13 </w:t>
              <w:br/>
              <w:t>(53.9 to 54.33)</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54.21 </w:t>
              <w:br/>
              <w:t>(53.95 to 54.54)</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0.3</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0.2</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5’-CUGAGUC-3’</w:t>
            </w:r>
            <w:r>
              <w:rPr>
                <w:sz w:val="14"/>
                <w:szCs w:val="14"/>
                <w:vertAlign w:val="superscript"/>
              </w:rPr>
              <w:t>f</w:t>
            </w:r>
            <w:r>
              <w:rPr>
                <w:sz w:val="14"/>
                <w:szCs w:val="14"/>
              </w:rPr>
              <w:br/>
              <w:t>3’-GACUCAG-5’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-64.09 (-65.15 to -63.2)</w:t>
            </w:r>
          </w:p>
        </w:tc>
        <w:tc>
          <w:tcPr>
            <w:tcW w:w="810" w:type="dxa"/>
            <w:tcBorders/>
            <w:vAlign w:val="center"/>
          </w:tcPr>
          <w:p>
            <w:pPr>
              <w:pStyle w:val="Normal"/>
              <w:widowControl w:val="false"/>
              <w:tabs>
                <w:tab w:val="clear" w:pos="720"/>
              </w:tabs>
              <w:jc w:val="center"/>
              <w:rPr>
                <w:sz w:val="14"/>
                <w:szCs w:val="14"/>
              </w:rPr>
            </w:pPr>
            <w:r>
              <w:rPr>
                <w:sz w:val="14"/>
                <w:szCs w:val="14"/>
              </w:rPr>
              <w:t xml:space="preserve">-64.14 </w:t>
              <w:br/>
              <w:t>(-65.4 to -63.08)</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-63.31 </w:t>
              <w:br/>
              <w:t>(-64 to -62.69)</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-176.35 </w:t>
              <w:br/>
              <w:t>(-179.73 to -173.53)</w:t>
            </w:r>
          </w:p>
        </w:tc>
        <w:tc>
          <w:tcPr>
            <w:tcW w:w="899" w:type="dxa"/>
            <w:tcBorders/>
            <w:vAlign w:val="center"/>
          </w:tcPr>
          <w:p>
            <w:pPr>
              <w:pStyle w:val="Normal"/>
              <w:widowControl w:val="false"/>
              <w:tabs>
                <w:tab w:val="clear" w:pos="720"/>
              </w:tabs>
              <w:jc w:val="center"/>
              <w:rPr>
                <w:sz w:val="14"/>
                <w:szCs w:val="14"/>
              </w:rPr>
            </w:pPr>
            <w:r>
              <w:rPr>
                <w:sz w:val="14"/>
                <w:szCs w:val="14"/>
              </w:rPr>
              <w:t>-176.51</w:t>
              <w:br/>
              <w:t xml:space="preserve"> (-180.45 to -173.21)</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-173.83</w:t>
              <w:br/>
              <w:t xml:space="preserve"> (-175.92 to -171.93)</w:t>
            </w:r>
          </w:p>
        </w:tc>
        <w:tc>
          <w:tcPr>
            <w:tcW w:w="817" w:type="dxa"/>
            <w:tcBorders/>
            <w:vAlign w:val="center"/>
          </w:tcPr>
          <w:p>
            <w:pPr>
              <w:pStyle w:val="Normal"/>
              <w:widowControl w:val="false"/>
              <w:tabs>
                <w:tab w:val="clear" w:pos="720"/>
              </w:tabs>
              <w:jc w:val="center"/>
              <w:rPr>
                <w:sz w:val="14"/>
                <w:szCs w:val="14"/>
              </w:rPr>
            </w:pPr>
            <w:r>
              <w:rPr>
                <w:sz w:val="14"/>
                <w:szCs w:val="14"/>
              </w:rPr>
              <w:t xml:space="preserve">-9.4 </w:t>
              <w:br/>
              <w:t>(-9.42 to -9.38)</w:t>
            </w:r>
          </w:p>
        </w:tc>
        <w:tc>
          <w:tcPr>
            <w:tcW w:w="804" w:type="dxa"/>
            <w:tcBorders/>
            <w:vAlign w:val="center"/>
          </w:tcPr>
          <w:p>
            <w:pPr>
              <w:pStyle w:val="Normal"/>
              <w:widowControl w:val="false"/>
              <w:tabs>
                <w:tab w:val="clear" w:pos="720"/>
              </w:tabs>
              <w:jc w:val="center"/>
              <w:rPr>
                <w:sz w:val="14"/>
                <w:szCs w:val="14"/>
              </w:rPr>
            </w:pPr>
            <w:r>
              <w:rPr>
                <w:sz w:val="14"/>
                <w:szCs w:val="14"/>
              </w:rPr>
              <w:t xml:space="preserve">-9.4 </w:t>
              <w:br/>
              <w:t>(-9.44 to -9.36)</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-9.39 </w:t>
              <w:br/>
              <w:t>(-9.44 to -9.35)</w:t>
            </w:r>
          </w:p>
        </w:tc>
        <w:tc>
          <w:tcPr>
            <w:tcW w:w="818" w:type="dxa"/>
            <w:tcBorders/>
            <w:vAlign w:val="center"/>
          </w:tcPr>
          <w:p>
            <w:pPr>
              <w:pStyle w:val="Normal"/>
              <w:widowControl w:val="false"/>
              <w:tabs>
                <w:tab w:val="clear" w:pos="720"/>
              </w:tabs>
              <w:jc w:val="center"/>
              <w:rPr>
                <w:sz w:val="14"/>
                <w:szCs w:val="14"/>
              </w:rPr>
            </w:pPr>
            <w:r>
              <w:rPr>
                <w:sz w:val="14"/>
                <w:szCs w:val="14"/>
              </w:rPr>
              <w:t>51.52</w:t>
              <w:br/>
              <w:t xml:space="preserve"> (51.37 to 51.68)</w:t>
            </w:r>
          </w:p>
        </w:tc>
        <w:tc>
          <w:tcPr>
            <w:tcW w:w="807" w:type="dxa"/>
            <w:tcBorders/>
            <w:vAlign w:val="center"/>
          </w:tcPr>
          <w:p>
            <w:pPr>
              <w:pStyle w:val="Normal"/>
              <w:widowControl w:val="false"/>
              <w:tabs>
                <w:tab w:val="clear" w:pos="720"/>
              </w:tabs>
              <w:jc w:val="center"/>
              <w:rPr>
                <w:sz w:val="14"/>
                <w:szCs w:val="14"/>
              </w:rPr>
            </w:pPr>
            <w:r>
              <w:rPr>
                <w:sz w:val="14"/>
                <w:szCs w:val="14"/>
              </w:rPr>
              <w:t xml:space="preserve">51.5 </w:t>
              <w:br/>
              <w:t>(51.39 to 51.62)</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51.69 </w:t>
              <w:br/>
              <w:t>(51.43 to 51.88)</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0.4</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5’-CGUUGC-3’</w:t>
            </w:r>
            <w:r>
              <w:rPr>
                <w:sz w:val="14"/>
                <w:szCs w:val="14"/>
                <w:vertAlign w:val="superscript"/>
              </w:rPr>
              <w:t>f</w:t>
            </w:r>
            <w:r>
              <w:rPr>
                <w:sz w:val="14"/>
                <w:szCs w:val="14"/>
              </w:rPr>
              <w:br/>
              <w:t>3’-GCAACG-5’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-51.69</w:t>
              <w:br/>
              <w:t xml:space="preserve"> (-53.13 to -50.18)</w:t>
            </w:r>
          </w:p>
        </w:tc>
        <w:tc>
          <w:tcPr>
            <w:tcW w:w="810" w:type="dxa"/>
            <w:tcBorders/>
            <w:vAlign w:val="center"/>
          </w:tcPr>
          <w:p>
            <w:pPr>
              <w:pStyle w:val="Normal"/>
              <w:widowControl w:val="false"/>
              <w:tabs>
                <w:tab w:val="clear" w:pos="720"/>
              </w:tabs>
              <w:jc w:val="center"/>
              <w:rPr>
                <w:sz w:val="14"/>
                <w:szCs w:val="14"/>
              </w:rPr>
            </w:pPr>
            <w:r>
              <w:rPr>
                <w:sz w:val="14"/>
                <w:szCs w:val="14"/>
              </w:rPr>
              <w:t xml:space="preserve">-47.58 </w:t>
              <w:br/>
              <w:t>(-49.77 to -45.95)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-51.92 </w:t>
              <w:br/>
              <w:t>(-54.53 to -50.37)</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-142.99</w:t>
              <w:br/>
              <w:t xml:space="preserve"> (-147.72 to -138.15)</w:t>
            </w:r>
          </w:p>
        </w:tc>
        <w:tc>
          <w:tcPr>
            <w:tcW w:w="899" w:type="dxa"/>
            <w:tcBorders/>
            <w:vAlign w:val="center"/>
          </w:tcPr>
          <w:p>
            <w:pPr>
              <w:pStyle w:val="Normal"/>
              <w:widowControl w:val="false"/>
              <w:tabs>
                <w:tab w:val="clear" w:pos="720"/>
              </w:tabs>
              <w:jc w:val="center"/>
              <w:rPr>
                <w:sz w:val="14"/>
                <w:szCs w:val="14"/>
              </w:rPr>
            </w:pPr>
            <w:r>
              <w:rPr>
                <w:sz w:val="14"/>
                <w:szCs w:val="14"/>
              </w:rPr>
              <w:t>-129.92</w:t>
              <w:br/>
              <w:t xml:space="preserve"> (-137.09 to -124.62)</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-143.61</w:t>
              <w:br/>
              <w:t xml:space="preserve"> (-151.88 to -138.78)</w:t>
            </w:r>
          </w:p>
        </w:tc>
        <w:tc>
          <w:tcPr>
            <w:tcW w:w="817" w:type="dxa"/>
            <w:tcBorders/>
            <w:vAlign w:val="center"/>
          </w:tcPr>
          <w:p>
            <w:pPr>
              <w:pStyle w:val="Normal"/>
              <w:widowControl w:val="false"/>
              <w:tabs>
                <w:tab w:val="clear" w:pos="720"/>
              </w:tabs>
              <w:jc w:val="center"/>
              <w:rPr>
                <w:sz w:val="14"/>
                <w:szCs w:val="14"/>
              </w:rPr>
            </w:pPr>
            <w:r>
              <w:rPr>
                <w:sz w:val="14"/>
                <w:szCs w:val="14"/>
              </w:rPr>
              <w:t xml:space="preserve">-7.34 </w:t>
              <w:br/>
              <w:t>(-7.39 to -7.27)</w:t>
            </w:r>
          </w:p>
        </w:tc>
        <w:tc>
          <w:tcPr>
            <w:tcW w:w="804" w:type="dxa"/>
            <w:tcBorders/>
            <w:vAlign w:val="center"/>
          </w:tcPr>
          <w:p>
            <w:pPr>
              <w:pStyle w:val="Normal"/>
              <w:widowControl w:val="false"/>
              <w:tabs>
                <w:tab w:val="clear" w:pos="720"/>
              </w:tabs>
              <w:jc w:val="center"/>
              <w:rPr>
                <w:sz w:val="14"/>
                <w:szCs w:val="14"/>
              </w:rPr>
            </w:pPr>
            <w:r>
              <w:rPr>
                <w:sz w:val="14"/>
                <w:szCs w:val="14"/>
              </w:rPr>
              <w:t xml:space="preserve">-7.28 </w:t>
              <w:br/>
              <w:t>(-7.32 to -7.22)</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-7.38 </w:t>
              <w:br/>
              <w:t>(-7.45 to -7.28)</w:t>
            </w:r>
          </w:p>
        </w:tc>
        <w:tc>
          <w:tcPr>
            <w:tcW w:w="818" w:type="dxa"/>
            <w:tcBorders/>
            <w:vAlign w:val="center"/>
          </w:tcPr>
          <w:p>
            <w:pPr>
              <w:pStyle w:val="Normal"/>
              <w:widowControl w:val="false"/>
              <w:tabs>
                <w:tab w:val="clear" w:pos="720"/>
              </w:tabs>
              <w:jc w:val="center"/>
              <w:rPr>
                <w:sz w:val="14"/>
                <w:szCs w:val="14"/>
              </w:rPr>
            </w:pPr>
            <w:r>
              <w:rPr>
                <w:sz w:val="14"/>
                <w:szCs w:val="14"/>
              </w:rPr>
              <w:t xml:space="preserve">41.92 </w:t>
              <w:br/>
              <w:t>(41.43 to 42.35)</w:t>
            </w:r>
          </w:p>
        </w:tc>
        <w:tc>
          <w:tcPr>
            <w:tcW w:w="807" w:type="dxa"/>
            <w:tcBorders/>
            <w:vAlign w:val="center"/>
          </w:tcPr>
          <w:p>
            <w:pPr>
              <w:pStyle w:val="Normal"/>
              <w:widowControl w:val="false"/>
              <w:tabs>
                <w:tab w:val="clear" w:pos="720"/>
              </w:tabs>
              <w:jc w:val="center"/>
              <w:rPr>
                <w:sz w:val="14"/>
                <w:szCs w:val="14"/>
              </w:rPr>
            </w:pPr>
            <w:r>
              <w:rPr>
                <w:sz w:val="14"/>
                <w:szCs w:val="14"/>
              </w:rPr>
              <w:t xml:space="preserve">41.98 </w:t>
              <w:br/>
              <w:t>(41.49 to 42.36)</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42.13 </w:t>
              <w:br/>
              <w:t>(41.56 to 42.39)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8.6</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9.9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FAM-CGAAAGGU-3’</w:t>
            </w:r>
            <w:r>
              <w:rPr>
                <w:sz w:val="14"/>
                <w:szCs w:val="14"/>
                <w:vertAlign w:val="superscript"/>
              </w:rPr>
              <w:t>f</w:t>
            </w:r>
            <w:r>
              <w:rPr>
                <w:sz w:val="14"/>
                <w:szCs w:val="14"/>
              </w:rPr>
              <w:br/>
              <w:t>BHQ1- GCUUUCCA-5’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-83.25 </w:t>
              <w:br/>
              <w:t>(-85.73 to -80.95)</w:t>
            </w:r>
          </w:p>
        </w:tc>
        <w:tc>
          <w:tcPr>
            <w:tcW w:w="810" w:type="dxa"/>
            <w:tcBorders/>
            <w:vAlign w:val="center"/>
          </w:tcPr>
          <w:p>
            <w:pPr>
              <w:pStyle w:val="Normal"/>
              <w:widowControl w:val="false"/>
              <w:tabs>
                <w:tab w:val="clear" w:pos="720"/>
              </w:tabs>
              <w:jc w:val="center"/>
              <w:rPr>
                <w:sz w:val="14"/>
                <w:szCs w:val="14"/>
              </w:rPr>
            </w:pPr>
            <w:r>
              <w:rPr>
                <w:sz w:val="14"/>
                <w:szCs w:val="14"/>
              </w:rPr>
              <w:t xml:space="preserve">-81.76 </w:t>
              <w:br/>
              <w:t>(-85.14 to -79.11)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-80.92 </w:t>
              <w:br/>
              <w:t>(-83.27 to -79.05)</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-223.16</w:t>
              <w:br/>
              <w:t xml:space="preserve"> (-230.67 to -216.32)</w:t>
            </w:r>
          </w:p>
        </w:tc>
        <w:tc>
          <w:tcPr>
            <w:tcW w:w="899" w:type="dxa"/>
            <w:tcBorders/>
            <w:vAlign w:val="center"/>
          </w:tcPr>
          <w:p>
            <w:pPr>
              <w:pStyle w:val="Normal"/>
              <w:widowControl w:val="false"/>
              <w:tabs>
                <w:tab w:val="clear" w:pos="720"/>
              </w:tabs>
              <w:jc w:val="center"/>
              <w:rPr>
                <w:sz w:val="14"/>
                <w:szCs w:val="14"/>
              </w:rPr>
            </w:pPr>
            <w:r>
              <w:rPr>
                <w:sz w:val="14"/>
                <w:szCs w:val="14"/>
              </w:rPr>
              <w:t>-218.73</w:t>
              <w:br/>
              <w:t xml:space="preserve"> (-228.81 to -210.85)</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-216.39</w:t>
              <w:br/>
              <w:t xml:space="preserve"> (-223.4 to -210.93)</w:t>
            </w:r>
          </w:p>
        </w:tc>
        <w:tc>
          <w:tcPr>
            <w:tcW w:w="817" w:type="dxa"/>
            <w:tcBorders/>
            <w:vAlign w:val="center"/>
          </w:tcPr>
          <w:p>
            <w:pPr>
              <w:pStyle w:val="Normal"/>
              <w:widowControl w:val="false"/>
              <w:tabs>
                <w:tab w:val="clear" w:pos="720"/>
              </w:tabs>
              <w:jc w:val="center"/>
              <w:rPr>
                <w:sz w:val="14"/>
                <w:szCs w:val="14"/>
              </w:rPr>
            </w:pPr>
            <w:r>
              <w:rPr>
                <w:sz w:val="14"/>
                <w:szCs w:val="14"/>
              </w:rPr>
              <w:t xml:space="preserve">-14.03 </w:t>
              <w:br/>
              <w:t>(-14.22 to -13.86)</w:t>
            </w:r>
          </w:p>
        </w:tc>
        <w:tc>
          <w:tcPr>
            <w:tcW w:w="804" w:type="dxa"/>
            <w:tcBorders/>
            <w:vAlign w:val="center"/>
          </w:tcPr>
          <w:p>
            <w:pPr>
              <w:pStyle w:val="Normal"/>
              <w:widowControl w:val="false"/>
              <w:tabs>
                <w:tab w:val="clear" w:pos="720"/>
              </w:tabs>
              <w:jc w:val="center"/>
              <w:rPr>
                <w:sz w:val="14"/>
                <w:szCs w:val="14"/>
              </w:rPr>
            </w:pPr>
            <w:r>
              <w:rPr>
                <w:sz w:val="14"/>
                <w:szCs w:val="14"/>
              </w:rPr>
              <w:t xml:space="preserve">-13.92 </w:t>
              <w:br/>
              <w:t>(-14.18 to -13.72)</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-13.81 </w:t>
              <w:br/>
              <w:t>(-14 to -13.65)</w:t>
            </w:r>
          </w:p>
        </w:tc>
        <w:tc>
          <w:tcPr>
            <w:tcW w:w="818" w:type="dxa"/>
            <w:tcBorders/>
            <w:vAlign w:val="center"/>
          </w:tcPr>
          <w:p>
            <w:pPr>
              <w:pStyle w:val="Normal"/>
              <w:widowControl w:val="false"/>
              <w:tabs>
                <w:tab w:val="clear" w:pos="720"/>
              </w:tabs>
              <w:jc w:val="center"/>
              <w:rPr>
                <w:sz w:val="14"/>
                <w:szCs w:val="14"/>
              </w:rPr>
            </w:pPr>
            <w:r>
              <w:rPr>
                <w:sz w:val="14"/>
                <w:szCs w:val="14"/>
              </w:rPr>
              <w:t xml:space="preserve">67.73 </w:t>
              <w:br/>
              <w:t>(67.44 to 67.96)</w:t>
            </w:r>
          </w:p>
        </w:tc>
        <w:tc>
          <w:tcPr>
            <w:tcW w:w="807" w:type="dxa"/>
            <w:tcBorders/>
            <w:vAlign w:val="center"/>
          </w:tcPr>
          <w:p>
            <w:pPr>
              <w:pStyle w:val="Normal"/>
              <w:widowControl w:val="false"/>
              <w:tabs>
                <w:tab w:val="clear" w:pos="720"/>
              </w:tabs>
              <w:jc w:val="center"/>
              <w:rPr>
                <w:sz w:val="14"/>
                <w:szCs w:val="14"/>
              </w:rPr>
            </w:pPr>
            <w:r>
              <w:rPr>
                <w:sz w:val="14"/>
                <w:szCs w:val="14"/>
              </w:rPr>
              <w:t xml:space="preserve">67.81 </w:t>
              <w:br/>
              <w:t>(67.54 to 68.01)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67.66 </w:t>
              <w:br/>
              <w:t>(67.13 to 68.11)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2.8</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0.2</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 xml:space="preserve">FAM-CUGAGUC-3’ </w:t>
            </w:r>
            <w:r>
              <w:rPr>
                <w:sz w:val="14"/>
                <w:szCs w:val="14"/>
                <w:vertAlign w:val="superscript"/>
              </w:rPr>
              <w:t>f</w:t>
            </w:r>
            <w:r>
              <w:rPr>
                <w:sz w:val="14"/>
                <w:szCs w:val="14"/>
              </w:rPr>
              <w:br/>
              <w:t>BHQ1-GACUCAG-5’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-74.69 </w:t>
              <w:br/>
              <w:t>(-76.00 to -73.40)</w:t>
            </w:r>
          </w:p>
        </w:tc>
        <w:tc>
          <w:tcPr>
            <w:tcW w:w="810" w:type="dxa"/>
            <w:tcBorders/>
            <w:vAlign w:val="center"/>
          </w:tcPr>
          <w:p>
            <w:pPr>
              <w:pStyle w:val="Normal"/>
              <w:widowControl w:val="false"/>
              <w:tabs>
                <w:tab w:val="clear" w:pos="720"/>
              </w:tabs>
              <w:jc w:val="center"/>
              <w:rPr>
                <w:sz w:val="14"/>
                <w:szCs w:val="14"/>
              </w:rPr>
            </w:pPr>
            <w:r>
              <w:rPr>
                <w:sz w:val="14"/>
                <w:szCs w:val="14"/>
              </w:rPr>
              <w:t>-74.94</w:t>
              <w:br/>
              <w:t xml:space="preserve"> (-76.63 to -72.43)</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-75.38 </w:t>
              <w:br/>
              <w:t>(-77.21 to -73.3)</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-197.57</w:t>
              <w:br/>
              <w:t xml:space="preserve"> (-201.48 to -193.77)</w:t>
            </w:r>
          </w:p>
        </w:tc>
        <w:tc>
          <w:tcPr>
            <w:tcW w:w="899" w:type="dxa"/>
            <w:tcBorders/>
            <w:vAlign w:val="center"/>
          </w:tcPr>
          <w:p>
            <w:pPr>
              <w:pStyle w:val="Normal"/>
              <w:widowControl w:val="false"/>
              <w:tabs>
                <w:tab w:val="clear" w:pos="720"/>
              </w:tabs>
              <w:jc w:val="center"/>
              <w:rPr>
                <w:sz w:val="14"/>
                <w:szCs w:val="14"/>
              </w:rPr>
            </w:pPr>
            <w:r>
              <w:rPr>
                <w:sz w:val="14"/>
                <w:szCs w:val="14"/>
              </w:rPr>
              <w:t>-198.28</w:t>
              <w:br/>
              <w:t xml:space="preserve"> (-203.34 to -190.84)</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-199.36</w:t>
              <w:br/>
              <w:t xml:space="preserve"> (-204.73 to -193.23)</w:t>
            </w:r>
          </w:p>
        </w:tc>
        <w:tc>
          <w:tcPr>
            <w:tcW w:w="817" w:type="dxa"/>
            <w:tcBorders/>
            <w:vAlign w:val="center"/>
          </w:tcPr>
          <w:p>
            <w:pPr>
              <w:pStyle w:val="Normal"/>
              <w:widowControl w:val="false"/>
              <w:tabs>
                <w:tab w:val="clear" w:pos="720"/>
              </w:tabs>
              <w:jc w:val="center"/>
              <w:rPr>
                <w:sz w:val="14"/>
                <w:szCs w:val="14"/>
              </w:rPr>
            </w:pPr>
            <w:r>
              <w:rPr>
                <w:sz w:val="14"/>
                <w:szCs w:val="14"/>
              </w:rPr>
              <w:t xml:space="preserve">-13.42 </w:t>
              <w:br/>
              <w:t>(-13.53 to -13.3)</w:t>
            </w:r>
          </w:p>
        </w:tc>
        <w:tc>
          <w:tcPr>
            <w:tcW w:w="804" w:type="dxa"/>
            <w:tcBorders/>
            <w:vAlign w:val="center"/>
          </w:tcPr>
          <w:p>
            <w:pPr>
              <w:pStyle w:val="Normal"/>
              <w:widowControl w:val="false"/>
              <w:tabs>
                <w:tab w:val="clear" w:pos="720"/>
              </w:tabs>
              <w:jc w:val="center"/>
              <w:rPr>
                <w:sz w:val="14"/>
                <w:szCs w:val="14"/>
              </w:rPr>
            </w:pPr>
            <w:r>
              <w:rPr>
                <w:sz w:val="14"/>
                <w:szCs w:val="14"/>
              </w:rPr>
              <w:t xml:space="preserve">-13.44 </w:t>
              <w:br/>
              <w:t>(-13.57 to -13.24)</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-13.54 </w:t>
              <w:br/>
              <w:t>(-13.71 to -13.34)</w:t>
            </w:r>
          </w:p>
        </w:tc>
        <w:tc>
          <w:tcPr>
            <w:tcW w:w="818" w:type="dxa"/>
            <w:tcBorders/>
            <w:vAlign w:val="center"/>
          </w:tcPr>
          <w:p>
            <w:pPr>
              <w:pStyle w:val="Normal"/>
              <w:widowControl w:val="false"/>
              <w:tabs>
                <w:tab w:val="clear" w:pos="720"/>
              </w:tabs>
              <w:jc w:val="center"/>
              <w:rPr>
                <w:sz w:val="14"/>
                <w:szCs w:val="14"/>
              </w:rPr>
            </w:pPr>
            <w:r>
              <w:rPr>
                <w:sz w:val="14"/>
                <w:szCs w:val="14"/>
              </w:rPr>
              <w:t xml:space="preserve">68.51 </w:t>
              <w:br/>
              <w:t>(68.32 to 68.64)</w:t>
            </w:r>
          </w:p>
        </w:tc>
        <w:tc>
          <w:tcPr>
            <w:tcW w:w="807" w:type="dxa"/>
            <w:tcBorders/>
            <w:vAlign w:val="center"/>
          </w:tcPr>
          <w:p>
            <w:pPr>
              <w:pStyle w:val="Normal"/>
              <w:widowControl w:val="false"/>
              <w:tabs>
                <w:tab w:val="clear" w:pos="720"/>
              </w:tabs>
              <w:jc w:val="center"/>
              <w:rPr>
                <w:sz w:val="14"/>
                <w:szCs w:val="14"/>
              </w:rPr>
            </w:pPr>
            <w:r>
              <w:rPr>
                <w:sz w:val="14"/>
                <w:szCs w:val="14"/>
              </w:rPr>
              <w:t xml:space="preserve">68.51 </w:t>
              <w:br/>
              <w:t>(68.36 to 68.67)</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68.82 </w:t>
              <w:br/>
              <w:t>(68.47 to 69.33)</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  </w:t>
            </w:r>
            <w:r>
              <w:rPr>
                <w:sz w:val="14"/>
                <w:szCs w:val="14"/>
              </w:rPr>
              <w:t>FAM-CGUUGC-3’</w:t>
            </w:r>
            <w:r>
              <w:rPr>
                <w:sz w:val="14"/>
                <w:szCs w:val="14"/>
                <w:vertAlign w:val="superscript"/>
              </w:rPr>
              <w:t>f</w:t>
            </w:r>
            <w:r>
              <w:rPr>
                <w:sz w:val="14"/>
                <w:szCs w:val="14"/>
              </w:rPr>
              <w:br/>
              <w:t>BHQ1-GCAACG-5’</w:t>
            </w:r>
          </w:p>
        </w:tc>
        <w:tc>
          <w:tcPr>
            <w:tcW w:w="734"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 xml:space="preserve">-58.64 </w:t>
              <w:br/>
              <w:t>(-61.37 to -56.25)</w:t>
            </w:r>
          </w:p>
        </w:tc>
        <w:tc>
          <w:tcPr>
            <w:tcW w:w="810"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-63.94 </w:t>
              <w:br/>
              <w:t>(-69.16 to -56.71)</w:t>
            </w:r>
          </w:p>
        </w:tc>
        <w:tc>
          <w:tcPr>
            <w:tcW w:w="814"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-60.32 (</w:t>
              <w:br/>
              <w:t>-62.02 to -58.19)</w:t>
            </w:r>
          </w:p>
        </w:tc>
        <w:tc>
          <w:tcPr>
            <w:tcW w:w="80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-155.58</w:t>
              <w:br/>
              <w:t xml:space="preserve"> (-163.9 to -148.39)</w:t>
            </w:r>
          </w:p>
        </w:tc>
        <w:tc>
          <w:tcPr>
            <w:tcW w:w="899"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-171.81</w:t>
              <w:br/>
              <w:t xml:space="preserve"> (-187.7 to -149.35)</w:t>
            </w:r>
          </w:p>
        </w:tc>
        <w:tc>
          <w:tcPr>
            <w:tcW w:w="897"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-160.72</w:t>
              <w:br/>
              <w:t xml:space="preserve"> (-165.71 to -154.29)</w:t>
            </w:r>
          </w:p>
        </w:tc>
        <w:tc>
          <w:tcPr>
            <w:tcW w:w="81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-10.39 </w:t>
              <w:br/>
              <w:t>(-10.55 to -10.23)</w:t>
            </w:r>
          </w:p>
        </w:tc>
        <w:tc>
          <w:tcPr>
            <w:tcW w:w="804"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-10.66 </w:t>
              <w:br/>
              <w:t>(-10.97 to -10.3)</w:t>
            </w:r>
          </w:p>
        </w:tc>
        <w:tc>
          <w:tcPr>
            <w:tcW w:w="806"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 xml:space="preserve">-10.48 </w:t>
              <w:br/>
              <w:t>(-10.61 to -10.33)</w:t>
            </w:r>
          </w:p>
        </w:tc>
        <w:tc>
          <w:tcPr>
            <w:tcW w:w="818"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58.83 </w:t>
              <w:br/>
              <w:t>(58.56 to 59.39)</w:t>
            </w:r>
          </w:p>
        </w:tc>
        <w:tc>
          <w:tcPr>
            <w:tcW w:w="80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58.4 </w:t>
              <w:br/>
              <w:t>(58.11 to 59.6)</w:t>
            </w:r>
          </w:p>
        </w:tc>
        <w:tc>
          <w:tcPr>
            <w:tcW w:w="814"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 xml:space="preserve">58.7 </w:t>
              <w:br/>
              <w:t>(58.37 to 58.92)</w:t>
            </w:r>
          </w:p>
        </w:tc>
        <w:tc>
          <w:tcPr>
            <w:tcW w:w="53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8.7</w:t>
            </w:r>
          </w:p>
        </w:tc>
        <w:tc>
          <w:tcPr>
            <w:tcW w:w="544"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10.0</w:t>
            </w:r>
          </w:p>
        </w:tc>
        <w:tc>
          <w:tcPr>
            <w:tcW w:w="53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2.6</w:t>
            </w:r>
          </w:p>
        </w:tc>
        <w:tc>
          <w:tcPr>
            <w:tcW w:w="612"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0.7</w:t>
            </w:r>
          </w:p>
        </w:tc>
      </w:tr>
      <w:tr>
        <w:trPr>
          <w:trHeight w:val="256" w:hRule="atLeast"/>
        </w:trPr>
        <w:tc>
          <w:tcPr>
            <w:tcW w:w="11338" w:type="dxa"/>
            <w:gridSpan w:val="13"/>
            <w:tcBorders>
              <w:bottom w:val="single" w:sz="4" w:space="0" w:color="000000"/>
            </w:tcBorders>
            <w:vAlign w:val="center"/>
          </w:tcPr>
          <w:p>
            <w:pPr>
              <w:pStyle w:val="Normal"/>
              <w:widowControl w:val="false"/>
              <w:tabs>
                <w:tab w:val="clear" w:pos="720"/>
              </w:tabs>
              <w:jc w:val="right"/>
              <w:rPr>
                <w:sz w:val="14"/>
                <w:szCs w:val="14"/>
              </w:rPr>
            </w:pPr>
            <w:r>
              <w:rPr>
                <w:sz w:val="14"/>
                <w:szCs w:val="14"/>
              </w:rPr>
              <w:t>Average % error between method 1, 2, &amp; 3</w:t>
            </w:r>
          </w:p>
        </w:tc>
        <w:tc>
          <w:tcPr>
            <w:tcW w:w="53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4.8</w:t>
            </w:r>
          </w:p>
        </w:tc>
        <w:tc>
          <w:tcPr>
            <w:tcW w:w="544"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5.4</w:t>
            </w:r>
          </w:p>
        </w:tc>
        <w:tc>
          <w:tcPr>
            <w:tcW w:w="53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1.2</w:t>
            </w:r>
          </w:p>
        </w:tc>
        <w:tc>
          <w:tcPr>
            <w:tcW w:w="612"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0.4</w:t>
            </w:r>
          </w:p>
        </w:tc>
      </w:tr>
    </w:tbl>
    <w:p>
      <w:pPr>
        <w:pStyle w:val="Normal"/>
        <w:widowControl w:val="false"/>
        <w:suppressAutoHyphens w:val="true"/>
        <w:bidi w:val="0"/>
        <w:spacing w:before="0" w:after="0"/>
        <w:ind w:left="629" w:right="0" w:hanging="0"/>
        <w:jc w:val="left"/>
        <w:textAlignment w:val="baseline"/>
        <w:rPr/>
      </w:pPr>
      <w:r>
        <w:rPr>
          <w:vertAlign w:val="superscript"/>
        </w:rPr>
        <w:t>a</w:t>
      </w:r>
      <w:r>
        <w:rPr/>
        <w:t>Determined with method 1, fitting curves individually and averaging the results.</w:t>
      </w:r>
    </w:p>
    <w:p>
      <w:pPr>
        <w:pStyle w:val="Normal"/>
        <w:widowControl w:val="false"/>
        <w:suppressAutoHyphens w:val="true"/>
        <w:bidi w:val="0"/>
        <w:spacing w:before="0" w:after="0"/>
        <w:ind w:left="629" w:right="0" w:hanging="0"/>
        <w:jc w:val="left"/>
        <w:textAlignment w:val="baseline"/>
        <w:rPr/>
      </w:pPr>
      <w:r>
        <w:rPr>
          <w:vertAlign w:val="superscript"/>
        </w:rPr>
        <w:t>b</w:t>
      </w:r>
      <w:r>
        <w:rPr/>
        <w:t>Determined with method 2, 1/T</w:t>
      </w:r>
      <w:r>
        <w:rPr>
          <w:vertAlign w:val="subscript"/>
        </w:rPr>
        <w:t>m</w:t>
      </w:r>
      <w:r>
        <w:rPr/>
        <w:t xml:space="preserve"> versus lnC</w:t>
      </w:r>
      <w:r>
        <w:rPr>
          <w:vertAlign w:val="subscript"/>
        </w:rPr>
        <w:t>t</w:t>
      </w:r>
      <w:r>
        <w:rPr/>
        <w:t xml:space="preserve"> analysis.</w:t>
      </w:r>
    </w:p>
    <w:p>
      <w:pPr>
        <w:pStyle w:val="Normal"/>
        <w:widowControl w:val="false"/>
        <w:suppressAutoHyphens w:val="true"/>
        <w:bidi w:val="0"/>
        <w:spacing w:before="0" w:after="0"/>
        <w:ind w:left="629" w:right="0" w:hanging="0"/>
        <w:jc w:val="left"/>
        <w:textAlignment w:val="baseline"/>
        <w:rPr/>
      </w:pPr>
      <w:r>
        <w:rPr>
          <w:vertAlign w:val="superscript"/>
        </w:rPr>
        <w:t>c</w:t>
      </w:r>
      <w:r>
        <w:rPr/>
        <w:t>Determined with method 3, globally fitting all curves with the same non-linear model.</w:t>
      </w:r>
    </w:p>
    <w:p>
      <w:pPr>
        <w:pStyle w:val="Normal"/>
        <w:widowControl w:val="false"/>
        <w:suppressAutoHyphens w:val="true"/>
        <w:bidi w:val="0"/>
        <w:spacing w:before="0" w:after="0"/>
        <w:ind w:left="629" w:right="0" w:hanging="0"/>
        <w:jc w:val="left"/>
        <w:textAlignment w:val="baseline"/>
        <w:rPr/>
      </w:pPr>
      <w:r>
        <w:rPr>
          <w:vertAlign w:val="superscript"/>
        </w:rPr>
        <w:t>d</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left="629" w:right="0" w:hanging="0"/>
        <w:jc w:val="left"/>
        <w:textAlignment w:val="baseline"/>
        <w:rPr/>
      </w:pPr>
      <w:r>
        <w:rPr>
          <w:vertAlign w:val="superscript"/>
        </w:rPr>
        <w:t>e</w:t>
      </w:r>
      <w:r>
        <w:rPr>
          <w:position w:val="0"/>
          <w:sz w:val="20"/>
          <w:sz w:val="20"/>
          <w:vertAlign w:val="baseline"/>
        </w:rPr>
        <w:t>Data compiled</w:t>
      </w:r>
      <w:r>
        <w:rPr/>
        <w:t xml:space="preserve"> from a published source.</w:t>
      </w:r>
      <w:r>
        <w:rPr>
          <w:vertAlign w:val="superscript"/>
        </w:rPr>
        <w:t>1</w:t>
      </w:r>
    </w:p>
    <w:p>
      <w:pPr>
        <w:sectPr>
          <w:footerReference w:type="default" r:id="rId6"/>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left="629" w:right="0" w:hanging="0"/>
        <w:jc w:val="left"/>
        <w:textAlignment w:val="baseline"/>
        <w:rPr>
          <w:vertAlign w:val="superscript"/>
        </w:rPr>
      </w:pPr>
      <w:r>
        <w:rPr>
          <w:vertAlign w:val="superscript"/>
        </w:rPr>
        <w:t>f</w:t>
      </w:r>
      <w:r>
        <w:rPr>
          <w:position w:val="0"/>
          <w:sz w:val="20"/>
          <w:sz w:val="20"/>
          <w:vertAlign w:val="baseline"/>
        </w:rPr>
        <w:t>Data compiled in this work.</w:t>
      </w:r>
    </w:p>
    <w:p>
      <w:pPr>
        <w:pStyle w:val="Normal"/>
        <w:jc w:val="both"/>
        <w:rPr/>
      </w:pPr>
      <w:bookmarkStart w:id="16" w:name="_Toc1117940731"/>
      <w:bookmarkStart w:id="17" w:name="_Toc1085136801"/>
      <w:r>
        <w:rPr>
          <w:rStyle w:val="Heading3Char"/>
        </w:rPr>
        <w:t>SI Tabl</w:t>
      </w:r>
      <w:r>
        <w:rPr>
          <w:rStyle w:val="Heading3Char"/>
        </w:rPr>
        <w:t>e</w:t>
      </w:r>
      <w:r>
        <w:rPr>
          <w:rStyle w:val="Heading3Char"/>
        </w:rPr>
        <w:t xml:space="preserve"> 3</w:t>
      </w:r>
      <w:bookmarkEnd w:id="16"/>
      <w:bookmarkEnd w:id="17"/>
      <w:r>
        <w:rPr/>
        <w:t xml:space="preserve">  BLtrimmer results comparing MeltR method 1, fitting curves individually and averaging the results, to Meltwin method 1. MeltR data are reused from SI table 2 for convenience.</w:t>
      </w:r>
    </w:p>
    <w:tbl>
      <w:tblPr>
        <w:tblW w:w="13579" w:type="dxa"/>
        <w:jc w:val="left"/>
        <w:tblInd w:w="55" w:type="dxa"/>
        <w:tblLayout w:type="fixed"/>
        <w:tblCellMar>
          <w:top w:w="55" w:type="dxa"/>
          <w:left w:w="55" w:type="dxa"/>
          <w:bottom w:w="55" w:type="dxa"/>
          <w:right w:w="55" w:type="dxa"/>
        </w:tblCellMar>
      </w:tblPr>
      <w:tblGrid>
        <w:gridCol w:w="1618"/>
        <w:gridCol w:w="1351"/>
        <w:gridCol w:w="901"/>
        <w:gridCol w:w="1439"/>
        <w:gridCol w:w="1081"/>
        <w:gridCol w:w="1169"/>
        <w:gridCol w:w="811"/>
        <w:gridCol w:w="1170"/>
        <w:gridCol w:w="899"/>
        <w:gridCol w:w="811"/>
        <w:gridCol w:w="809"/>
        <w:gridCol w:w="812"/>
        <w:gridCol w:w="707"/>
      </w:tblGrid>
      <w:tr>
        <w:trPr>
          <w:trHeight w:val="256" w:hRule="atLeast"/>
        </w:trPr>
        <w:tc>
          <w:tcPr>
            <w:tcW w:w="1618"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1" w:type="dxa"/>
            <w:tcBorders>
              <w:top w:val="single" w:sz="4" w:space="0" w:color="000000"/>
              <w:bottom w:val="single" w:sz="4" w:space="0" w:color="000000"/>
              <w:right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1081" w:type="dxa"/>
            <w:tcBorders>
              <w:top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169"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1" w:type="dxa"/>
            <w:tcBorders>
              <w:top w:val="single" w:sz="4" w:space="0" w:color="000000"/>
              <w:bottom w:val="single" w:sz="4" w:space="0" w:color="000000"/>
              <w:right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right w:val="single" w:sz="4" w:space="0" w:color="000000"/>
            </w:tcBorders>
            <w:vAlign w:val="bottom"/>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1"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5’-CGCGCG-3’</w:t>
            </w:r>
            <w:r>
              <w:rPr>
                <w:sz w:val="14"/>
                <w:szCs w:val="14"/>
                <w:vertAlign w:val="superscript"/>
              </w:rPr>
              <w:t>a</w:t>
            </w:r>
            <w:r>
              <w:rPr>
                <w:sz w:val="14"/>
                <w:szCs w:val="14"/>
              </w:rPr>
              <w:br/>
              <w:t>‘3’-GCGCGC-3’</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-159.24</w:t>
              <w:br/>
              <w:t>(-58.73 to -54.06)</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-54.1</w:t>
              <w:br/>
              <w:t>(±4)</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-159.24</w:t>
              <w:br/>
              <w:t>(-167.15 to -152.29)</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-151.5</w:t>
              <w:br/>
              <w:t>(±12.4)</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-6.87</w:t>
              <w:br/>
              <w:t>(-6.93 to -6.8)</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-7.11</w:t>
              <w:br/>
              <w:t>(±0.2)</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43.71</w:t>
              <w:br/>
              <w:t>(43.42 to 44.02)</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45.4</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3.9</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5.0</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3.4</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3.8</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-172.7</w:t>
              <w:br/>
              <w:t>(-60.95 to -59.42)</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-60.4</w:t>
              <w:br/>
              <w:t>(±2)</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-172.7</w:t>
              <w:br/>
              <w:t>(-174.95 to -170.05)</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-173.6</w:t>
              <w:br/>
              <w:t>(±6.4)</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-6.69</w:t>
              <w:br/>
              <w:t>(-6.71 to -6.67)</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-6.52</w:t>
              <w:br/>
              <w:t>(±0.05)</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42.29</w:t>
              <w:br/>
              <w:t>(42.19 to 42.4)</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41.4</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0.5</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2.6</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2.1</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-188.69</w:t>
              <w:br/>
              <w:t>(-70.07 to -67.32)</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-67.0</w:t>
              <w:br/>
              <w:t>(±3.025)</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-188.69</w:t>
              <w:br/>
              <w:t>(-193.12 to -184.54)</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-184.51 (±9.497)</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-10.12</w:t>
              <w:br/>
              <w:t>(-10.18 to -10.06)</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-9.8</w:t>
              <w:br/>
              <w:t>(±0.087)</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54.12</w:t>
              <w:br/>
              <w:t>(53.87 to 54.38)</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52.9</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2.4</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3.2</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2.3</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-153.72</w:t>
              <w:br/>
              <w:t>(-56.46 to -54.89)</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-55.6</w:t>
              <w:br/>
              <w:t>(±1.3)</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-153.72</w:t>
              <w:br/>
              <w:t>(-156.09 to -151.27)</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-153.9</w:t>
              <w:br/>
              <w:t>(±4.3)</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-8.01</w:t>
              <w:br/>
              <w:t>(-8.05 to -7.98)</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-7.85</w:t>
              <w:br/>
              <w:t>(±0.17)</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50.57</w:t>
              <w:br/>
              <w:t>(50.46 to 50.66)</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49.6</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2.0</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-142.99</w:t>
              <w:br/>
              <w:t>(-53.13 to -50.18)</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-51.06</w:t>
              <w:br/>
              <w:t>(±3.567)</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-142.99</w:t>
              <w:br/>
              <w:t>(-147.72 to -138.15)</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-141.39 (±11.476)</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-7.34</w:t>
              <w:br/>
              <w:t>(-7.39 to -7.27)</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-7.21</w:t>
              <w:br/>
              <w:t>(±0.087)</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41.92</w:t>
              <w:br/>
              <w:t>(41.43 to 42.35)</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41.2</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1.1</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1.8</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-176.35</w:t>
              <w:br/>
              <w:t>(-65.15 to -63.2)</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-63.32</w:t>
              <w:br/>
              <w:t>(±1.928)</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-176.35</w:t>
              <w:br/>
              <w:t>(-179.73 to -173.53)</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-174.65</w:t>
              <w:br/>
              <w:t xml:space="preserve"> (±6.191)</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-9.4</w:t>
              <w:br/>
              <w:t>(-9.42 to -9.38)</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-9.15 </w:t>
              <w:br/>
              <w:t>(±0.03)</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51.52 </w:t>
              <w:br/>
              <w:t>(51.37 to 51.68)</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50.4</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1.0</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2.7</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-223.16</w:t>
              <w:br/>
              <w:t>(-85.73 to -80.95)</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-81.12</w:t>
              <w:br/>
              <w:t>(±1.583)</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-223.16</w:t>
              <w:br/>
              <w:t>(-230.67 to -216.32)</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-217.61</w:t>
              <w:br/>
              <w:t xml:space="preserve"> (±5.076)</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-14.03</w:t>
              <w:br/>
              <w:t>(-14.22 to -13.86)</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-13.63 </w:t>
              <w:br/>
              <w:t>(±0.092)</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67.73 </w:t>
              <w:br/>
              <w:t>(67.44 to 67.96)</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66.7</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2.6</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2.5</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2.9</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-155.58</w:t>
              <w:br/>
              <w:t>(-61.37 to -56.25)</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-61.47</w:t>
              <w:br/>
              <w:t>(±3.4)</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-155.58</w:t>
              <w:br/>
              <w:t>(-163.9 to -148.39)</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-164.74</w:t>
              <w:br/>
              <w:t xml:space="preserve"> (±10.499)</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-10.39</w:t>
              <w:br/>
              <w:t>(-10.55 to -10.23)</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-10.38 </w:t>
              <w:br/>
              <w:t>(±0.163)</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58.83 </w:t>
              <w:br/>
              <w:t>(58.56 to 59.39)</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57.7</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4.7</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5.7</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0.1</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-197.57 </w:t>
              <w:br/>
              <w:t>(-76 to -73.4)</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-74.43</w:t>
              <w:br/>
              <w:t>(±2.316)</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-197.57</w:t>
              <w:br/>
              <w:t>(-201.48 to -193.77)</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-197.46</w:t>
              <w:br/>
              <w:t xml:space="preserve"> (±6.709)</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-13.42</w:t>
              <w:br/>
              <w:t>(-13.53 to -13.3)</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-13.19 </w:t>
              <w:br/>
              <w:t>(±0.275)</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68.51 </w:t>
              <w:br/>
              <w:t>(68.32 to 68.64)</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67.5</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0.3</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-220.06</w:t>
              <w:br/>
              <w:t>(-74.25 to -72.58)</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-74.2</w:t>
              <w:br/>
              <w:t>(±4.4)</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-220.06</w:t>
              <w:br/>
              <w:t>(-222.4 to -217.04)</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-221.7</w:t>
              <w:br/>
              <w:t>(±14.2)</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-5.28</w:t>
              <w:br/>
              <w:t>(-5.3 to -5.24)</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-5.41 </w:t>
              <w:br/>
              <w:t>(±0.06)</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35.33 </w:t>
              <w:br/>
              <w:t>(35.19 to 35.45)</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35.9</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0.9</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0.7</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2.4</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-223.08</w:t>
              <w:br/>
              <w:t>(-79.22 to -76.53)</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-79.4</w:t>
              <w:br/>
              <w:t>(±3.8)</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-223.08 (-227.87 to -219.42)</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-229.8</w:t>
              <w:br/>
              <w:t>(±11.9)</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-8.52</w:t>
              <w:br/>
              <w:t>(-8.56 to -8.46)</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-8.15 </w:t>
              <w:br/>
              <w:t>(±0.12)</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48.76 </w:t>
              <w:br/>
              <w:t>(48.57 to 48.88)</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47.0</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3.0</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4.4</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3.7</w:t>
            </w:r>
          </w:p>
        </w:tc>
      </w:tr>
      <w:tr>
        <w:trPr>
          <w:trHeight w:val="256" w:hRule="atLeast"/>
        </w:trPr>
        <w:tc>
          <w:tcPr>
            <w:tcW w:w="10439" w:type="dxa"/>
            <w:gridSpan w:val="9"/>
            <w:tcBorders>
              <w:top w:val="single" w:sz="4" w:space="0" w:color="000000"/>
              <w:bottom w:val="single" w:sz="4" w:space="0" w:color="000000"/>
            </w:tcBorders>
            <w:vAlign w:val="bottom"/>
          </w:tcPr>
          <w:p>
            <w:pPr>
              <w:pStyle w:val="Normal"/>
              <w:widowControl w:val="false"/>
              <w:tabs>
                <w:tab w:val="clear" w:pos="720"/>
              </w:tabs>
              <w:jc w:val="right"/>
              <w:rPr>
                <w:sz w:val="14"/>
                <w:szCs w:val="14"/>
              </w:rPr>
            </w:pPr>
            <w:r>
              <w:rPr>
                <w:sz w:val="14"/>
                <w:szCs w:val="14"/>
              </w:rPr>
              <w:t>Average % error between MeltR method 1 and Meltwin method 1</w:t>
            </w:r>
          </w:p>
        </w:tc>
        <w:tc>
          <w:tcPr>
            <w:tcW w:w="811"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1.8</w:t>
            </w:r>
          </w:p>
        </w:tc>
        <w:tc>
          <w:tcPr>
            <w:tcW w:w="809"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2.0</w:t>
            </w:r>
          </w:p>
        </w:tc>
        <w:tc>
          <w:tcPr>
            <w:tcW w:w="812"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2.5</w:t>
            </w:r>
          </w:p>
        </w:tc>
        <w:tc>
          <w:tcPr>
            <w:tcW w:w="707"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2.2</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pStyle w:val="Normal"/>
        <w:widowControl w:val="false"/>
        <w:suppressAutoHyphens w:val="true"/>
        <w:bidi w:val="0"/>
        <w:spacing w:before="0" w:after="0"/>
        <w:ind w:right="0" w:hanging="0"/>
        <w:jc w:val="left"/>
        <w:textAlignment w:val="baseline"/>
        <w:rPr>
          <w:position w:val="0"/>
          <w:sz w:val="20"/>
          <w:sz w:val="20"/>
          <w:vertAlign w:val="baseline"/>
        </w:rPr>
      </w:pPr>
      <w:r>
        <w:rPr>
          <w:vertAlign w:val="superscript"/>
        </w:rPr>
        <w:t>c</w:t>
      </w:r>
      <w:r>
        <w:rPr>
          <w:position w:val="0"/>
          <w:sz w:val="20"/>
          <w:sz w:val="20"/>
          <w:vertAlign w:val="baseline"/>
        </w:rPr>
        <w:t>Data compiled in this work.</w:t>
      </w:r>
    </w:p>
    <w:p>
      <w:pPr>
        <w:sectPr>
          <w:footerReference w:type="default" r:id="rId7"/>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right="0" w:hanging="0"/>
        <w:jc w:val="left"/>
        <w:textAlignment w:val="baseline"/>
        <w:rPr>
          <w:vertAlign w:val="superscript"/>
        </w:rPr>
      </w:pPr>
      <w:r>
        <w:rPr>
          <w:vertAlign w:val="superscript"/>
        </w:rPr>
      </w:r>
    </w:p>
    <w:p>
      <w:pPr>
        <w:pStyle w:val="Normal"/>
        <w:rPr/>
      </w:pPr>
      <w:r>
        <w:rPr/>
      </w:r>
    </w:p>
    <w:p>
      <w:pPr>
        <w:pStyle w:val="Normal"/>
        <w:jc w:val="both"/>
        <w:rPr/>
      </w:pPr>
      <w:bookmarkStart w:id="18" w:name="_Toc11179407311"/>
      <w:bookmarkStart w:id="19" w:name="_Toc10851368011"/>
      <w:r>
        <w:rPr>
          <w:rStyle w:val="Heading3Char"/>
        </w:rPr>
        <w:t>SI Tabl</w:t>
      </w:r>
      <w:r>
        <w:rPr>
          <w:rStyle w:val="Heading3Char"/>
        </w:rPr>
        <w:t>e</w:t>
      </w:r>
      <w:r>
        <w:rPr>
          <w:rStyle w:val="Heading3Char"/>
        </w:rPr>
        <w:t xml:space="preserve"> 4</w:t>
      </w:r>
      <w:bookmarkEnd w:id="18"/>
      <w:bookmarkEnd w:id="19"/>
      <w:r>
        <w:rPr/>
        <w:t xml:space="preserve">  BLtrimmer results comparing MeltR method 2, fitting the relationship between 1/T</w:t>
      </w:r>
      <w:r>
        <w:rPr>
          <w:vertAlign w:val="subscript"/>
        </w:rPr>
        <w:t>m</w:t>
      </w:r>
      <w:r>
        <w:rPr/>
        <w:t xml:space="preserve"> versus lnC</w:t>
      </w:r>
      <w:r>
        <w:rPr>
          <w:vertAlign w:val="subscript"/>
        </w:rPr>
        <w:t>t</w:t>
      </w:r>
      <w:r>
        <w:rPr/>
        <w:t>, to Meltwin method 2. MeltR data are reused from SI table 2 for convenience.</w:t>
      </w:r>
    </w:p>
    <w:tbl>
      <w:tblPr>
        <w:tblW w:w="13579" w:type="dxa"/>
        <w:jc w:val="left"/>
        <w:tblInd w:w="55" w:type="dxa"/>
        <w:tblLayout w:type="fixed"/>
        <w:tblCellMar>
          <w:top w:w="55" w:type="dxa"/>
          <w:left w:w="55" w:type="dxa"/>
          <w:bottom w:w="55" w:type="dxa"/>
          <w:right w:w="55" w:type="dxa"/>
        </w:tblCellMar>
      </w:tblPr>
      <w:tblGrid>
        <w:gridCol w:w="1618"/>
        <w:gridCol w:w="1351"/>
        <w:gridCol w:w="901"/>
        <w:gridCol w:w="1439"/>
        <w:gridCol w:w="1081"/>
        <w:gridCol w:w="1169"/>
        <w:gridCol w:w="811"/>
        <w:gridCol w:w="1170"/>
        <w:gridCol w:w="899"/>
        <w:gridCol w:w="811"/>
        <w:gridCol w:w="809"/>
        <w:gridCol w:w="812"/>
        <w:gridCol w:w="707"/>
      </w:tblGrid>
      <w:tr>
        <w:trPr>
          <w:trHeight w:val="256" w:hRule="atLeast"/>
        </w:trPr>
        <w:tc>
          <w:tcPr>
            <w:tcW w:w="16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1081"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169"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5’-CGCGCG-3’</w:t>
            </w:r>
            <w:r>
              <w:rPr>
                <w:sz w:val="14"/>
                <w:szCs w:val="14"/>
                <w:vertAlign w:val="superscript"/>
              </w:rPr>
              <w:t>a</w:t>
            </w:r>
            <w:r>
              <w:rPr>
                <w:sz w:val="14"/>
                <w:szCs w:val="14"/>
              </w:rPr>
              <w:br/>
              <w:t>‘3’-GCGCGC-3’</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-166.59</w:t>
              <w:br/>
              <w:t>(-60.33 to -56.49)</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-53.8</w:t>
              <w:br/>
              <w:t>(±2.9)</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-166.59</w:t>
              <w:br/>
              <w:t>(-172.23 to -159.94)</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-150.5</w:t>
              <w:br/>
              <w:t>(±9.1)</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-6.9</w:t>
              <w:br/>
              <w:t>(-6.95 to -6.87)</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-7.12 (±0.06)</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43.64</w:t>
              <w:br/>
              <w:t>(43.43 to 43.87)</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45.6</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8.5</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10.1</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3.1</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-171.31</w:t>
              <w:br/>
              <w:t>(-60.51 to -59.15)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-59.8</w:t>
              <w:br/>
              <w:t>(±1)</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-171.31</w:t>
              <w:br/>
              <w:t>(-173.56 to -169.19)</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-171.9</w:t>
              <w:br/>
              <w:t>(±3.3)</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-6.69</w:t>
              <w:br/>
              <w:t>(-6.7 to -6.67)</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-6.52 (±0.01)</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42.33</w:t>
              <w:br/>
              <w:t>(42.25 to 42.41)</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41.4</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0.0</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0.3</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-186.82</w:t>
              <w:br/>
              <w:t>(-69.92 to -66.25)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-65.85</w:t>
              <w:br/>
              <w:t xml:space="preserve"> (±1.448)</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-186.82</w:t>
              <w:br/>
              <w:t>(-192.62 to -181.35)</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-180.82</w:t>
              <w:br/>
              <w:t>(±4.495)</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-10.09</w:t>
              <w:br/>
              <w:t>(-10.19 to -10)</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-9.77 (±0.055)</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54.13</w:t>
              <w:br/>
              <w:t>(53.9 to 54.33)</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53</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3.3</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3.3</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3.2</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-154.04</w:t>
              <w:br/>
              <w:t>(-56.71 to -54.76)</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-52</w:t>
              <w:br/>
              <w:t>(±3.8)</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-154.04</w:t>
              <w:br/>
              <w:t>(-156.9 to -150.91)</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-142.6</w:t>
              <w:br/>
              <w:t>(±11.9)</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-8</w:t>
              <w:br/>
              <w:t>(-8.05 to -7.97)</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-7.72 (±0.16)</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50.49</w:t>
              <w:br/>
              <w:t>(50.37 to 50.61)</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49.7</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7.0</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7.7</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3.6</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-129.92</w:t>
              <w:br/>
              <w:t>(-49.77 to -45.95)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-48.17</w:t>
              <w:br/>
              <w:t>(±1.779)</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-129.92</w:t>
              <w:br/>
              <w:t>(-137.09 to -124.62)</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-132.17</w:t>
              <w:br/>
              <w:t>(±5.73)</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-7.28</w:t>
              <w:br/>
              <w:t>(-7.32 to -7.22)</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-7.18 (±0.024)</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41.98</w:t>
              <w:br/>
              <w:t>(41.49 to 42.36)</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41.2</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1.2</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1.4</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-176.51</w:t>
              <w:br/>
              <w:t>(-65.4 to -63.08)</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-63.61</w:t>
              <w:br/>
              <w:t>(±1.507)</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-176.51</w:t>
              <w:br/>
              <w:t>(-180.45 to -173.21)</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-175.57</w:t>
              <w:br/>
              <w:t>(±4.712)</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-9.4</w:t>
              <w:br/>
              <w:t>(-9.44 to -9.36)</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-9.16 (±0.047)</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51.5</w:t>
              <w:br/>
              <w:t>(51.39 to 51.62)</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50.4</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0.8</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0.5</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-218.73</w:t>
              <w:br/>
              <w:t>(-85.14 to -79.11)</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-81.05</w:t>
              <w:br/>
              <w:t>(±6.734)</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-218.73</w:t>
              <w:br/>
              <w:t>(-228.81 to -210.85)</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-217.41</w:t>
              <w:br/>
              <w:t>(±20.017)</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-13.92</w:t>
              <w:br/>
              <w:t>(-14.18 to -13.72)</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-13.62 (±0.538)</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67.81</w:t>
              <w:br/>
              <w:t>(67.54 to 68.01)</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66.7</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0.9</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0.6</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-171.81</w:t>
              <w:br/>
              <w:t>(-69.16 to -56.71)</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-62.23</w:t>
              <w:br/>
              <w:t>(±3.751)</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-171.81</w:t>
              <w:br/>
              <w:t>(-187.7 to -149.35)</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-167.11</w:t>
              <w:br/>
              <w:t>(±11.45)</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-10.66</w:t>
              <w:br/>
              <w:t>(-10.97 to -10.3)</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-10.4 (±0.207)</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58.4</w:t>
              <w:br/>
              <w:t>(58.11 to 59.6)</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57.6</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2.7</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2.8</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2.5</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-198.28</w:t>
              <w:br/>
              <w:t>(-76.63 to -72.43)</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-74.63</w:t>
              <w:br/>
              <w:t>(±6.17)</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-198.28</w:t>
              <w:br/>
              <w:t>(-203.34 to -190.84)</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-198.05</w:t>
              <w:br/>
              <w:t>(±18.308)</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-13.44</w:t>
              <w:br/>
              <w:t>(-13.57 to -13.24)</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-13.21 (±0.508)</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68.51</w:t>
              <w:br/>
              <w:t>(68.36 to 68.67)</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67.5</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0.4</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0.1</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1.5</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-186.19</w:t>
              <w:br/>
              <w:t>(-64.49 to -62.15)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-66</w:t>
              <w:br/>
              <w:t>(±2.4)</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-186.19</w:t>
              <w:br/>
              <w:t>(-190.72 to -182.98)</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-195</w:t>
              <w:br/>
              <w:t>(±7.9)</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-5.37</w:t>
              <w:br/>
              <w:t>(-5.4 to -5.33)</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-5.48 (±0.04)</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35.52</w:t>
              <w:br/>
              <w:t>(35.35 to 35.63)</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36.1</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4.5</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4.6</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2.0</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-215.93</w:t>
              <w:br/>
              <w:t>(-77.18 to -73.68)</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-78.1</w:t>
              <w:br/>
              <w:t>(±1.7)</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-215.93</w:t>
              <w:br/>
              <w:t>(-221.55 to -210.59)</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-225.7</w:t>
              <w:br/>
              <w:t>(±5.3)</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-8.42</w:t>
              <w:br/>
              <w:t>(-8.47 to -8.35)</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-8.09 (±0.05)</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48.7</w:t>
              <w:br/>
              <w:t>(48.59 to 48.82)</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46.9</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3.5</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4.4</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4.0</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3.8</w:t>
            </w:r>
          </w:p>
        </w:tc>
      </w:tr>
      <w:tr>
        <w:trPr>
          <w:trHeight w:val="256" w:hRule="atLeast"/>
        </w:trPr>
        <w:tc>
          <w:tcPr>
            <w:tcW w:w="10439" w:type="dxa"/>
            <w:gridSpan w:val="9"/>
            <w:tcBorders>
              <w:top w:val="single" w:sz="4" w:space="0" w:color="000000"/>
              <w:bottom w:val="single" w:sz="4" w:space="0" w:color="000000"/>
            </w:tcBorders>
            <w:vAlign w:val="center"/>
          </w:tcPr>
          <w:p>
            <w:pPr>
              <w:pStyle w:val="Normal"/>
              <w:widowControl w:val="false"/>
              <w:tabs>
                <w:tab w:val="clear" w:pos="720"/>
              </w:tabs>
              <w:jc w:val="right"/>
              <w:rPr>
                <w:sz w:val="14"/>
                <w:szCs w:val="14"/>
              </w:rPr>
            </w:pPr>
            <w:r>
              <w:rPr>
                <w:sz w:val="14"/>
                <w:szCs w:val="14"/>
              </w:rPr>
              <w:t>Average % error between MeltR method 2 and Meltwin method 2</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3.0</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3.3</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2.6</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2.2</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sectPr>
          <w:footerReference w:type="default" r:id="rId8"/>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right="0" w:hanging="0"/>
        <w:jc w:val="left"/>
        <w:textAlignment w:val="baseline"/>
        <w:rPr>
          <w:vertAlign w:val="superscript"/>
        </w:rPr>
      </w:pPr>
      <w:r>
        <w:rPr>
          <w:vertAlign w:val="superscript"/>
        </w:rPr>
        <w:t>c</w:t>
      </w:r>
      <w:r>
        <w:rPr>
          <w:position w:val="0"/>
          <w:sz w:val="20"/>
          <w:sz w:val="20"/>
          <w:vertAlign w:val="baseline"/>
        </w:rPr>
        <w:t>Data compiled in this work.</w:t>
      </w:r>
    </w:p>
    <w:p>
      <w:pPr>
        <w:pStyle w:val="Normal"/>
        <w:widowControl w:val="false"/>
        <w:tabs>
          <w:tab w:val="clear" w:pos="720"/>
        </w:tabs>
        <w:suppressAutoHyphens w:val="true"/>
        <w:bidi w:val="0"/>
        <w:spacing w:before="0" w:after="0"/>
        <w:ind w:left="-180" w:right="-720" w:hanging="0"/>
        <w:jc w:val="both"/>
        <w:textAlignment w:val="baseline"/>
        <w:rPr>
          <w:rStyle w:val="Heading3Char"/>
        </w:rPr>
      </w:pPr>
      <w:r>
        <w:rPr/>
      </w:r>
    </w:p>
    <w:p>
      <w:pPr>
        <w:pStyle w:val="Normal"/>
        <w:widowControl w:val="false"/>
        <w:tabs>
          <w:tab w:val="clear" w:pos="720"/>
        </w:tabs>
        <w:suppressAutoHyphens w:val="true"/>
        <w:bidi w:val="0"/>
        <w:spacing w:before="0" w:after="0"/>
        <w:ind w:left="0" w:right="-720" w:hanging="0"/>
        <w:jc w:val="both"/>
        <w:textAlignment w:val="baseline"/>
        <w:rPr/>
      </w:pPr>
      <w:bookmarkStart w:id="20" w:name="_Toc11179407312"/>
      <w:bookmarkStart w:id="21" w:name="_Toc10851368012"/>
      <w:r>
        <w:rPr>
          <w:rStyle w:val="Heading3Char"/>
        </w:rPr>
        <w:t>SI Tabl</w:t>
      </w:r>
      <w:r>
        <w:rPr>
          <w:rStyle w:val="Heading3Char"/>
        </w:rPr>
        <w:t>e</w:t>
      </w:r>
      <w:r>
        <w:rPr>
          <w:rStyle w:val="Heading3Char"/>
        </w:rPr>
        <w:t xml:space="preserve"> 5</w:t>
      </w:r>
      <w:bookmarkEnd w:id="20"/>
      <w:bookmarkEnd w:id="21"/>
      <w:r>
        <w:rPr/>
        <w:t xml:space="preserve">  BLtrimmer results comparing MeltR method 3 to Meltwin method 1. MeltR data are reused from SI table 2 and Meltwin data are reused from </w:t>
      </w:r>
    </w:p>
    <w:p>
      <w:pPr>
        <w:pStyle w:val="Normal"/>
        <w:widowControl w:val="false"/>
        <w:tabs>
          <w:tab w:val="clear" w:pos="720"/>
        </w:tabs>
        <w:suppressAutoHyphens w:val="true"/>
        <w:bidi w:val="0"/>
        <w:spacing w:before="0" w:after="0"/>
        <w:ind w:left="0" w:right="-720" w:hanging="0"/>
        <w:jc w:val="both"/>
        <w:textAlignment w:val="baseline"/>
        <w:rPr/>
      </w:pPr>
      <w:r>
        <w:rPr/>
        <w:t xml:space="preserve">SI Table </w:t>
      </w:r>
      <w:r>
        <w:rPr/>
        <w:t>2</w:t>
      </w:r>
      <w:r>
        <w:rPr/>
        <w:t xml:space="preserve"> </w:t>
      </w:r>
      <w:r>
        <w:rPr/>
        <w:t xml:space="preserve">and 3 </w:t>
      </w:r>
      <w:r>
        <w:rPr/>
        <w:t>for convenience.</w:t>
      </w:r>
    </w:p>
    <w:tbl>
      <w:tblPr>
        <w:tblW w:w="13579" w:type="dxa"/>
        <w:jc w:val="left"/>
        <w:tblInd w:w="55" w:type="dxa"/>
        <w:tblLayout w:type="fixed"/>
        <w:tblCellMar>
          <w:top w:w="55" w:type="dxa"/>
          <w:left w:w="55" w:type="dxa"/>
          <w:bottom w:w="55" w:type="dxa"/>
          <w:right w:w="55" w:type="dxa"/>
        </w:tblCellMar>
      </w:tblPr>
      <w:tblGrid>
        <w:gridCol w:w="1618"/>
        <w:gridCol w:w="1351"/>
        <w:gridCol w:w="901"/>
        <w:gridCol w:w="1439"/>
        <w:gridCol w:w="1081"/>
        <w:gridCol w:w="1169"/>
        <w:gridCol w:w="811"/>
        <w:gridCol w:w="1170"/>
        <w:gridCol w:w="899"/>
        <w:gridCol w:w="811"/>
        <w:gridCol w:w="809"/>
        <w:gridCol w:w="812"/>
        <w:gridCol w:w="707"/>
      </w:tblGrid>
      <w:tr>
        <w:trPr>
          <w:trHeight w:val="256" w:hRule="atLeast"/>
        </w:trPr>
        <w:tc>
          <w:tcPr>
            <w:tcW w:w="16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1081"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169"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5’-CGCGCG-3’</w:t>
            </w:r>
            <w:r>
              <w:rPr>
                <w:sz w:val="14"/>
                <w:szCs w:val="14"/>
                <w:vertAlign w:val="superscript"/>
              </w:rPr>
              <w:t>a</w:t>
            </w:r>
            <w:r>
              <w:rPr>
                <w:sz w:val="14"/>
                <w:szCs w:val="14"/>
              </w:rPr>
              <w:br/>
              <w:t>‘3’-GCGCGC-3’</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-56.53</w:t>
              <w:br/>
              <w:t>(-60.25 to -53.16)</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-54.1</w:t>
              <w:br/>
              <w:t>(±4)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-159.96</w:t>
              <w:br/>
              <w:t>(-172.21 to -149.33)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-151.5</w:t>
              <w:br/>
              <w:t>(±12.4)</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-6.91</w:t>
              <w:br/>
              <w:t>(-7.07 to -6.79)</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-7.11 (±0.2)</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43.94</w:t>
              <w:br/>
              <w:t>(43.08 to 44.54)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45.4</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4.4</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5.4</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2.9</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-59.86</w:t>
              <w:br/>
              <w:t>(-61.28 to -58.83)</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-60.4</w:t>
              <w:br/>
              <w:t>(±2)</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-171.4</w:t>
              <w:br/>
              <w:t>(-175.85 to -168.12)</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-173.6</w:t>
              <w:br/>
              <w:t>(±6.4)</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w:t>
              <w:br/>
              <w:t>(-6.75 to -6.67)</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-6.52 (±0.05)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42.37</w:t>
            </w:r>
          </w:p>
          <w:p>
            <w:pPr>
              <w:pStyle w:val="Normal"/>
              <w:widowControl w:val="false"/>
              <w:tabs>
                <w:tab w:val="clear" w:pos="720"/>
              </w:tabs>
              <w:jc w:val="center"/>
              <w:rPr>
                <w:sz w:val="14"/>
                <w:szCs w:val="14"/>
              </w:rPr>
            </w:pPr>
            <w:r>
              <w:rPr>
                <w:sz w:val="14"/>
                <w:szCs w:val="14"/>
              </w:rPr>
              <w:t>(42.28 to 42.51)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41.4</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0.9</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2.7</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-67.98</w:t>
              <w:br/>
              <w:t>(-69.89 to -66.16)</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-67.02</w:t>
              <w:br/>
              <w:t>(±3.025)</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-186.59</w:t>
              <w:br/>
              <w:t>(-192.46 to -181.12)</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-184.51</w:t>
              <w:br/>
              <w:t>(±9.497)</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-10.11</w:t>
              <w:br/>
              <w:t>(-10.2 to -10)</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-9.8 (±0.087)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54.21</w:t>
              <w:br/>
              <w:t>(53.95 to 54.54)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52.9</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1.4</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3.1</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-56.76</w:t>
              <w:br/>
              <w:t>(-57.94 to -55.81)</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-55.6</w:t>
              <w:br/>
              <w:t>(±1.3)</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-156.93</w:t>
              <w:br/>
              <w:t>(-160.59 to -153.94)</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-153.9</w:t>
              <w:br/>
              <w:t>(±4.3)</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w:t>
              <w:br/>
              <w:t>(-8.16 to -8.01)</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-7.85 (±0.17)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50.76</w:t>
              <w:br/>
              <w:t>(50.35 to 51.04)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49.6</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3.0</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-51.92</w:t>
              <w:br/>
              <w:t>(-54.53 to -50.37)</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-51.06</w:t>
              <w:br/>
              <w:t>(±3.567)</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-143.61</w:t>
              <w:br/>
              <w:t>(-151.88 to -138.78)</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-141.39</w:t>
              <w:br/>
              <w:t>(±11.476)</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-7.38</w:t>
              <w:br/>
              <w:t>(-7.45 to -7.28)</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-7.21 (±0.087)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42.13</w:t>
              <w:br/>
              <w:t>(41.56 to 42.39)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41.2</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1.7</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-63.31</w:t>
              <w:br/>
              <w:t>(-64 to -62.69)</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-63.32</w:t>
              <w:br/>
              <w:t>(±1.928)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-173.83</w:t>
              <w:br/>
              <w:t>(-175.92 to -171.93)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-174.65</w:t>
              <w:br/>
              <w:t>(±6.191)</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-9.39</w:t>
              <w:br/>
              <w:t>(-9.44 to -9.35)</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-9.15 (±0.03)</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51.69</w:t>
              <w:br/>
              <w:t>(51.43 to 51.88)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50.4</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0.0</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2.5</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-80.92</w:t>
              <w:br/>
              <w:t>(-83.27 to -79.05)</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-81.12</w:t>
              <w:br/>
              <w:t xml:space="preserve"> (±1.583)</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-216.39</w:t>
              <w:br/>
              <w:t>(-223.4 to -210.93)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-217.61</w:t>
              <w:br/>
              <w:t>(±5.076)</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-13.81</w:t>
              <w:br/>
              <w:t>(-14 to -13.65)</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-13.63 (±0.092)</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67.66</w:t>
              <w:br/>
              <w:t>(67.13 to 68.11)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66.7</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-60.32</w:t>
              <w:br/>
              <w:t>(-62.02 to -58.19)</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-61.47</w:t>
              <w:br/>
              <w:t>(±3.4)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-160.72</w:t>
              <w:br/>
              <w:t>(-165.71 to -154.29)</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-164.74</w:t>
              <w:br/>
              <w:t>(±10.499)</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-10.48</w:t>
              <w:br/>
              <w:t>(-10.61 to -10.33)</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-10.38 (±0.163)</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58.7</w:t>
              <w:br/>
              <w:t>(58.37 to 58.92)</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57.7</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1.9</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2.5</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-75.38</w:t>
              <w:br/>
              <w:t>(-77.21 to -73.3)</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-74.43</w:t>
              <w:br/>
              <w:t>(±2.316)</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-199.36</w:t>
              <w:br/>
              <w:t>(-204.73 to -193.23)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-197.46</w:t>
              <w:br/>
              <w:t>(±6.709)</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-13.54</w:t>
              <w:br/>
              <w:t>(-13.71 to -13.34)</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-13.19 (±0.275)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68.82</w:t>
              <w:br/>
              <w:t>(68.47 to 69.33)</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67.5</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-74.15</w:t>
              <w:br/>
              <w:t>(-78.59 to -71.74)</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-74.2</w:t>
              <w:br/>
              <w:t>(±4.4)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-221.96</w:t>
              <w:br/>
              <w:t>(-236.28 to -214.21)</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-221.7</w:t>
              <w:br/>
              <w:t>(±14.2)</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-5.31</w:t>
              <w:br/>
              <w:t>(-5.34 to -5.27)</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-5.41 (±0.06)</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35.47</w:t>
              <w:br/>
              <w:t>(35.26 to 35.59)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35.9</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-81.24</w:t>
              <w:br/>
              <w:t>(-84.35 to -79.04)</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-79.4</w:t>
              <w:br/>
              <w:t>(±3.8)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-234.11</w:t>
              <w:br/>
              <w:t>(-243.79 to -227.28)</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-229.8</w:t>
              <w:br/>
              <w:t>(±11.9)</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-8.63</w:t>
              <w:br/>
              <w:t>(-8.73 to -8.54)</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-8.15 (±0.12)</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48.71</w:t>
              <w:br/>
              <w:t>(48.64 to 48.78)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47</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2.3</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5.7</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3.6</w:t>
            </w:r>
          </w:p>
        </w:tc>
      </w:tr>
      <w:tr>
        <w:trPr>
          <w:trHeight w:val="256" w:hRule="atLeast"/>
        </w:trPr>
        <w:tc>
          <w:tcPr>
            <w:tcW w:w="10439" w:type="dxa"/>
            <w:gridSpan w:val="9"/>
            <w:tcBorders>
              <w:top w:val="single" w:sz="4" w:space="0" w:color="000000"/>
              <w:bottom w:val="single" w:sz="4" w:space="0" w:color="000000"/>
            </w:tcBorders>
            <w:vAlign w:val="center"/>
          </w:tcPr>
          <w:p>
            <w:pPr>
              <w:pStyle w:val="Normal"/>
              <w:widowControl w:val="false"/>
              <w:tabs>
                <w:tab w:val="clear" w:pos="720"/>
              </w:tabs>
              <w:jc w:val="right"/>
              <w:rPr>
                <w:sz w:val="14"/>
                <w:szCs w:val="14"/>
              </w:rPr>
            </w:pPr>
            <w:r>
              <w:rPr>
                <w:sz w:val="14"/>
                <w:szCs w:val="14"/>
              </w:rPr>
              <w:t>Average % error between MeltR method 2 and Meltwin method 2</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1.5</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1.6</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2.6</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2.3</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pStyle w:val="Normal"/>
        <w:widowControl w:val="false"/>
        <w:tabs>
          <w:tab w:val="clear" w:pos="720"/>
        </w:tabs>
        <w:suppressAutoHyphens w:val="true"/>
        <w:bidi w:val="0"/>
        <w:spacing w:before="0" w:after="0"/>
        <w:ind w:left="0" w:right="-720" w:hanging="0"/>
        <w:jc w:val="both"/>
        <w:textAlignment w:val="baseline"/>
        <w:rPr>
          <w:vertAlign w:val="superscript"/>
        </w:rPr>
      </w:pPr>
      <w:r>
        <w:rPr>
          <w:vertAlign w:val="superscript"/>
        </w:rPr>
        <w:t>c</w:t>
      </w:r>
      <w:r>
        <w:rPr>
          <w:position w:val="0"/>
          <w:sz w:val="20"/>
          <w:sz w:val="20"/>
          <w:vertAlign w:val="baseline"/>
        </w:rPr>
        <w:t>Data compiled in this work.</w:t>
      </w:r>
    </w:p>
    <w:p>
      <w:pPr>
        <w:pStyle w:val="Normal"/>
        <w:widowControl w:val="false"/>
        <w:tabs>
          <w:tab w:val="clear" w:pos="720"/>
        </w:tabs>
        <w:suppressAutoHyphens w:val="true"/>
        <w:bidi w:val="0"/>
        <w:spacing w:before="0" w:after="0"/>
        <w:ind w:left="0" w:right="-720" w:hanging="0"/>
        <w:jc w:val="both"/>
        <w:textAlignment w:val="baseline"/>
        <w:rPr>
          <w:position w:val="0"/>
          <w:sz w:val="20"/>
          <w:sz w:val="20"/>
          <w:vertAlign w:val="baseline"/>
        </w:rPr>
      </w:pPr>
      <w:r>
        <w:rPr>
          <w:position w:val="0"/>
          <w:sz w:val="20"/>
          <w:sz w:val="20"/>
          <w:vertAlign w:val="baseline"/>
        </w:rPr>
      </w:r>
    </w:p>
    <w:p>
      <w:pPr>
        <w:sectPr>
          <w:footerReference w:type="default" r:id="rId9"/>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tabs>
          <w:tab w:val="clear" w:pos="720"/>
        </w:tabs>
        <w:suppressAutoHyphens w:val="true"/>
        <w:bidi w:val="0"/>
        <w:spacing w:before="0" w:after="0"/>
        <w:ind w:left="0" w:right="-720" w:hanging="0"/>
        <w:jc w:val="both"/>
        <w:textAlignment w:val="baseline"/>
        <w:rPr>
          <w:vertAlign w:val="superscript"/>
        </w:rPr>
      </w:pPr>
      <w:r>
        <w:rPr>
          <w:vertAlign w:val="superscript"/>
        </w:rPr>
      </w:r>
    </w:p>
    <w:p>
      <w:pPr>
        <w:pStyle w:val="Normal"/>
        <w:widowControl w:val="false"/>
        <w:tabs>
          <w:tab w:val="clear" w:pos="720"/>
        </w:tabs>
        <w:suppressAutoHyphens w:val="true"/>
        <w:bidi w:val="0"/>
        <w:spacing w:before="0" w:after="0"/>
        <w:ind w:left="0" w:right="-720" w:hanging="0"/>
        <w:jc w:val="both"/>
        <w:textAlignment w:val="baseline"/>
        <w:rPr/>
      </w:pPr>
      <w:bookmarkStart w:id="22" w:name="_Toc111794073121"/>
      <w:bookmarkStart w:id="23" w:name="_Toc108513680121"/>
      <w:r>
        <w:rPr>
          <w:rStyle w:val="Heading3Char"/>
        </w:rPr>
        <w:t>SI Tabl</w:t>
      </w:r>
      <w:r>
        <w:rPr>
          <w:rStyle w:val="Heading3Char"/>
        </w:rPr>
        <w:t>e</w:t>
      </w:r>
      <w:r>
        <w:rPr>
          <w:rStyle w:val="Heading3Char"/>
        </w:rPr>
        <w:t xml:space="preserve"> 6</w:t>
      </w:r>
      <w:bookmarkEnd w:id="22"/>
      <w:bookmarkEnd w:id="23"/>
      <w:r>
        <w:rPr/>
        <w:t xml:space="preserve">  BLtrimmer results comparing MeltR method 3 to Meltwin method 1 and 2.MeltR data are reused from SI table 2 and Meltwin data are reused from </w:t>
      </w:r>
    </w:p>
    <w:p>
      <w:pPr>
        <w:pStyle w:val="Normal"/>
        <w:widowControl w:val="false"/>
        <w:tabs>
          <w:tab w:val="clear" w:pos="720"/>
        </w:tabs>
        <w:suppressAutoHyphens w:val="true"/>
        <w:bidi w:val="0"/>
        <w:spacing w:before="0" w:after="0"/>
        <w:ind w:left="0" w:right="-720" w:hanging="0"/>
        <w:jc w:val="both"/>
        <w:textAlignment w:val="baseline"/>
        <w:rPr/>
      </w:pPr>
      <w:r>
        <w:rPr/>
        <w:t xml:space="preserve">SI Table </w:t>
      </w:r>
      <w:r>
        <w:rPr/>
        <w:t>2</w:t>
      </w:r>
      <w:r>
        <w:rPr/>
        <w:t xml:space="preserve"> and 4 for convenience.</w:t>
      </w:r>
    </w:p>
    <w:tbl>
      <w:tblPr>
        <w:tblW w:w="13575" w:type="dxa"/>
        <w:jc w:val="left"/>
        <w:tblInd w:w="55" w:type="dxa"/>
        <w:tblLayout w:type="fixed"/>
        <w:tblCellMar>
          <w:top w:w="55" w:type="dxa"/>
          <w:left w:w="55" w:type="dxa"/>
          <w:bottom w:w="55" w:type="dxa"/>
          <w:right w:w="55" w:type="dxa"/>
        </w:tblCellMar>
      </w:tblPr>
      <w:tblGrid>
        <w:gridCol w:w="1618"/>
        <w:gridCol w:w="1351"/>
        <w:gridCol w:w="901"/>
        <w:gridCol w:w="1439"/>
        <w:gridCol w:w="991"/>
        <w:gridCol w:w="1259"/>
        <w:gridCol w:w="811"/>
        <w:gridCol w:w="1170"/>
        <w:gridCol w:w="899"/>
        <w:gridCol w:w="811"/>
        <w:gridCol w:w="809"/>
        <w:gridCol w:w="812"/>
        <w:gridCol w:w="704"/>
      </w:tblGrid>
      <w:tr>
        <w:trPr>
          <w:trHeight w:val="256" w:hRule="atLeast"/>
        </w:trPr>
        <w:tc>
          <w:tcPr>
            <w:tcW w:w="16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991"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259"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4"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5’-CGCGCG-3’</w:t>
            </w:r>
            <w:r>
              <w:rPr>
                <w:sz w:val="14"/>
                <w:szCs w:val="14"/>
                <w:vertAlign w:val="superscript"/>
              </w:rPr>
              <w:t>a</w:t>
            </w:r>
            <w:r>
              <w:rPr>
                <w:sz w:val="14"/>
                <w:szCs w:val="14"/>
              </w:rPr>
              <w:br/>
              <w:t>‘3’-GCGCGC-3’</w:t>
            </w:r>
          </w:p>
        </w:tc>
        <w:tc>
          <w:tcPr>
            <w:tcW w:w="1351" w:type="dxa"/>
            <w:tcBorders>
              <w:left w:val="single" w:sz="4" w:space="0" w:color="000000"/>
            </w:tcBorders>
            <w:vAlign w:val="center"/>
          </w:tcPr>
          <w:p>
            <w:pPr>
              <w:pStyle w:val="Normal"/>
              <w:tabs>
                <w:tab w:val="clear" w:pos="720"/>
              </w:tabs>
              <w:jc w:val="center"/>
              <w:rPr>
                <w:sz w:val="14"/>
                <w:szCs w:val="14"/>
              </w:rPr>
            </w:pPr>
            <w:r>
              <w:rPr>
                <w:sz w:val="14"/>
                <w:szCs w:val="14"/>
              </w:rPr>
              <w:t>-56.53</w:t>
              <w:br/>
              <w:t>(-60.25 to -53.16)</w:t>
            </w:r>
          </w:p>
        </w:tc>
        <w:tc>
          <w:tcPr>
            <w:tcW w:w="901" w:type="dxa"/>
            <w:tcBorders>
              <w:right w:val="single" w:sz="4" w:space="0" w:color="000000"/>
            </w:tcBorders>
            <w:vAlign w:val="center"/>
          </w:tcPr>
          <w:p>
            <w:pPr>
              <w:pStyle w:val="Normal"/>
              <w:tabs>
                <w:tab w:val="clear" w:pos="720"/>
              </w:tabs>
              <w:jc w:val="center"/>
              <w:rPr>
                <w:sz w:val="14"/>
                <w:szCs w:val="14"/>
              </w:rPr>
            </w:pPr>
            <w:r>
              <w:rPr>
                <w:sz w:val="14"/>
                <w:szCs w:val="14"/>
              </w:rPr>
              <w:t>-53.8</w:t>
              <w:br/>
              <w:t>(±2.9)</w:t>
            </w:r>
          </w:p>
        </w:tc>
        <w:tc>
          <w:tcPr>
            <w:tcW w:w="143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-159.96</w:t>
              <w:br/>
              <w:t>(-172.21 to -149.33)</w:t>
            </w:r>
          </w:p>
        </w:tc>
        <w:tc>
          <w:tcPr>
            <w:tcW w:w="991"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-150.5</w:t>
              <w:br/>
              <w:t>(±9.1)</w:t>
            </w:r>
          </w:p>
        </w:tc>
        <w:tc>
          <w:tcPr>
            <w:tcW w:w="1259" w:type="dxa"/>
            <w:tcBorders>
              <w:left w:val="single" w:sz="4" w:space="0" w:color="000000"/>
            </w:tcBorders>
            <w:vAlign w:val="center"/>
          </w:tcPr>
          <w:p>
            <w:pPr>
              <w:pStyle w:val="Normal"/>
              <w:tabs>
                <w:tab w:val="clear" w:pos="720"/>
              </w:tabs>
              <w:jc w:val="center"/>
              <w:rPr>
                <w:sz w:val="14"/>
                <w:szCs w:val="14"/>
              </w:rPr>
            </w:pPr>
            <w:r>
              <w:rPr>
                <w:sz w:val="14"/>
                <w:szCs w:val="14"/>
              </w:rPr>
              <w:t>-6.91</w:t>
              <w:br/>
              <w:t>(-7.07 to -6.79)</w:t>
            </w:r>
          </w:p>
        </w:tc>
        <w:tc>
          <w:tcPr>
            <w:tcW w:w="811" w:type="dxa"/>
            <w:tcBorders>
              <w:right w:val="single" w:sz="4" w:space="0" w:color="000000"/>
            </w:tcBorders>
            <w:vAlign w:val="center"/>
          </w:tcPr>
          <w:p>
            <w:pPr>
              <w:pStyle w:val="Normal"/>
              <w:tabs>
                <w:tab w:val="clear" w:pos="720"/>
              </w:tabs>
              <w:jc w:val="center"/>
              <w:rPr>
                <w:sz w:val="14"/>
                <w:szCs w:val="14"/>
              </w:rPr>
            </w:pPr>
            <w:r>
              <w:rPr>
                <w:sz w:val="14"/>
                <w:szCs w:val="14"/>
              </w:rPr>
              <w:t>-7.12 (±0.06)</w:t>
            </w:r>
          </w:p>
        </w:tc>
        <w:tc>
          <w:tcPr>
            <w:tcW w:w="117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43.94</w:t>
              <w:br/>
              <w:t>(43.08 to 44.54)</w:t>
            </w:r>
          </w:p>
        </w:tc>
        <w:tc>
          <w:tcPr>
            <w:tcW w:w="89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45.6</w:t>
            </w:r>
          </w:p>
        </w:tc>
        <w:tc>
          <w:tcPr>
            <w:tcW w:w="811" w:type="dxa"/>
            <w:tcBorders>
              <w:left w:val="single" w:sz="4" w:space="0" w:color="000000"/>
            </w:tcBorders>
            <w:vAlign w:val="center"/>
          </w:tcPr>
          <w:p>
            <w:pPr>
              <w:pStyle w:val="Normal"/>
              <w:tabs>
                <w:tab w:val="clear" w:pos="720"/>
              </w:tabs>
              <w:jc w:val="center"/>
              <w:rPr>
                <w:sz w:val="14"/>
                <w:szCs w:val="14"/>
              </w:rPr>
            </w:pPr>
            <w:r>
              <w:rPr>
                <w:sz w:val="14"/>
                <w:szCs w:val="14"/>
              </w:rPr>
              <w:t>2.1</w:t>
            </w:r>
          </w:p>
        </w:tc>
        <w:tc>
          <w:tcPr>
            <w:tcW w:w="80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2.6</w:t>
            </w:r>
          </w:p>
        </w:tc>
        <w:tc>
          <w:tcPr>
            <w:tcW w:w="8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1.2</w:t>
            </w:r>
          </w:p>
        </w:tc>
        <w:tc>
          <w:tcPr>
            <w:tcW w:w="7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center"/>
          </w:tcPr>
          <w:p>
            <w:pPr>
              <w:pStyle w:val="Normal"/>
              <w:tabs>
                <w:tab w:val="clear" w:pos="720"/>
              </w:tabs>
              <w:jc w:val="center"/>
              <w:rPr>
                <w:sz w:val="14"/>
                <w:szCs w:val="14"/>
              </w:rPr>
            </w:pPr>
            <w:r>
              <w:rPr>
                <w:sz w:val="14"/>
                <w:szCs w:val="14"/>
              </w:rPr>
              <w:t>-59.86</w:t>
              <w:br/>
              <w:t>(-61.28 to -58.83)</w:t>
            </w:r>
          </w:p>
        </w:tc>
        <w:tc>
          <w:tcPr>
            <w:tcW w:w="901" w:type="dxa"/>
            <w:tcBorders>
              <w:right w:val="single" w:sz="4" w:space="0" w:color="000000"/>
            </w:tcBorders>
            <w:vAlign w:val="center"/>
          </w:tcPr>
          <w:p>
            <w:pPr>
              <w:pStyle w:val="Normal"/>
              <w:tabs>
                <w:tab w:val="clear" w:pos="720"/>
              </w:tabs>
              <w:jc w:val="center"/>
              <w:rPr>
                <w:sz w:val="14"/>
                <w:szCs w:val="14"/>
              </w:rPr>
            </w:pPr>
            <w:r>
              <w:rPr>
                <w:sz w:val="14"/>
                <w:szCs w:val="14"/>
              </w:rPr>
              <w:t>-59.8</w:t>
              <w:br/>
              <w:t>(±1)</w:t>
            </w:r>
          </w:p>
        </w:tc>
        <w:tc>
          <w:tcPr>
            <w:tcW w:w="143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-171.4</w:t>
              <w:br/>
              <w:t>(-175.85 to -168.12)</w:t>
            </w:r>
          </w:p>
        </w:tc>
        <w:tc>
          <w:tcPr>
            <w:tcW w:w="991"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-171.9</w:t>
              <w:br/>
              <w:t>(±3.3)</w:t>
            </w:r>
          </w:p>
        </w:tc>
        <w:tc>
          <w:tcPr>
            <w:tcW w:w="1259" w:type="dxa"/>
            <w:tcBorders>
              <w:left w:val="single" w:sz="4" w:space="0" w:color="000000"/>
            </w:tcBorders>
            <w:vAlign w:val="center"/>
          </w:tcPr>
          <w:p>
            <w:pPr>
              <w:pStyle w:val="Normal"/>
              <w:tabs>
                <w:tab w:val="clear" w:pos="720"/>
              </w:tabs>
              <w:jc w:val="center"/>
              <w:rPr>
                <w:sz w:val="14"/>
                <w:szCs w:val="14"/>
              </w:rPr>
            </w:pPr>
            <w:r>
              <w:rPr>
                <w:sz w:val="14"/>
                <w:szCs w:val="14"/>
              </w:rPr>
              <w:t>-6.7</w:t>
              <w:br/>
              <w:t>(-6.75 to -6.67)</w:t>
            </w:r>
          </w:p>
        </w:tc>
        <w:tc>
          <w:tcPr>
            <w:tcW w:w="811" w:type="dxa"/>
            <w:tcBorders>
              <w:right w:val="single" w:sz="4" w:space="0" w:color="000000"/>
            </w:tcBorders>
            <w:vAlign w:val="center"/>
          </w:tcPr>
          <w:p>
            <w:pPr>
              <w:pStyle w:val="Normal"/>
              <w:tabs>
                <w:tab w:val="clear" w:pos="720"/>
              </w:tabs>
              <w:jc w:val="center"/>
              <w:rPr>
                <w:sz w:val="14"/>
                <w:szCs w:val="14"/>
              </w:rPr>
            </w:pPr>
            <w:r>
              <w:rPr>
                <w:sz w:val="14"/>
                <w:szCs w:val="14"/>
              </w:rPr>
              <w:t>-6.52 (±0.01)</w:t>
            </w:r>
          </w:p>
        </w:tc>
        <w:tc>
          <w:tcPr>
            <w:tcW w:w="117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42.37</w:t>
              <w:br/>
              <w:t>(42.28 to 42.51)</w:t>
            </w:r>
          </w:p>
        </w:tc>
        <w:tc>
          <w:tcPr>
            <w:tcW w:w="89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41.4</w:t>
            </w:r>
          </w:p>
        </w:tc>
        <w:tc>
          <w:tcPr>
            <w:tcW w:w="811" w:type="dxa"/>
            <w:tcBorders>
              <w:left w:val="single" w:sz="4" w:space="0" w:color="000000"/>
            </w:tcBorders>
            <w:vAlign w:val="center"/>
          </w:tcPr>
          <w:p>
            <w:pPr>
              <w:pStyle w:val="Normal"/>
              <w:tabs>
                <w:tab w:val="clear" w:pos="720"/>
              </w:tabs>
              <w:jc w:val="center"/>
              <w:rPr>
                <w:sz w:val="14"/>
                <w:szCs w:val="14"/>
              </w:rPr>
            </w:pPr>
            <w:r>
              <w:rPr>
                <w:sz w:val="14"/>
                <w:szCs w:val="14"/>
              </w:rPr>
              <w:t>0.0</w:t>
            </w:r>
          </w:p>
        </w:tc>
        <w:tc>
          <w:tcPr>
            <w:tcW w:w="80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1.0</w:t>
            </w:r>
          </w:p>
        </w:tc>
        <w:tc>
          <w:tcPr>
            <w:tcW w:w="7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1.0</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center"/>
          </w:tcPr>
          <w:p>
            <w:pPr>
              <w:pStyle w:val="Normal"/>
              <w:tabs>
                <w:tab w:val="clear" w:pos="720"/>
              </w:tabs>
              <w:jc w:val="center"/>
              <w:rPr>
                <w:sz w:val="14"/>
                <w:szCs w:val="14"/>
              </w:rPr>
            </w:pPr>
            <w:r>
              <w:rPr>
                <w:sz w:val="14"/>
                <w:szCs w:val="14"/>
              </w:rPr>
              <w:t>-67.98</w:t>
              <w:br/>
              <w:t>(-69.89 to -66.16)</w:t>
            </w:r>
          </w:p>
        </w:tc>
        <w:tc>
          <w:tcPr>
            <w:tcW w:w="901" w:type="dxa"/>
            <w:tcBorders>
              <w:right w:val="single" w:sz="4" w:space="0" w:color="000000"/>
            </w:tcBorders>
            <w:vAlign w:val="center"/>
          </w:tcPr>
          <w:p>
            <w:pPr>
              <w:pStyle w:val="Normal"/>
              <w:tabs>
                <w:tab w:val="clear" w:pos="720"/>
              </w:tabs>
              <w:jc w:val="center"/>
              <w:rPr>
                <w:sz w:val="14"/>
                <w:szCs w:val="14"/>
              </w:rPr>
            </w:pPr>
            <w:r>
              <w:rPr>
                <w:sz w:val="14"/>
                <w:szCs w:val="14"/>
              </w:rPr>
              <w:t>-65.85</w:t>
              <w:br/>
              <w:t>(±1.448)</w:t>
            </w:r>
          </w:p>
        </w:tc>
        <w:tc>
          <w:tcPr>
            <w:tcW w:w="143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-186.59</w:t>
              <w:br/>
              <w:t>(-192.46 to -181.12)</w:t>
            </w:r>
          </w:p>
        </w:tc>
        <w:tc>
          <w:tcPr>
            <w:tcW w:w="991"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-180.82</w:t>
              <w:br/>
              <w:t>(±4.495)</w:t>
            </w:r>
          </w:p>
        </w:tc>
        <w:tc>
          <w:tcPr>
            <w:tcW w:w="1259" w:type="dxa"/>
            <w:tcBorders>
              <w:left w:val="single" w:sz="4" w:space="0" w:color="000000"/>
            </w:tcBorders>
            <w:vAlign w:val="center"/>
          </w:tcPr>
          <w:p>
            <w:pPr>
              <w:pStyle w:val="Normal"/>
              <w:tabs>
                <w:tab w:val="clear" w:pos="720"/>
              </w:tabs>
              <w:jc w:val="center"/>
              <w:rPr>
                <w:sz w:val="14"/>
                <w:szCs w:val="14"/>
              </w:rPr>
            </w:pPr>
            <w:r>
              <w:rPr>
                <w:sz w:val="14"/>
                <w:szCs w:val="14"/>
              </w:rPr>
              <w:t>-10.11</w:t>
              <w:br/>
              <w:t>(-10.2 to -10)</w:t>
            </w:r>
          </w:p>
        </w:tc>
        <w:tc>
          <w:tcPr>
            <w:tcW w:w="811" w:type="dxa"/>
            <w:tcBorders>
              <w:right w:val="single" w:sz="4" w:space="0" w:color="000000"/>
            </w:tcBorders>
            <w:vAlign w:val="center"/>
          </w:tcPr>
          <w:p>
            <w:pPr>
              <w:pStyle w:val="Normal"/>
              <w:tabs>
                <w:tab w:val="clear" w:pos="720"/>
              </w:tabs>
              <w:jc w:val="center"/>
              <w:rPr>
                <w:sz w:val="14"/>
                <w:szCs w:val="14"/>
              </w:rPr>
            </w:pPr>
            <w:r>
              <w:rPr>
                <w:sz w:val="14"/>
                <w:szCs w:val="14"/>
              </w:rPr>
              <w:t>-9.77 (±0.055)</w:t>
            </w:r>
          </w:p>
        </w:tc>
        <w:tc>
          <w:tcPr>
            <w:tcW w:w="117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54.21</w:t>
              <w:br/>
              <w:t>(53.95 to 54.54)</w:t>
            </w:r>
          </w:p>
        </w:tc>
        <w:tc>
          <w:tcPr>
            <w:tcW w:w="89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53</w:t>
            </w:r>
          </w:p>
        </w:tc>
        <w:tc>
          <w:tcPr>
            <w:tcW w:w="811" w:type="dxa"/>
            <w:tcBorders>
              <w:left w:val="single" w:sz="4" w:space="0" w:color="000000"/>
            </w:tcBorders>
            <w:vAlign w:val="center"/>
          </w:tcPr>
          <w:p>
            <w:pPr>
              <w:pStyle w:val="Normal"/>
              <w:tabs>
                <w:tab w:val="clear" w:pos="720"/>
              </w:tabs>
              <w:jc w:val="center"/>
              <w:rPr>
                <w:sz w:val="14"/>
                <w:szCs w:val="14"/>
              </w:rPr>
            </w:pPr>
            <w:r>
              <w:rPr>
                <w:sz w:val="14"/>
                <w:szCs w:val="14"/>
              </w:rPr>
              <w:t>1.6</w:t>
            </w:r>
          </w:p>
        </w:tc>
        <w:tc>
          <w:tcPr>
            <w:tcW w:w="80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1.6</w:t>
            </w:r>
          </w:p>
        </w:tc>
        <w:tc>
          <w:tcPr>
            <w:tcW w:w="8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1.9</w:t>
            </w:r>
          </w:p>
        </w:tc>
        <w:tc>
          <w:tcPr>
            <w:tcW w:w="7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center"/>
          </w:tcPr>
          <w:p>
            <w:pPr>
              <w:pStyle w:val="Normal"/>
              <w:tabs>
                <w:tab w:val="clear" w:pos="720"/>
              </w:tabs>
              <w:jc w:val="center"/>
              <w:rPr>
                <w:sz w:val="14"/>
                <w:szCs w:val="14"/>
              </w:rPr>
            </w:pPr>
            <w:r>
              <w:rPr>
                <w:sz w:val="14"/>
                <w:szCs w:val="14"/>
              </w:rPr>
              <w:t>-56.76</w:t>
              <w:br/>
              <w:t>(-57.94 to -55.81)</w:t>
            </w:r>
          </w:p>
        </w:tc>
        <w:tc>
          <w:tcPr>
            <w:tcW w:w="901" w:type="dxa"/>
            <w:tcBorders>
              <w:right w:val="single" w:sz="4" w:space="0" w:color="000000"/>
            </w:tcBorders>
            <w:vAlign w:val="center"/>
          </w:tcPr>
          <w:p>
            <w:pPr>
              <w:pStyle w:val="Normal"/>
              <w:tabs>
                <w:tab w:val="clear" w:pos="720"/>
              </w:tabs>
              <w:jc w:val="center"/>
              <w:rPr>
                <w:sz w:val="14"/>
                <w:szCs w:val="14"/>
              </w:rPr>
            </w:pPr>
            <w:r>
              <w:rPr>
                <w:sz w:val="14"/>
                <w:szCs w:val="14"/>
              </w:rPr>
              <w:t>-52</w:t>
              <w:br/>
              <w:t>(±3.8)</w:t>
            </w:r>
          </w:p>
        </w:tc>
        <w:tc>
          <w:tcPr>
            <w:tcW w:w="143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-156.93</w:t>
              <w:br/>
              <w:t>(-160.59 to -153.94)</w:t>
            </w:r>
          </w:p>
        </w:tc>
        <w:tc>
          <w:tcPr>
            <w:tcW w:w="991"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-142.6</w:t>
              <w:br/>
              <w:t>(±11.9)</w:t>
            </w:r>
          </w:p>
        </w:tc>
        <w:tc>
          <w:tcPr>
            <w:tcW w:w="1259" w:type="dxa"/>
            <w:tcBorders>
              <w:left w:val="single" w:sz="4" w:space="0" w:color="000000"/>
            </w:tcBorders>
            <w:vAlign w:val="center"/>
          </w:tcPr>
          <w:p>
            <w:pPr>
              <w:pStyle w:val="Normal"/>
              <w:tabs>
                <w:tab w:val="clear" w:pos="720"/>
              </w:tabs>
              <w:jc w:val="center"/>
              <w:rPr>
                <w:sz w:val="14"/>
                <w:szCs w:val="14"/>
              </w:rPr>
            </w:pPr>
            <w:r>
              <w:rPr>
                <w:sz w:val="14"/>
                <w:szCs w:val="14"/>
              </w:rPr>
              <w:t>-8.09</w:t>
              <w:br/>
              <w:t>(-8.16 to -8.01)</w:t>
            </w:r>
          </w:p>
        </w:tc>
        <w:tc>
          <w:tcPr>
            <w:tcW w:w="811" w:type="dxa"/>
            <w:tcBorders>
              <w:right w:val="single" w:sz="4" w:space="0" w:color="000000"/>
            </w:tcBorders>
            <w:vAlign w:val="center"/>
          </w:tcPr>
          <w:p>
            <w:pPr>
              <w:pStyle w:val="Normal"/>
              <w:tabs>
                <w:tab w:val="clear" w:pos="720"/>
              </w:tabs>
              <w:jc w:val="center"/>
              <w:rPr>
                <w:sz w:val="14"/>
                <w:szCs w:val="14"/>
              </w:rPr>
            </w:pPr>
            <w:r>
              <w:rPr>
                <w:sz w:val="14"/>
                <w:szCs w:val="14"/>
              </w:rPr>
              <w:t>-7.72 (±0.16)</w:t>
            </w:r>
          </w:p>
        </w:tc>
        <w:tc>
          <w:tcPr>
            <w:tcW w:w="117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50.76</w:t>
              <w:br/>
              <w:t>(50.35 to 51.04)</w:t>
            </w:r>
          </w:p>
        </w:tc>
        <w:tc>
          <w:tcPr>
            <w:tcW w:w="89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49.7</w:t>
            </w:r>
          </w:p>
        </w:tc>
        <w:tc>
          <w:tcPr>
            <w:tcW w:w="811" w:type="dxa"/>
            <w:tcBorders>
              <w:left w:val="single" w:sz="4" w:space="0" w:color="000000"/>
            </w:tcBorders>
            <w:vAlign w:val="center"/>
          </w:tcPr>
          <w:p>
            <w:pPr>
              <w:pStyle w:val="Normal"/>
              <w:tabs>
                <w:tab w:val="clear" w:pos="720"/>
              </w:tabs>
              <w:jc w:val="center"/>
              <w:rPr>
                <w:sz w:val="14"/>
                <w:szCs w:val="14"/>
              </w:rPr>
            </w:pPr>
            <w:r>
              <w:rPr>
                <w:sz w:val="14"/>
                <w:szCs w:val="14"/>
              </w:rPr>
              <w:t>3.7</w:t>
            </w:r>
          </w:p>
        </w:tc>
        <w:tc>
          <w:tcPr>
            <w:tcW w:w="80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4.0</w:t>
            </w:r>
          </w:p>
        </w:tc>
        <w:tc>
          <w:tcPr>
            <w:tcW w:w="8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2.0</w:t>
            </w:r>
          </w:p>
        </w:tc>
        <w:tc>
          <w:tcPr>
            <w:tcW w:w="7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1.0</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center"/>
          </w:tcPr>
          <w:p>
            <w:pPr>
              <w:pStyle w:val="Normal"/>
              <w:tabs>
                <w:tab w:val="clear" w:pos="720"/>
              </w:tabs>
              <w:jc w:val="center"/>
              <w:rPr>
                <w:sz w:val="14"/>
                <w:szCs w:val="14"/>
              </w:rPr>
            </w:pPr>
            <w:r>
              <w:rPr>
                <w:sz w:val="14"/>
                <w:szCs w:val="14"/>
              </w:rPr>
              <w:t>-51.92</w:t>
              <w:br/>
              <w:t>(-54.53 to -50.37)</w:t>
            </w:r>
          </w:p>
        </w:tc>
        <w:tc>
          <w:tcPr>
            <w:tcW w:w="901" w:type="dxa"/>
            <w:tcBorders>
              <w:right w:val="single" w:sz="4" w:space="0" w:color="000000"/>
            </w:tcBorders>
            <w:vAlign w:val="center"/>
          </w:tcPr>
          <w:p>
            <w:pPr>
              <w:pStyle w:val="Normal"/>
              <w:tabs>
                <w:tab w:val="clear" w:pos="720"/>
              </w:tabs>
              <w:jc w:val="center"/>
              <w:rPr>
                <w:sz w:val="14"/>
                <w:szCs w:val="14"/>
              </w:rPr>
            </w:pPr>
            <w:r>
              <w:rPr>
                <w:sz w:val="14"/>
                <w:szCs w:val="14"/>
              </w:rPr>
              <w:t>-48.17</w:t>
              <w:br/>
              <w:t>(±1.779)</w:t>
            </w:r>
          </w:p>
        </w:tc>
        <w:tc>
          <w:tcPr>
            <w:tcW w:w="143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-143.61</w:t>
              <w:br/>
              <w:t>(-151.88 to -138.78)</w:t>
            </w:r>
          </w:p>
        </w:tc>
        <w:tc>
          <w:tcPr>
            <w:tcW w:w="991"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-132.17</w:t>
              <w:br/>
              <w:t>(±5.73)</w:t>
            </w:r>
          </w:p>
        </w:tc>
        <w:tc>
          <w:tcPr>
            <w:tcW w:w="1259" w:type="dxa"/>
            <w:tcBorders>
              <w:left w:val="single" w:sz="4" w:space="0" w:color="000000"/>
            </w:tcBorders>
            <w:vAlign w:val="center"/>
          </w:tcPr>
          <w:p>
            <w:pPr>
              <w:pStyle w:val="Normal"/>
              <w:tabs>
                <w:tab w:val="clear" w:pos="720"/>
              </w:tabs>
              <w:jc w:val="center"/>
              <w:rPr>
                <w:sz w:val="14"/>
                <w:szCs w:val="14"/>
              </w:rPr>
            </w:pPr>
            <w:r>
              <w:rPr>
                <w:sz w:val="14"/>
                <w:szCs w:val="14"/>
              </w:rPr>
              <w:t>-7.38</w:t>
              <w:br/>
              <w:t>(-7.45 to -7.28)</w:t>
            </w:r>
          </w:p>
        </w:tc>
        <w:tc>
          <w:tcPr>
            <w:tcW w:w="811" w:type="dxa"/>
            <w:tcBorders>
              <w:right w:val="single" w:sz="4" w:space="0" w:color="000000"/>
            </w:tcBorders>
            <w:vAlign w:val="center"/>
          </w:tcPr>
          <w:p>
            <w:pPr>
              <w:pStyle w:val="Normal"/>
              <w:tabs>
                <w:tab w:val="clear" w:pos="720"/>
              </w:tabs>
              <w:jc w:val="center"/>
              <w:rPr>
                <w:sz w:val="14"/>
                <w:szCs w:val="14"/>
              </w:rPr>
            </w:pPr>
            <w:r>
              <w:rPr>
                <w:sz w:val="14"/>
                <w:szCs w:val="14"/>
              </w:rPr>
              <w:t>-7.18 (±0.024)</w:t>
            </w:r>
          </w:p>
        </w:tc>
        <w:tc>
          <w:tcPr>
            <w:tcW w:w="117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42.13</w:t>
              <w:br/>
              <w:t>(41.56 to 42.39)</w:t>
            </w:r>
          </w:p>
        </w:tc>
        <w:tc>
          <w:tcPr>
            <w:tcW w:w="89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41.2</w:t>
            </w:r>
          </w:p>
        </w:tc>
        <w:tc>
          <w:tcPr>
            <w:tcW w:w="811" w:type="dxa"/>
            <w:tcBorders>
              <w:left w:val="single" w:sz="4" w:space="0" w:color="000000"/>
            </w:tcBorders>
            <w:vAlign w:val="center"/>
          </w:tcPr>
          <w:p>
            <w:pPr>
              <w:pStyle w:val="Normal"/>
              <w:tabs>
                <w:tab w:val="clear" w:pos="720"/>
              </w:tabs>
              <w:jc w:val="center"/>
              <w:rPr>
                <w:sz w:val="14"/>
                <w:szCs w:val="14"/>
              </w:rPr>
            </w:pPr>
            <w:r>
              <w:rPr>
                <w:sz w:val="14"/>
                <w:szCs w:val="14"/>
              </w:rPr>
              <w:t>2.9</w:t>
            </w:r>
          </w:p>
        </w:tc>
        <w:tc>
          <w:tcPr>
            <w:tcW w:w="80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3.2</w:t>
            </w:r>
          </w:p>
        </w:tc>
        <w:tc>
          <w:tcPr>
            <w:tcW w:w="8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1.1</w:t>
            </w:r>
          </w:p>
        </w:tc>
        <w:tc>
          <w:tcPr>
            <w:tcW w:w="7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center"/>
          </w:tcPr>
          <w:p>
            <w:pPr>
              <w:pStyle w:val="Normal"/>
              <w:tabs>
                <w:tab w:val="clear" w:pos="720"/>
              </w:tabs>
              <w:jc w:val="center"/>
              <w:rPr>
                <w:sz w:val="14"/>
                <w:szCs w:val="14"/>
              </w:rPr>
            </w:pPr>
            <w:r>
              <w:rPr>
                <w:sz w:val="14"/>
                <w:szCs w:val="14"/>
              </w:rPr>
              <w:t>-63.31</w:t>
              <w:br/>
              <w:t>(-64 to -62.69)</w:t>
            </w:r>
          </w:p>
        </w:tc>
        <w:tc>
          <w:tcPr>
            <w:tcW w:w="901" w:type="dxa"/>
            <w:tcBorders>
              <w:right w:val="single" w:sz="4" w:space="0" w:color="000000"/>
            </w:tcBorders>
            <w:vAlign w:val="center"/>
          </w:tcPr>
          <w:p>
            <w:pPr>
              <w:pStyle w:val="Normal"/>
              <w:tabs>
                <w:tab w:val="clear" w:pos="720"/>
              </w:tabs>
              <w:jc w:val="center"/>
              <w:rPr>
                <w:sz w:val="14"/>
                <w:szCs w:val="14"/>
              </w:rPr>
            </w:pPr>
            <w:r>
              <w:rPr>
                <w:sz w:val="14"/>
                <w:szCs w:val="14"/>
              </w:rPr>
              <w:t>-63.61</w:t>
              <w:br/>
              <w:t>(±1.507)</w:t>
            </w:r>
          </w:p>
        </w:tc>
        <w:tc>
          <w:tcPr>
            <w:tcW w:w="143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-173.83</w:t>
              <w:br/>
              <w:t>(-175.92 to -171.93)</w:t>
            </w:r>
          </w:p>
        </w:tc>
        <w:tc>
          <w:tcPr>
            <w:tcW w:w="991"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-175.57</w:t>
              <w:br/>
              <w:t>(±4.712)</w:t>
            </w:r>
          </w:p>
        </w:tc>
        <w:tc>
          <w:tcPr>
            <w:tcW w:w="1259" w:type="dxa"/>
            <w:tcBorders>
              <w:left w:val="single" w:sz="4" w:space="0" w:color="000000"/>
            </w:tcBorders>
            <w:vAlign w:val="center"/>
          </w:tcPr>
          <w:p>
            <w:pPr>
              <w:pStyle w:val="Normal"/>
              <w:tabs>
                <w:tab w:val="clear" w:pos="720"/>
              </w:tabs>
              <w:jc w:val="center"/>
              <w:rPr>
                <w:sz w:val="14"/>
                <w:szCs w:val="14"/>
              </w:rPr>
            </w:pPr>
            <w:r>
              <w:rPr>
                <w:sz w:val="14"/>
                <w:szCs w:val="14"/>
              </w:rPr>
              <w:t>-9.39</w:t>
              <w:br/>
              <w:t>(-9.44 to -9.35)</w:t>
            </w:r>
          </w:p>
        </w:tc>
        <w:tc>
          <w:tcPr>
            <w:tcW w:w="811" w:type="dxa"/>
            <w:tcBorders>
              <w:right w:val="single" w:sz="4" w:space="0" w:color="000000"/>
            </w:tcBorders>
            <w:vAlign w:val="center"/>
          </w:tcPr>
          <w:p>
            <w:pPr>
              <w:pStyle w:val="Normal"/>
              <w:tabs>
                <w:tab w:val="clear" w:pos="720"/>
              </w:tabs>
              <w:jc w:val="center"/>
              <w:rPr>
                <w:sz w:val="14"/>
                <w:szCs w:val="14"/>
              </w:rPr>
            </w:pPr>
            <w:r>
              <w:rPr>
                <w:sz w:val="14"/>
                <w:szCs w:val="14"/>
              </w:rPr>
              <w:t>-9.16 (±0.047)</w:t>
            </w:r>
          </w:p>
        </w:tc>
        <w:tc>
          <w:tcPr>
            <w:tcW w:w="117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51.69</w:t>
              <w:br/>
              <w:t>(51.43 to 51.88)</w:t>
            </w:r>
          </w:p>
        </w:tc>
        <w:tc>
          <w:tcPr>
            <w:tcW w:w="89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50.4</w:t>
            </w:r>
          </w:p>
        </w:tc>
        <w:tc>
          <w:tcPr>
            <w:tcW w:w="811" w:type="dxa"/>
            <w:tcBorders>
              <w:left w:val="single" w:sz="4" w:space="0" w:color="000000"/>
            </w:tcBorders>
            <w:vAlign w:val="center"/>
          </w:tcPr>
          <w:p>
            <w:pPr>
              <w:pStyle w:val="Normal"/>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0.5</w:t>
            </w:r>
          </w:p>
        </w:tc>
        <w:tc>
          <w:tcPr>
            <w:tcW w:w="8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1.3</w:t>
            </w:r>
          </w:p>
        </w:tc>
        <w:tc>
          <w:tcPr>
            <w:tcW w:w="7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center"/>
          </w:tcPr>
          <w:p>
            <w:pPr>
              <w:pStyle w:val="Normal"/>
              <w:tabs>
                <w:tab w:val="clear" w:pos="720"/>
              </w:tabs>
              <w:jc w:val="center"/>
              <w:rPr>
                <w:sz w:val="14"/>
                <w:szCs w:val="14"/>
              </w:rPr>
            </w:pPr>
            <w:r>
              <w:rPr>
                <w:sz w:val="14"/>
                <w:szCs w:val="14"/>
              </w:rPr>
              <w:t>-80.92</w:t>
              <w:br/>
              <w:t>(-83.27 to -79.05)</w:t>
            </w:r>
          </w:p>
        </w:tc>
        <w:tc>
          <w:tcPr>
            <w:tcW w:w="901" w:type="dxa"/>
            <w:tcBorders>
              <w:right w:val="single" w:sz="4" w:space="0" w:color="000000"/>
            </w:tcBorders>
            <w:vAlign w:val="center"/>
          </w:tcPr>
          <w:p>
            <w:pPr>
              <w:pStyle w:val="Normal"/>
              <w:tabs>
                <w:tab w:val="clear" w:pos="720"/>
              </w:tabs>
              <w:jc w:val="center"/>
              <w:rPr>
                <w:sz w:val="14"/>
                <w:szCs w:val="14"/>
              </w:rPr>
            </w:pPr>
            <w:r>
              <w:rPr>
                <w:sz w:val="14"/>
                <w:szCs w:val="14"/>
              </w:rPr>
              <w:t>-81.05</w:t>
              <w:br/>
              <w:t>(±6.734)</w:t>
            </w:r>
          </w:p>
        </w:tc>
        <w:tc>
          <w:tcPr>
            <w:tcW w:w="143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-216.39</w:t>
              <w:br/>
              <w:t>(-223.4 to -210.93)</w:t>
            </w:r>
          </w:p>
        </w:tc>
        <w:tc>
          <w:tcPr>
            <w:tcW w:w="991"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-217.41</w:t>
              <w:br/>
              <w:t>(±20.017)</w:t>
            </w:r>
          </w:p>
        </w:tc>
        <w:tc>
          <w:tcPr>
            <w:tcW w:w="1259" w:type="dxa"/>
            <w:tcBorders>
              <w:left w:val="single" w:sz="4" w:space="0" w:color="000000"/>
            </w:tcBorders>
            <w:vAlign w:val="center"/>
          </w:tcPr>
          <w:p>
            <w:pPr>
              <w:pStyle w:val="Normal"/>
              <w:tabs>
                <w:tab w:val="clear" w:pos="720"/>
              </w:tabs>
              <w:jc w:val="center"/>
              <w:rPr>
                <w:sz w:val="14"/>
                <w:szCs w:val="14"/>
              </w:rPr>
            </w:pPr>
            <w:r>
              <w:rPr>
                <w:sz w:val="14"/>
                <w:szCs w:val="14"/>
              </w:rPr>
              <w:t>-13.81</w:t>
              <w:br/>
              <w:t>(-14 to -13.65)</w:t>
            </w:r>
          </w:p>
        </w:tc>
        <w:tc>
          <w:tcPr>
            <w:tcW w:w="811" w:type="dxa"/>
            <w:tcBorders>
              <w:right w:val="single" w:sz="4" w:space="0" w:color="000000"/>
            </w:tcBorders>
            <w:vAlign w:val="center"/>
          </w:tcPr>
          <w:p>
            <w:pPr>
              <w:pStyle w:val="Normal"/>
              <w:tabs>
                <w:tab w:val="clear" w:pos="720"/>
              </w:tabs>
              <w:jc w:val="center"/>
              <w:rPr>
                <w:sz w:val="14"/>
                <w:szCs w:val="14"/>
              </w:rPr>
            </w:pPr>
            <w:r>
              <w:rPr>
                <w:sz w:val="14"/>
                <w:szCs w:val="14"/>
              </w:rPr>
              <w:t>-13.62 (±0.538)</w:t>
            </w:r>
          </w:p>
        </w:tc>
        <w:tc>
          <w:tcPr>
            <w:tcW w:w="117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67.66</w:t>
              <w:br/>
              <w:t>(67.13 to 68.11)</w:t>
            </w:r>
          </w:p>
        </w:tc>
        <w:tc>
          <w:tcPr>
            <w:tcW w:w="89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66.7</w:t>
            </w:r>
          </w:p>
        </w:tc>
        <w:tc>
          <w:tcPr>
            <w:tcW w:w="811" w:type="dxa"/>
            <w:tcBorders>
              <w:left w:val="single" w:sz="4" w:space="0" w:color="000000"/>
            </w:tcBorders>
            <w:vAlign w:val="center"/>
          </w:tcPr>
          <w:p>
            <w:pPr>
              <w:pStyle w:val="Normal"/>
              <w:tabs>
                <w:tab w:val="clear" w:pos="720"/>
              </w:tabs>
              <w:jc w:val="center"/>
              <w:rPr>
                <w:sz w:val="14"/>
                <w:szCs w:val="14"/>
              </w:rPr>
            </w:pPr>
            <w:r>
              <w:rPr>
                <w:sz w:val="14"/>
                <w:szCs w:val="14"/>
              </w:rPr>
              <w:t>0.1</w:t>
            </w:r>
          </w:p>
        </w:tc>
        <w:tc>
          <w:tcPr>
            <w:tcW w:w="80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0.3</w:t>
            </w:r>
          </w:p>
        </w:tc>
        <w:tc>
          <w:tcPr>
            <w:tcW w:w="8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1.1</w:t>
            </w:r>
          </w:p>
        </w:tc>
        <w:tc>
          <w:tcPr>
            <w:tcW w:w="7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center"/>
          </w:tcPr>
          <w:p>
            <w:pPr>
              <w:pStyle w:val="Normal"/>
              <w:tabs>
                <w:tab w:val="clear" w:pos="720"/>
              </w:tabs>
              <w:jc w:val="center"/>
              <w:rPr>
                <w:sz w:val="14"/>
                <w:szCs w:val="14"/>
              </w:rPr>
            </w:pPr>
            <w:r>
              <w:rPr>
                <w:sz w:val="14"/>
                <w:szCs w:val="14"/>
              </w:rPr>
              <w:t>-60.32</w:t>
              <w:br/>
              <w:t>(-62.02 to -58.19)</w:t>
            </w:r>
          </w:p>
        </w:tc>
        <w:tc>
          <w:tcPr>
            <w:tcW w:w="901" w:type="dxa"/>
            <w:tcBorders>
              <w:right w:val="single" w:sz="4" w:space="0" w:color="000000"/>
            </w:tcBorders>
            <w:vAlign w:val="center"/>
          </w:tcPr>
          <w:p>
            <w:pPr>
              <w:pStyle w:val="Normal"/>
              <w:tabs>
                <w:tab w:val="clear" w:pos="720"/>
              </w:tabs>
              <w:jc w:val="center"/>
              <w:rPr>
                <w:sz w:val="14"/>
                <w:szCs w:val="14"/>
              </w:rPr>
            </w:pPr>
            <w:r>
              <w:rPr>
                <w:sz w:val="14"/>
                <w:szCs w:val="14"/>
              </w:rPr>
              <w:t>-62.23</w:t>
              <w:br/>
              <w:t>(±3.751)</w:t>
            </w:r>
          </w:p>
        </w:tc>
        <w:tc>
          <w:tcPr>
            <w:tcW w:w="143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-160.72</w:t>
              <w:br/>
              <w:t>(-165.71 to -154.29)</w:t>
            </w:r>
          </w:p>
        </w:tc>
        <w:tc>
          <w:tcPr>
            <w:tcW w:w="991"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-167.11</w:t>
              <w:br/>
              <w:t>(±11.45)</w:t>
            </w:r>
          </w:p>
        </w:tc>
        <w:tc>
          <w:tcPr>
            <w:tcW w:w="1259" w:type="dxa"/>
            <w:tcBorders>
              <w:left w:val="single" w:sz="4" w:space="0" w:color="000000"/>
            </w:tcBorders>
            <w:vAlign w:val="center"/>
          </w:tcPr>
          <w:p>
            <w:pPr>
              <w:pStyle w:val="Normal"/>
              <w:tabs>
                <w:tab w:val="clear" w:pos="720"/>
              </w:tabs>
              <w:jc w:val="center"/>
              <w:rPr>
                <w:sz w:val="14"/>
                <w:szCs w:val="14"/>
              </w:rPr>
            </w:pPr>
            <w:r>
              <w:rPr>
                <w:sz w:val="14"/>
                <w:szCs w:val="14"/>
              </w:rPr>
              <w:t>-10.48</w:t>
              <w:br/>
              <w:t>(-10.61 to -10.33)</w:t>
            </w:r>
          </w:p>
        </w:tc>
        <w:tc>
          <w:tcPr>
            <w:tcW w:w="811" w:type="dxa"/>
            <w:tcBorders>
              <w:right w:val="single" w:sz="4" w:space="0" w:color="000000"/>
            </w:tcBorders>
            <w:vAlign w:val="center"/>
          </w:tcPr>
          <w:p>
            <w:pPr>
              <w:pStyle w:val="Normal"/>
              <w:tabs>
                <w:tab w:val="clear" w:pos="720"/>
              </w:tabs>
              <w:jc w:val="center"/>
              <w:rPr>
                <w:sz w:val="14"/>
                <w:szCs w:val="14"/>
              </w:rPr>
            </w:pPr>
            <w:r>
              <w:rPr>
                <w:sz w:val="14"/>
                <w:szCs w:val="14"/>
              </w:rPr>
              <w:t>-10.4 (±0.207)</w:t>
            </w:r>
          </w:p>
        </w:tc>
        <w:tc>
          <w:tcPr>
            <w:tcW w:w="117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58.7</w:t>
              <w:br/>
              <w:t>(58.37 to 58.92)</w:t>
            </w:r>
          </w:p>
        </w:tc>
        <w:tc>
          <w:tcPr>
            <w:tcW w:w="89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57.6</w:t>
            </w:r>
          </w:p>
        </w:tc>
        <w:tc>
          <w:tcPr>
            <w:tcW w:w="811" w:type="dxa"/>
            <w:tcBorders>
              <w:left w:val="single" w:sz="4" w:space="0" w:color="000000"/>
            </w:tcBorders>
            <w:vAlign w:val="center"/>
          </w:tcPr>
          <w:p>
            <w:pPr>
              <w:pStyle w:val="Normal"/>
              <w:tabs>
                <w:tab w:val="clear" w:pos="720"/>
              </w:tabs>
              <w:jc w:val="center"/>
              <w:rPr>
                <w:sz w:val="14"/>
                <w:szCs w:val="14"/>
              </w:rPr>
            </w:pPr>
            <w:r>
              <w:rPr>
                <w:sz w:val="14"/>
                <w:szCs w:val="14"/>
              </w:rPr>
              <w:t>1.5</w:t>
            </w:r>
          </w:p>
        </w:tc>
        <w:tc>
          <w:tcPr>
            <w:tcW w:w="80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1.8</w:t>
            </w:r>
          </w:p>
        </w:tc>
        <w:tc>
          <w:tcPr>
            <w:tcW w:w="8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0.4</w:t>
            </w:r>
          </w:p>
        </w:tc>
        <w:tc>
          <w:tcPr>
            <w:tcW w:w="7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1.1</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1" w:type="dxa"/>
            <w:tcBorders>
              <w:left w:val="single" w:sz="4" w:space="0" w:color="000000"/>
            </w:tcBorders>
            <w:vAlign w:val="center"/>
          </w:tcPr>
          <w:p>
            <w:pPr>
              <w:pStyle w:val="Normal"/>
              <w:tabs>
                <w:tab w:val="clear" w:pos="720"/>
              </w:tabs>
              <w:jc w:val="center"/>
              <w:rPr>
                <w:sz w:val="14"/>
                <w:szCs w:val="14"/>
              </w:rPr>
            </w:pPr>
            <w:r>
              <w:rPr>
                <w:sz w:val="14"/>
                <w:szCs w:val="14"/>
              </w:rPr>
              <w:t>-75.38</w:t>
              <w:br/>
              <w:t>(-77.21 to -73.3)</w:t>
            </w:r>
          </w:p>
        </w:tc>
        <w:tc>
          <w:tcPr>
            <w:tcW w:w="901" w:type="dxa"/>
            <w:tcBorders>
              <w:right w:val="single" w:sz="4" w:space="0" w:color="000000"/>
            </w:tcBorders>
            <w:vAlign w:val="center"/>
          </w:tcPr>
          <w:p>
            <w:pPr>
              <w:pStyle w:val="Normal"/>
              <w:tabs>
                <w:tab w:val="clear" w:pos="720"/>
              </w:tabs>
              <w:jc w:val="center"/>
              <w:rPr>
                <w:sz w:val="14"/>
                <w:szCs w:val="14"/>
              </w:rPr>
            </w:pPr>
            <w:r>
              <w:rPr>
                <w:sz w:val="14"/>
                <w:szCs w:val="14"/>
              </w:rPr>
              <w:t>-74.63</w:t>
              <w:br/>
              <w:t>(±6.17)</w:t>
            </w:r>
          </w:p>
        </w:tc>
        <w:tc>
          <w:tcPr>
            <w:tcW w:w="143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-199.36</w:t>
              <w:br/>
              <w:t>(-204.73 to -193.23)</w:t>
            </w:r>
          </w:p>
        </w:tc>
        <w:tc>
          <w:tcPr>
            <w:tcW w:w="991"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-198.05</w:t>
              <w:br/>
              <w:t>(±18.308)</w:t>
            </w:r>
          </w:p>
        </w:tc>
        <w:tc>
          <w:tcPr>
            <w:tcW w:w="1259" w:type="dxa"/>
            <w:tcBorders>
              <w:left w:val="single" w:sz="4" w:space="0" w:color="000000"/>
            </w:tcBorders>
            <w:vAlign w:val="center"/>
          </w:tcPr>
          <w:p>
            <w:pPr>
              <w:pStyle w:val="Normal"/>
              <w:tabs>
                <w:tab w:val="clear" w:pos="720"/>
              </w:tabs>
              <w:jc w:val="center"/>
              <w:rPr>
                <w:sz w:val="14"/>
                <w:szCs w:val="14"/>
              </w:rPr>
            </w:pPr>
            <w:r>
              <w:rPr>
                <w:sz w:val="14"/>
                <w:szCs w:val="14"/>
              </w:rPr>
              <w:t>-13.54</w:t>
              <w:br/>
              <w:t>(-13.71 to -13.34)</w:t>
            </w:r>
          </w:p>
        </w:tc>
        <w:tc>
          <w:tcPr>
            <w:tcW w:w="811" w:type="dxa"/>
            <w:tcBorders>
              <w:right w:val="single" w:sz="4" w:space="0" w:color="000000"/>
            </w:tcBorders>
            <w:vAlign w:val="center"/>
          </w:tcPr>
          <w:p>
            <w:pPr>
              <w:pStyle w:val="Normal"/>
              <w:tabs>
                <w:tab w:val="clear" w:pos="720"/>
              </w:tabs>
              <w:jc w:val="center"/>
              <w:rPr>
                <w:sz w:val="14"/>
                <w:szCs w:val="14"/>
              </w:rPr>
            </w:pPr>
            <w:r>
              <w:rPr>
                <w:sz w:val="14"/>
                <w:szCs w:val="14"/>
              </w:rPr>
              <w:t>-13.21 (±0.508)</w:t>
            </w:r>
          </w:p>
        </w:tc>
        <w:tc>
          <w:tcPr>
            <w:tcW w:w="117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68.82</w:t>
              <w:br/>
              <w:t>(68.47 to 69.33)</w:t>
            </w:r>
          </w:p>
        </w:tc>
        <w:tc>
          <w:tcPr>
            <w:tcW w:w="89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67.5</w:t>
            </w:r>
          </w:p>
        </w:tc>
        <w:tc>
          <w:tcPr>
            <w:tcW w:w="811" w:type="dxa"/>
            <w:tcBorders>
              <w:left w:val="single" w:sz="4" w:space="0" w:color="000000"/>
            </w:tcBorders>
            <w:vAlign w:val="center"/>
          </w:tcPr>
          <w:p>
            <w:pPr>
              <w:pStyle w:val="Normal"/>
              <w:tabs>
                <w:tab w:val="clear" w:pos="720"/>
              </w:tabs>
              <w:jc w:val="center"/>
              <w:rPr>
                <w:sz w:val="14"/>
                <w:szCs w:val="14"/>
              </w:rPr>
            </w:pPr>
            <w:r>
              <w:rPr>
                <w:sz w:val="14"/>
                <w:szCs w:val="14"/>
              </w:rPr>
              <w:t>0.6</w:t>
            </w:r>
          </w:p>
        </w:tc>
        <w:tc>
          <w:tcPr>
            <w:tcW w:w="80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0.4</w:t>
            </w:r>
          </w:p>
        </w:tc>
        <w:tc>
          <w:tcPr>
            <w:tcW w:w="8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1.8</w:t>
            </w:r>
          </w:p>
        </w:tc>
        <w:tc>
          <w:tcPr>
            <w:tcW w:w="7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1" w:type="dxa"/>
            <w:tcBorders>
              <w:left w:val="single" w:sz="4" w:space="0" w:color="000000"/>
            </w:tcBorders>
            <w:vAlign w:val="center"/>
          </w:tcPr>
          <w:p>
            <w:pPr>
              <w:pStyle w:val="Normal"/>
              <w:tabs>
                <w:tab w:val="clear" w:pos="720"/>
              </w:tabs>
              <w:jc w:val="center"/>
              <w:rPr>
                <w:sz w:val="14"/>
                <w:szCs w:val="14"/>
              </w:rPr>
            </w:pPr>
            <w:r>
              <w:rPr>
                <w:sz w:val="14"/>
                <w:szCs w:val="14"/>
              </w:rPr>
              <w:t>-74.15</w:t>
              <w:br/>
              <w:t>(-78.59 to -71.74)</w:t>
            </w:r>
          </w:p>
        </w:tc>
        <w:tc>
          <w:tcPr>
            <w:tcW w:w="901" w:type="dxa"/>
            <w:tcBorders>
              <w:right w:val="single" w:sz="4" w:space="0" w:color="000000"/>
            </w:tcBorders>
            <w:vAlign w:val="center"/>
          </w:tcPr>
          <w:p>
            <w:pPr>
              <w:pStyle w:val="Normal"/>
              <w:tabs>
                <w:tab w:val="clear" w:pos="720"/>
              </w:tabs>
              <w:jc w:val="center"/>
              <w:rPr>
                <w:sz w:val="14"/>
                <w:szCs w:val="14"/>
              </w:rPr>
            </w:pPr>
            <w:r>
              <w:rPr>
                <w:sz w:val="14"/>
                <w:szCs w:val="14"/>
              </w:rPr>
              <w:t>-66</w:t>
              <w:br/>
              <w:t>(±2.4)</w:t>
            </w:r>
          </w:p>
        </w:tc>
        <w:tc>
          <w:tcPr>
            <w:tcW w:w="143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-221.96</w:t>
              <w:br/>
              <w:t>(-236.28 to -214.21)</w:t>
            </w:r>
          </w:p>
        </w:tc>
        <w:tc>
          <w:tcPr>
            <w:tcW w:w="991"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-195</w:t>
              <w:br/>
              <w:t>(±7.9)</w:t>
            </w:r>
          </w:p>
        </w:tc>
        <w:tc>
          <w:tcPr>
            <w:tcW w:w="1259" w:type="dxa"/>
            <w:tcBorders>
              <w:left w:val="single" w:sz="4" w:space="0" w:color="000000"/>
            </w:tcBorders>
            <w:vAlign w:val="center"/>
          </w:tcPr>
          <w:p>
            <w:pPr>
              <w:pStyle w:val="Normal"/>
              <w:tabs>
                <w:tab w:val="clear" w:pos="720"/>
              </w:tabs>
              <w:jc w:val="center"/>
              <w:rPr>
                <w:sz w:val="14"/>
                <w:szCs w:val="14"/>
              </w:rPr>
            </w:pPr>
            <w:r>
              <w:rPr>
                <w:sz w:val="14"/>
                <w:szCs w:val="14"/>
              </w:rPr>
              <w:t>-5.31</w:t>
              <w:br/>
              <w:t>(-5.34 to -5.27)</w:t>
            </w:r>
          </w:p>
        </w:tc>
        <w:tc>
          <w:tcPr>
            <w:tcW w:w="811" w:type="dxa"/>
            <w:tcBorders>
              <w:right w:val="single" w:sz="4" w:space="0" w:color="000000"/>
            </w:tcBorders>
            <w:vAlign w:val="center"/>
          </w:tcPr>
          <w:p>
            <w:pPr>
              <w:pStyle w:val="Normal"/>
              <w:tabs>
                <w:tab w:val="clear" w:pos="720"/>
              </w:tabs>
              <w:jc w:val="center"/>
              <w:rPr>
                <w:sz w:val="14"/>
                <w:szCs w:val="14"/>
              </w:rPr>
            </w:pPr>
            <w:r>
              <w:rPr>
                <w:sz w:val="14"/>
                <w:szCs w:val="14"/>
              </w:rPr>
              <w:t>-5.48 (±0.04)</w:t>
            </w:r>
          </w:p>
        </w:tc>
        <w:tc>
          <w:tcPr>
            <w:tcW w:w="117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35.47</w:t>
              <w:br/>
              <w:t>(35.26 to 35.59)</w:t>
            </w:r>
          </w:p>
        </w:tc>
        <w:tc>
          <w:tcPr>
            <w:tcW w:w="89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36.1</w:t>
            </w:r>
          </w:p>
        </w:tc>
        <w:tc>
          <w:tcPr>
            <w:tcW w:w="811" w:type="dxa"/>
            <w:tcBorders>
              <w:left w:val="single" w:sz="4" w:space="0" w:color="000000"/>
            </w:tcBorders>
            <w:vAlign w:val="center"/>
          </w:tcPr>
          <w:p>
            <w:pPr>
              <w:pStyle w:val="Normal"/>
              <w:tabs>
                <w:tab w:val="clear" w:pos="720"/>
              </w:tabs>
              <w:jc w:val="center"/>
              <w:rPr>
                <w:sz w:val="14"/>
                <w:szCs w:val="14"/>
              </w:rPr>
            </w:pPr>
            <w:r>
              <w:rPr>
                <w:sz w:val="14"/>
                <w:szCs w:val="14"/>
              </w:rPr>
              <w:t>6.3</w:t>
            </w:r>
          </w:p>
        </w:tc>
        <w:tc>
          <w:tcPr>
            <w:tcW w:w="80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7.4</w:t>
            </w:r>
          </w:p>
        </w:tc>
        <w:tc>
          <w:tcPr>
            <w:tcW w:w="8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0.9</w:t>
            </w:r>
          </w:p>
        </w:tc>
        <w:tc>
          <w:tcPr>
            <w:tcW w:w="7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0.6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1" w:type="dxa"/>
            <w:tcBorders>
              <w:left w:val="single" w:sz="4" w:space="0" w:color="000000"/>
            </w:tcBorders>
            <w:vAlign w:val="center"/>
          </w:tcPr>
          <w:p>
            <w:pPr>
              <w:pStyle w:val="Normal"/>
              <w:tabs>
                <w:tab w:val="clear" w:pos="720"/>
              </w:tabs>
              <w:jc w:val="center"/>
              <w:rPr>
                <w:sz w:val="14"/>
                <w:szCs w:val="14"/>
              </w:rPr>
            </w:pPr>
            <w:r>
              <w:rPr>
                <w:sz w:val="14"/>
                <w:szCs w:val="14"/>
              </w:rPr>
              <w:t>-81.24</w:t>
              <w:br/>
              <w:t>(-84.35 to -79.04)</w:t>
            </w:r>
          </w:p>
        </w:tc>
        <w:tc>
          <w:tcPr>
            <w:tcW w:w="901" w:type="dxa"/>
            <w:tcBorders>
              <w:right w:val="single" w:sz="4" w:space="0" w:color="000000"/>
            </w:tcBorders>
            <w:vAlign w:val="center"/>
          </w:tcPr>
          <w:p>
            <w:pPr>
              <w:pStyle w:val="Normal"/>
              <w:tabs>
                <w:tab w:val="clear" w:pos="720"/>
              </w:tabs>
              <w:jc w:val="center"/>
              <w:rPr>
                <w:sz w:val="14"/>
                <w:szCs w:val="14"/>
              </w:rPr>
            </w:pPr>
            <w:r>
              <w:rPr>
                <w:sz w:val="14"/>
                <w:szCs w:val="14"/>
              </w:rPr>
              <w:t>-78.1</w:t>
              <w:br/>
              <w:t>(±1.7)</w:t>
            </w:r>
          </w:p>
        </w:tc>
        <w:tc>
          <w:tcPr>
            <w:tcW w:w="143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-234.11</w:t>
              <w:br/>
              <w:t>(-243.79 to -227.28)</w:t>
            </w:r>
          </w:p>
        </w:tc>
        <w:tc>
          <w:tcPr>
            <w:tcW w:w="991"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-225.7</w:t>
              <w:br/>
              <w:t>(±5.3)</w:t>
            </w:r>
          </w:p>
        </w:tc>
        <w:tc>
          <w:tcPr>
            <w:tcW w:w="1259" w:type="dxa"/>
            <w:tcBorders>
              <w:left w:val="single" w:sz="4" w:space="0" w:color="000000"/>
            </w:tcBorders>
            <w:vAlign w:val="center"/>
          </w:tcPr>
          <w:p>
            <w:pPr>
              <w:pStyle w:val="Normal"/>
              <w:tabs>
                <w:tab w:val="clear" w:pos="720"/>
              </w:tabs>
              <w:jc w:val="center"/>
              <w:rPr>
                <w:sz w:val="14"/>
                <w:szCs w:val="14"/>
              </w:rPr>
            </w:pPr>
            <w:r>
              <w:rPr>
                <w:sz w:val="14"/>
                <w:szCs w:val="14"/>
              </w:rPr>
              <w:t>-8.63</w:t>
              <w:br/>
              <w:t>(-8.73 to -8.54)</w:t>
            </w:r>
          </w:p>
        </w:tc>
        <w:tc>
          <w:tcPr>
            <w:tcW w:w="811" w:type="dxa"/>
            <w:tcBorders>
              <w:right w:val="single" w:sz="4" w:space="0" w:color="000000"/>
            </w:tcBorders>
            <w:vAlign w:val="center"/>
          </w:tcPr>
          <w:p>
            <w:pPr>
              <w:pStyle w:val="Normal"/>
              <w:tabs>
                <w:tab w:val="clear" w:pos="720"/>
              </w:tabs>
              <w:jc w:val="center"/>
              <w:rPr>
                <w:sz w:val="14"/>
                <w:szCs w:val="14"/>
              </w:rPr>
            </w:pPr>
            <w:r>
              <w:rPr>
                <w:sz w:val="14"/>
                <w:szCs w:val="14"/>
              </w:rPr>
              <w:t>-8.09 (±0.05)</w:t>
            </w:r>
          </w:p>
        </w:tc>
        <w:tc>
          <w:tcPr>
            <w:tcW w:w="1170"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48.71</w:t>
              <w:br/>
              <w:t>(48.64 to 48.78)</w:t>
            </w:r>
          </w:p>
        </w:tc>
        <w:tc>
          <w:tcPr>
            <w:tcW w:w="89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46.9</w:t>
            </w:r>
          </w:p>
        </w:tc>
        <w:tc>
          <w:tcPr>
            <w:tcW w:w="811" w:type="dxa"/>
            <w:tcBorders>
              <w:left w:val="single" w:sz="4" w:space="0" w:color="000000"/>
            </w:tcBorders>
            <w:vAlign w:val="center"/>
          </w:tcPr>
          <w:p>
            <w:pPr>
              <w:pStyle w:val="Normal"/>
              <w:tabs>
                <w:tab w:val="clear" w:pos="720"/>
              </w:tabs>
              <w:jc w:val="center"/>
              <w:rPr>
                <w:sz w:val="14"/>
                <w:szCs w:val="14"/>
              </w:rPr>
            </w:pPr>
            <w:r>
              <w:rPr>
                <w:sz w:val="14"/>
                <w:szCs w:val="14"/>
              </w:rPr>
              <w:t>2.4</w:t>
            </w:r>
          </w:p>
        </w:tc>
        <w:tc>
          <w:tcPr>
            <w:tcW w:w="809"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2.3</w:t>
            </w:r>
          </w:p>
        </w:tc>
        <w:tc>
          <w:tcPr>
            <w:tcW w:w="812"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3.0</w:t>
            </w:r>
          </w:p>
        </w:tc>
        <w:tc>
          <w:tcPr>
            <w:tcW w:w="704" w:type="dxa"/>
            <w:tcBorders/>
            <w:tcMar>
              <w:top w:w="0" w:type="dxa"/>
              <w:left w:w="30" w:type="dxa"/>
              <w:bottom w:w="0" w:type="dxa"/>
              <w:right w:w="30" w:type="dxa"/>
            </w:tcMar>
            <w:vAlign w:val="center"/>
          </w:tcPr>
          <w:p>
            <w:pPr>
              <w:pStyle w:val="Normal"/>
              <w:tabs>
                <w:tab w:val="clear" w:pos="720"/>
              </w:tabs>
              <w:jc w:val="center"/>
              <w:rPr>
                <w:sz w:val="14"/>
                <w:szCs w:val="14"/>
              </w:rPr>
            </w:pPr>
            <w:r>
              <w:rPr>
                <w:sz w:val="14"/>
                <w:szCs w:val="14"/>
              </w:rPr>
              <w:t>1.8</w:t>
            </w:r>
          </w:p>
        </w:tc>
      </w:tr>
      <w:tr>
        <w:trPr>
          <w:trHeight w:val="256" w:hRule="atLeast"/>
        </w:trPr>
        <w:tc>
          <w:tcPr>
            <w:tcW w:w="10439" w:type="dxa"/>
            <w:gridSpan w:val="9"/>
            <w:tcBorders>
              <w:top w:val="single" w:sz="4" w:space="0" w:color="000000"/>
              <w:bottom w:val="single" w:sz="4" w:space="0" w:color="000000"/>
            </w:tcBorders>
            <w:vAlign w:val="center"/>
          </w:tcPr>
          <w:p>
            <w:pPr>
              <w:pStyle w:val="Normal"/>
              <w:widowControl w:val="false"/>
              <w:tabs>
                <w:tab w:val="clear" w:pos="720"/>
              </w:tabs>
              <w:jc w:val="center"/>
              <w:rPr/>
            </w:pPr>
            <w:r>
              <w:rPr>
                <w:sz w:val="14"/>
                <w:szCs w:val="14"/>
              </w:rPr>
              <w:t>Average % error between MeltR method 2 and Meltwin method 2</w:t>
            </w:r>
          </w:p>
        </w:tc>
        <w:tc>
          <w:tcPr>
            <w:tcW w:w="811" w:type="dxa"/>
            <w:tcBorders>
              <w:top w:val="single" w:sz="4" w:space="0" w:color="000000"/>
              <w:left w:val="single" w:sz="4" w:space="0" w:color="000000"/>
              <w:bottom w:val="single" w:sz="4" w:space="0" w:color="000000"/>
            </w:tcBorders>
            <w:vAlign w:val="center"/>
          </w:tcPr>
          <w:p>
            <w:pPr>
              <w:pStyle w:val="Normal"/>
              <w:tabs>
                <w:tab w:val="clear" w:pos="720"/>
              </w:tabs>
              <w:jc w:val="center"/>
              <w:rPr>
                <w:sz w:val="14"/>
                <w:szCs w:val="14"/>
              </w:rPr>
            </w:pPr>
            <w:r>
              <w:rPr>
                <w:sz w:val="14"/>
                <w:szCs w:val="14"/>
              </w:rPr>
              <w:t>1.9</w:t>
            </w:r>
          </w:p>
        </w:tc>
        <w:tc>
          <w:tcPr>
            <w:tcW w:w="809"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2.2</w:t>
            </w:r>
          </w:p>
        </w:tc>
        <w:tc>
          <w:tcPr>
            <w:tcW w:w="812"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1.4</w:t>
            </w:r>
          </w:p>
        </w:tc>
        <w:tc>
          <w:tcPr>
            <w:tcW w:w="704" w:type="dxa"/>
            <w:tcBorders>
              <w:top w:val="single" w:sz="4" w:space="0" w:color="000000"/>
              <w:bottom w:val="single" w:sz="4" w:space="0" w:color="000000"/>
            </w:tcBorders>
            <w:vAlign w:val="center"/>
          </w:tcPr>
          <w:p>
            <w:pPr>
              <w:pStyle w:val="Normal"/>
              <w:tabs>
                <w:tab w:val="clear" w:pos="720"/>
              </w:tabs>
              <w:jc w:val="center"/>
              <w:rPr>
                <w:sz w:val="14"/>
                <w:szCs w:val="14"/>
              </w:rPr>
            </w:pPr>
            <w:r>
              <w:rPr>
                <w:sz w:val="14"/>
                <w:szCs w:val="14"/>
              </w:rPr>
              <w:t>1.2</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sectPr>
          <w:footerReference w:type="default" r:id="rId10"/>
          <w:type w:val="nextPage"/>
          <w:pgSz w:orient="landscape" w:w="15840" w:h="12240"/>
          <w:pgMar w:left="1134" w:right="1134" w:gutter="0" w:header="0" w:top="1134" w:footer="0" w:bottom="1134"/>
          <w:pgNumType w:fmt="decimal"/>
          <w:formProt w:val="false"/>
          <w:textDirection w:val="lrTb"/>
          <w:docGrid w:type="default" w:linePitch="100" w:charSpace="0"/>
        </w:sectPr>
        <w:pStyle w:val="Normal"/>
        <w:widowControl w:val="false"/>
        <w:tabs>
          <w:tab w:val="clear" w:pos="720"/>
        </w:tabs>
        <w:suppressAutoHyphens w:val="true"/>
        <w:bidi w:val="0"/>
        <w:spacing w:before="0" w:after="0"/>
        <w:ind w:left="0" w:right="-720" w:hanging="0"/>
        <w:jc w:val="both"/>
        <w:textAlignment w:val="baseline"/>
        <w:rPr/>
      </w:pPr>
      <w:r>
        <w:rPr>
          <w:vertAlign w:val="superscript"/>
        </w:rPr>
        <w:t>c</w:t>
      </w:r>
      <w:r>
        <w:rPr>
          <w:position w:val="0"/>
          <w:sz w:val="20"/>
          <w:sz w:val="20"/>
          <w:vertAlign w:val="baseline"/>
        </w:rPr>
        <w:t>Data compiled in this work.</w:t>
      </w:r>
      <w:r>
        <w:br w:type="page"/>
      </w:r>
    </w:p>
    <w:p>
      <w:pPr>
        <w:pStyle w:val="Heading1"/>
        <w:ind w:left="0" w:right="-720" w:hanging="0"/>
        <w:jc w:val="both"/>
        <w:rPr/>
      </w:pPr>
      <w:bookmarkStart w:id="24" w:name="__RefHeading___Toc99310_3449495920"/>
      <w:bookmarkStart w:id="25" w:name="_Toc1085136791"/>
      <w:bookmarkStart w:id="26" w:name="_Toc1117940721"/>
      <w:bookmarkEnd w:id="24"/>
      <w:r>
        <w:rPr/>
        <w:t>Supplementary information references</w:t>
      </w:r>
      <w:bookmarkEnd w:id="25"/>
      <w:bookmarkEnd w:id="26"/>
    </w:p>
    <w:p>
      <w:pPr>
        <w:pStyle w:val="Normal"/>
        <w:ind w:left="0" w:hanging="0"/>
        <w:jc w:val="both"/>
        <w:rPr/>
      </w:pPr>
      <w:r>
        <w:rPr/>
      </w:r>
    </w:p>
    <w:p>
      <w:pPr>
        <w:pStyle w:val="Normal"/>
        <w:widowControl w:val="false"/>
        <w:suppressAutoHyphens w:val="true"/>
        <w:bidi w:val="0"/>
        <w:spacing w:before="0" w:after="0"/>
        <w:ind w:left="0" w:hanging="0"/>
        <w:jc w:val="both"/>
        <w:textAlignment w:val="baseline"/>
        <w:rPr/>
      </w:pPr>
      <w:r>
        <w:rPr>
          <w:position w:val="0"/>
          <w:sz w:val="20"/>
          <w:sz w:val="20"/>
          <w:vertAlign w:val="baseline"/>
        </w:rPr>
        <w:t xml:space="preserve">(1) Adams, M. S.; Znosko, B. M. Thermodynamic Characterization and Nearest Neighbor Parameters for RNA Duplexes under Molecular Crowding Conditions. </w:t>
      </w:r>
      <w:r>
        <w:rPr>
          <w:i/>
          <w:position w:val="0"/>
          <w:sz w:val="20"/>
          <w:sz w:val="20"/>
          <w:vertAlign w:val="baseline"/>
        </w:rPr>
        <w:t>Nucleic Acids Research</w:t>
      </w:r>
      <w:r>
        <w:rPr>
          <w:position w:val="0"/>
          <w:sz w:val="20"/>
          <w:sz w:val="20"/>
          <w:vertAlign w:val="baseline"/>
        </w:rPr>
        <w:t xml:space="preserve"> </w:t>
      </w:r>
      <w:r>
        <w:rPr>
          <w:b/>
          <w:position w:val="0"/>
          <w:sz w:val="20"/>
          <w:sz w:val="20"/>
          <w:vertAlign w:val="baseline"/>
        </w:rPr>
        <w:t>2019</w:t>
      </w:r>
      <w:r>
        <w:rPr>
          <w:position w:val="0"/>
          <w:sz w:val="20"/>
          <w:sz w:val="20"/>
          <w:vertAlign w:val="baseline"/>
        </w:rPr>
        <w:t xml:space="preserve">, </w:t>
      </w:r>
      <w:r>
        <w:rPr>
          <w:i/>
          <w:position w:val="0"/>
          <w:sz w:val="20"/>
          <w:sz w:val="20"/>
          <w:vertAlign w:val="baseline"/>
        </w:rPr>
        <w:t>47</w:t>
      </w:r>
      <w:r>
        <w:rPr>
          <w:position w:val="0"/>
          <w:sz w:val="20"/>
          <w:sz w:val="20"/>
          <w:vertAlign w:val="baseline"/>
        </w:rPr>
        <w:t xml:space="preserve"> (7), 3658–3666. </w:t>
      </w:r>
      <w:hyperlink r:id="rId11">
        <w:r>
          <w:rPr>
            <w:rStyle w:val="InternetLink"/>
            <w:position w:val="0"/>
            <w:sz w:val="20"/>
            <w:sz w:val="20"/>
            <w:vertAlign w:val="baseline"/>
          </w:rPr>
          <w:t>https://doi.org/10.1093/nar/gkz019</w:t>
        </w:r>
      </w:hyperlink>
      <w:r>
        <w:rPr>
          <w:position w:val="0"/>
          <w:sz w:val="20"/>
          <w:sz w:val="20"/>
          <w:vertAlign w:val="baseline"/>
        </w:rPr>
        <w:t>.</w:t>
      </w:r>
    </w:p>
    <w:sectPr>
      <w:footerReference w:type="default" r:id="rId12"/>
      <w:type w:val="nextPage"/>
      <w:pgSz w:w="12240" w:h="15840"/>
      <w:pgMar w:left="1440" w:right="1440" w:gutter="0" w:header="0" w:top="777" w:footer="720" w:bottom="144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Times New Roman">
    <w:charset w:val="01"/>
    <w:family w:val="swiss"/>
    <w:pitch w:val="variable"/>
  </w:font>
  <w:font w:name="Courier New">
    <w:charset w:val="01"/>
    <w:family w:val="roman"/>
    <w:pitch w:val="variable"/>
  </w:font>
  <w:font w:name="Arno Pro">
    <w:charset w:val="01"/>
    <w:family w:val="roman"/>
    <w:pitch w:val="variable"/>
  </w:font>
  <w:font w:name="Liberation Sans">
    <w:altName w:val="Arial"/>
    <w:charset w:val="01"/>
    <w:family w:val="roman"/>
    <w:pitch w:val="variable"/>
  </w:font>
  <w:font w:name="Myriad Pro Ligh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Fonts w:cs="Times New Roman" w:ascii="Times New Roman" w:hAnsi="Times New Roman"/>
      </w:rPr>
      <w:t xml:space="preserve">Sieg supplemental figures and tables p. </w:t>
    </w: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1</w:t>
    </w:r>
    <w:r>
      <w:rPr>
        <w:rFonts w:cs="Times New Roman" w:ascii="Times New Roman" w:hAnsi="Times New Roman"/>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8</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9</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10</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rFonts w:ascii="Arial" w:hAnsi="Arial" w:eastAsia="Calibri" w:cs="DejaVu Sans"/>
        <w:color w:val="auto"/>
        <w:kern w:val="0"/>
        <w:sz w:val="20"/>
        <w:szCs w:val="22"/>
        <w:lang w:val="en-US" w:eastAsia="en-US" w:bidi="ar-SA"/>
      </w:rPr>
    </w:pPr>
    <w:r>
      <w:rPr>
        <w:rFonts w:eastAsia="Calibri" w:cs="DejaVu Sans"/>
        <w:color w:val="auto"/>
        <w:kern w:val="0"/>
        <w:sz w:val="20"/>
        <w:szCs w:val="22"/>
        <w:lang w:val="en-US" w:eastAsia="en-US" w:bidi="ar-SA"/>
      </w:rPr>
      <w:t xml:space="preserve">Sieg supplemental figures and tables p. </w:t>
    </w:r>
    <w:r>
      <w:rPr>
        <w:rFonts w:eastAsia="Calibri" w:cs="DejaVu Sans"/>
        <w:color w:val="auto"/>
        <w:kern w:val="0"/>
        <w:sz w:val="20"/>
        <w:szCs w:val="22"/>
        <w:lang w:val="en-US" w:eastAsia="en-US" w:bidi="ar-SA"/>
      </w:rPr>
      <w:fldChar w:fldCharType="begin"/>
    </w:r>
    <w:r>
      <w:rPr>
        <w:sz w:val="20"/>
        <w:kern w:val="0"/>
        <w:szCs w:val="22"/>
        <w:rFonts w:eastAsia="Calibri" w:cs="DejaVu Sans"/>
        <w:color w:val="auto"/>
        <w:lang w:val="en-US" w:eastAsia="en-US" w:bidi="ar-SA"/>
      </w:rPr>
      <w:instrText xml:space="preserve"> PAGE </w:instrText>
    </w:r>
    <w:r>
      <w:rPr>
        <w:sz w:val="20"/>
        <w:kern w:val="0"/>
        <w:szCs w:val="22"/>
        <w:rFonts w:eastAsia="Calibri" w:cs="DejaVu Sans"/>
        <w:color w:val="auto"/>
        <w:lang w:val="en-US" w:eastAsia="en-US" w:bidi="ar-SA"/>
      </w:rPr>
      <w:fldChar w:fldCharType="separate"/>
    </w:r>
    <w:r>
      <w:rPr>
        <w:sz w:val="20"/>
        <w:kern w:val="0"/>
        <w:szCs w:val="22"/>
        <w:rFonts w:eastAsia="Calibri" w:cs="DejaVu Sans"/>
        <w:color w:val="auto"/>
        <w:lang w:val="en-US" w:eastAsia="en-US" w:bidi="ar-SA"/>
      </w:rPr>
      <w:t>11</w:t>
    </w:r>
    <w:r>
      <w:rPr>
        <w:sz w:val="20"/>
        <w:kern w:val="0"/>
        <w:szCs w:val="22"/>
        <w:rFonts w:eastAsia="Calibri" w:cs="DejaVu Sans"/>
        <w:color w:val="auto"/>
        <w:lang w:val="en-US" w:eastAsia="en-US" w:bidi="ar-SA"/>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Fonts w:cs="Times New Roman" w:ascii="Times New Roman" w:hAnsi="Times New Roman"/>
      </w:rPr>
      <w:t xml:space="preserve">Sieg supplemental figures and tables p. </w:t>
    </w: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12</w:t>
    </w:r>
    <w:r>
      <w:rPr>
        <w:rFonts w:cs="Times New Roman" w:ascii="Times New Roman" w:hAnsi="Times New Roman"/>
      </w:rPr>
      <w:fldChar w:fldCharType="end"/>
    </w:r>
  </w:p>
  <w:p>
    <w:pPr>
      <w:pStyle w:val="Footer"/>
      <w:rPr/>
    </w:pPr>
    <w:r>
      <w:rPr/>
    </w:r>
  </w:p>
</w:ftr>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DejaVu Sans"/>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left"/>
      <w:textAlignment w:val="baseline"/>
    </w:pPr>
    <w:rPr>
      <w:rFonts w:ascii="Arial" w:hAnsi="Arial" w:eastAsia="Calibri" w:cs="DejaVu Sans"/>
      <w:color w:val="auto"/>
      <w:kern w:val="0"/>
      <w:sz w:val="20"/>
      <w:szCs w:val="22"/>
      <w:lang w:val="en-US" w:eastAsia="en-US" w:bidi="ar-SA"/>
    </w:rPr>
  </w:style>
  <w:style w:type="paragraph" w:styleId="Heading1">
    <w:name w:val="Heading 1"/>
    <w:basedOn w:val="Normal"/>
    <w:next w:val="Normal"/>
    <w:link w:val="Heading1Char"/>
    <w:qFormat/>
    <w:pPr>
      <w:keepNext w:val="true"/>
      <w:keepLines/>
      <w:spacing w:before="240" w:after="0"/>
      <w:outlineLvl w:val="0"/>
    </w:pPr>
    <w:rPr>
      <w:rFonts w:ascii="Times New Roman" w:hAnsi="Times New Roman" w:eastAsia="Calibri" w:cs="DejaVu Sans"/>
      <w:b/>
      <w:color w:val="000000"/>
      <w:sz w:val="32"/>
      <w:szCs w:val="32"/>
    </w:rPr>
  </w:style>
  <w:style w:type="paragraph" w:styleId="Heading2">
    <w:name w:val="Heading 2"/>
    <w:basedOn w:val="Heading"/>
    <w:next w:val="Textbody1"/>
    <w:qFormat/>
    <w:pPr>
      <w:spacing w:before="200" w:after="120"/>
      <w:outlineLvl w:val="1"/>
    </w:pPr>
    <w:rPr>
      <w:rFonts w:ascii="Times New Roman" w:hAnsi="Times New Roman" w:eastAsia="DejaVu Sans" w:cs="DejaVu Sans"/>
      <w:bCs/>
      <w:i/>
      <w:sz w:val="24"/>
      <w:szCs w:val="36"/>
    </w:rPr>
  </w:style>
  <w:style w:type="paragraph" w:styleId="Heading3">
    <w:name w:val="Heading 3"/>
    <w:basedOn w:val="Normal"/>
    <w:next w:val="Normal"/>
    <w:link w:val="Heading3Char"/>
    <w:qFormat/>
    <w:pPr>
      <w:keepNext w:val="true"/>
      <w:keepLines/>
      <w:spacing w:before="40" w:after="0"/>
      <w:outlineLvl w:val="2"/>
    </w:pPr>
    <w:rPr>
      <w:rFonts w:eastAsia="Calibri" w:cs="DejaVu Sans"/>
      <w:b/>
      <w:color w:val="000000"/>
      <w:szCs w:val="24"/>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Hyperlink"/>
    <w:basedOn w:val="DefaultParagraphFont"/>
    <w:qFormat/>
    <w:rPr>
      <w:color w:val="0563C1"/>
      <w:u w:val="single"/>
    </w:rPr>
  </w:style>
  <w:style w:type="character" w:styleId="UnresolvedMention">
    <w:name w:val="Unresolved Mention"/>
    <w:basedOn w:val="DefaultParagraphFont"/>
    <w:qFormat/>
    <w:rPr>
      <w:color w:val="605E5C"/>
      <w:shd w:fill="E1DFDD" w:val="clear"/>
    </w:rPr>
  </w:style>
  <w:style w:type="character" w:styleId="HTMLSample">
    <w:name w:val="HTML Sample"/>
    <w:basedOn w:val="DefaultParagraphFont"/>
    <w:qFormat/>
    <w:rPr>
      <w:rFonts w:ascii="Courier New" w:hAnsi="Courier New" w:eastAsia="Times New Roman" w:cs="Courier New"/>
    </w:rPr>
  </w:style>
  <w:style w:type="character" w:styleId="PlaceholderText">
    <w:name w:val="Placeholder Text"/>
    <w:basedOn w:val="DefaultParagraphFont"/>
    <w:qFormat/>
    <w:rPr>
      <w:color w:val="808080"/>
    </w:rPr>
  </w:style>
  <w:style w:type="character" w:styleId="VisitedInternetLink">
    <w:name w:val="FollowedHyperlink"/>
    <w:basedOn w:val="DefaultParagraphFont"/>
    <w:rPr>
      <w:color w:val="954F72"/>
      <w:u w:val="single"/>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Times New Roman" w:hAnsi="Times New Roman" w:eastAsia="Times New Roman" w:cs="Times New Roman"/>
      <w:sz w:val="18"/>
      <w:szCs w:val="18"/>
    </w:rPr>
  </w:style>
  <w:style w:type="character" w:styleId="StrongEmphasis">
    <w:name w:val="Strong Emphasis"/>
    <w:qFormat/>
    <w:rPr>
      <w:b/>
      <w:bCs/>
    </w:rPr>
  </w:style>
  <w:style w:type="character" w:styleId="Heading1Char">
    <w:name w:val="Heading 1 Char"/>
    <w:basedOn w:val="DefaultParagraphFont"/>
    <w:link w:val="Heading1"/>
    <w:qFormat/>
    <w:rPr>
      <w:rFonts w:ascii="Times New Roman" w:hAnsi="Times New Roman" w:eastAsia="Calibri" w:cs="DejaVu Sans"/>
      <w:b/>
      <w:color w:val="000000"/>
      <w:sz w:val="32"/>
      <w:szCs w:val="32"/>
    </w:rPr>
  </w:style>
  <w:style w:type="character" w:styleId="StandardChar">
    <w:name w:val="Standard Char"/>
    <w:basedOn w:val="DefaultParagraphFont"/>
    <w:qFormat/>
    <w:rPr/>
  </w:style>
  <w:style w:type="character" w:styleId="ChapterChar">
    <w:name w:val="Chapter Char"/>
    <w:basedOn w:val="StandardChar"/>
    <w:link w:val="Chapter"/>
    <w:qFormat/>
    <w:rPr>
      <w:rFonts w:ascii="Times New Roman" w:hAnsi="Times New Roman" w:cs="Times New Roman"/>
      <w:b/>
      <w:bCs/>
      <w:sz w:val="28"/>
      <w:szCs w:val="28"/>
    </w:rPr>
  </w:style>
  <w:style w:type="character" w:styleId="NumberingSymbols">
    <w:name w:val="Numbering Symbols"/>
    <w:qFormat/>
    <w:rPr/>
  </w:style>
  <w:style w:type="character" w:styleId="Heading3Char">
    <w:name w:val="Heading 3 Char"/>
    <w:basedOn w:val="DefaultParagraphFont"/>
    <w:link w:val="Heading3"/>
    <w:qFormat/>
    <w:rPr>
      <w:rFonts w:ascii="Arial" w:hAnsi="Arial" w:eastAsia="Calibri" w:cs="DejaVu Sans"/>
      <w:b/>
      <w:color w:val="000000"/>
      <w:sz w:val="20"/>
      <w:szCs w:val="24"/>
    </w:rPr>
  </w:style>
  <w:style w:type="character" w:styleId="Style1Char">
    <w:name w:val="Style1 Char"/>
    <w:basedOn w:val="StandardChar"/>
    <w:link w:val="Style11"/>
    <w:qFormat/>
    <w:rPr/>
  </w:style>
  <w:style w:type="character" w:styleId="SubtleEmphasis">
    <w:name w:val="Subtle Emphasis"/>
    <w:basedOn w:val="DefaultParagraphFont"/>
    <w:qFormat/>
    <w:rPr>
      <w:i/>
      <w:iCs/>
      <w:color w:val="404040"/>
    </w:rPr>
  </w:style>
  <w:style w:type="character" w:styleId="Htmlitalic">
    <w:name w:val="html-italic"/>
    <w:basedOn w:val="DefaultParagraphFont"/>
    <w:qFormat/>
    <w:rPr/>
  </w:style>
  <w:style w:type="character" w:styleId="Mn">
    <w:name w:val="mn"/>
    <w:basedOn w:val="DefaultParagraphFont"/>
    <w:qFormat/>
    <w:rPr/>
  </w:style>
  <w:style w:type="character" w:styleId="Mtext">
    <w:name w:val="mtext"/>
    <w:basedOn w:val="DefaultParagraphFont"/>
    <w:qFormat/>
    <w:rPr/>
  </w:style>
  <w:style w:type="character" w:styleId="Mo">
    <w:name w:val="mo"/>
    <w:basedOn w:val="DefaultParagraphFont"/>
    <w:qFormat/>
    <w:rPr/>
  </w:style>
  <w:style w:type="character" w:styleId="Mi">
    <w:name w:val="mi"/>
    <w:basedOn w:val="DefaultParagraphFont"/>
    <w:qFormat/>
    <w:rPr/>
  </w:style>
  <w:style w:type="character" w:styleId="Docsumauthors">
    <w:name w:val="docsum-authors"/>
    <w:basedOn w:val="DefaultParagraphFont"/>
    <w:qFormat/>
    <w:rPr/>
  </w:style>
  <w:style w:type="character" w:styleId="Docsumjournalcitation">
    <w:name w:val="docsum-journal-citation"/>
    <w:basedOn w:val="DefaultParagraphFont"/>
    <w:qFormat/>
    <w:rPr/>
  </w:style>
  <w:style w:type="character" w:styleId="BDAbstractTitleChar">
    <w:name w:val="BD_Abstract_Title Char"/>
    <w:qFormat/>
    <w:rPr>
      <w:rFonts w:ascii="Arno Pro" w:hAnsi="Arno Pro" w:eastAsia="Arno Pro" w:cs="Arno Pro"/>
      <w:b/>
      <w:kern w:val="2"/>
      <w:sz w:val="19"/>
      <w:lang w:val="en-US" w:eastAsia="en-US" w:bidi="ar-SA"/>
    </w:rPr>
  </w:style>
  <w:style w:type="character" w:styleId="IndexLink">
    <w:name w:val="Index Link"/>
    <w:qFormat/>
    <w:rPr/>
  </w:style>
  <w:style w:type="paragraph" w:styleId="Heading">
    <w:name w:val="Heading"/>
    <w:basedOn w:val="Standard"/>
    <w:next w:val="Textbody1"/>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Standard"/>
    <w:qFormat/>
    <w:pPr>
      <w:suppressLineNumbers/>
    </w:pPr>
    <w:rPr>
      <w:rFonts w:cs="Lohit Devanagari"/>
    </w:rPr>
  </w:style>
  <w:style w:type="paragraph" w:styleId="Standard">
    <w:name w:val="Standard"/>
    <w:link w:val="StandardChar"/>
    <w:qFormat/>
    <w:pPr>
      <w:widowControl/>
      <w:suppressAutoHyphens w:val="true"/>
      <w:overflowPunct w:val="true"/>
      <w:bidi w:val="0"/>
      <w:spacing w:lineRule="auto" w:line="259" w:before="0" w:after="160"/>
      <w:jc w:val="left"/>
      <w:textAlignment w:val="baseline"/>
    </w:pPr>
    <w:rPr>
      <w:rFonts w:ascii="Arial" w:hAnsi="Arial" w:eastAsia="Calibri" w:cs="DejaVu Sans"/>
      <w:color w:val="auto"/>
      <w:kern w:val="0"/>
      <w:sz w:val="20"/>
      <w:szCs w:val="22"/>
      <w:lang w:val="en-US" w:eastAsia="en-US" w:bidi="ar-SA"/>
    </w:rPr>
  </w:style>
  <w:style w:type="paragraph" w:styleId="Textbody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rFonts w:cs="Lohit Devanagari"/>
      <w:i/>
      <w:iCs/>
      <w:sz w:val="24"/>
      <w:szCs w:val="24"/>
    </w:rPr>
  </w:style>
  <w:style w:type="paragraph" w:styleId="HeaderandFooter">
    <w:name w:val="Header and Footer"/>
    <w:basedOn w:val="Standard"/>
    <w:qFormat/>
    <w:pPr/>
    <w:rPr/>
  </w:style>
  <w:style w:type="paragraph" w:styleId="Header">
    <w:name w:val="Header"/>
    <w:basedOn w:val="Standard"/>
    <w:pPr>
      <w:tabs>
        <w:tab w:val="clear" w:pos="720"/>
        <w:tab w:val="center" w:pos="4680" w:leader="none"/>
        <w:tab w:val="right" w:pos="9360" w:leader="none"/>
      </w:tabs>
      <w:spacing w:lineRule="auto" w:line="240" w:before="0" w:after="0"/>
    </w:pPr>
    <w:rPr/>
  </w:style>
  <w:style w:type="paragraph" w:styleId="Footer">
    <w:name w:val="Footer"/>
    <w:basedOn w:val="Standard"/>
    <w:pPr>
      <w:tabs>
        <w:tab w:val="clear" w:pos="720"/>
        <w:tab w:val="center" w:pos="4680" w:leader="none"/>
        <w:tab w:val="right" w:pos="9360" w:leader="none"/>
      </w:tabs>
      <w:spacing w:lineRule="auto" w:line="240" w:before="0" w:after="0"/>
    </w:pPr>
    <w:rPr/>
  </w:style>
  <w:style w:type="paragraph" w:styleId="ListParagraph">
    <w:name w:val="List Paragraph"/>
    <w:basedOn w:val="Standard"/>
    <w:qFormat/>
    <w:pPr>
      <w:ind w:left="720" w:right="0" w:hanging="0"/>
    </w:pPr>
    <w:rPr/>
  </w:style>
  <w:style w:type="paragraph" w:styleId="Bibliography">
    <w:name w:val="Bibliography"/>
    <w:basedOn w:val="Standard"/>
    <w:next w:val="Standard"/>
    <w:qFormat/>
    <w:pPr>
      <w:tabs>
        <w:tab w:val="clear" w:pos="720"/>
        <w:tab w:val="left" w:pos="1008" w:leader="none"/>
      </w:tabs>
      <w:spacing w:lineRule="auto" w:line="240" w:before="0" w:after="0"/>
      <w:ind w:left="504" w:right="0" w:hanging="504"/>
    </w:pPr>
    <w:rPr/>
  </w:style>
  <w:style w:type="paragraph" w:styleId="Msonormal">
    <w:name w:val="msonormal"/>
    <w:basedOn w:val="Standard"/>
    <w:qFormat/>
    <w:pPr>
      <w:suppressAutoHyphens w:val="false"/>
      <w:spacing w:lineRule="auto" w:line="240" w:before="280" w:after="280"/>
    </w:pPr>
    <w:rPr>
      <w:rFonts w:ascii="Times New Roman" w:hAnsi="Times New Roman" w:eastAsia="Times New Roman" w:cs="Times New Roman"/>
      <w:sz w:val="24"/>
      <w:szCs w:val="24"/>
    </w:rPr>
  </w:style>
  <w:style w:type="paragraph" w:styleId="Annotationtext">
    <w:name w:val="annotation text"/>
    <w:basedOn w:val="Standard"/>
    <w:qFormat/>
    <w:pPr>
      <w:spacing w:lineRule="auto" w:line="240"/>
    </w:pPr>
    <w:rPr>
      <w:szCs w:val="20"/>
    </w:rPr>
  </w:style>
  <w:style w:type="paragraph" w:styleId="Annotationsubject">
    <w:name w:val="annotation subject"/>
    <w:basedOn w:val="Annotationtext"/>
    <w:next w:val="Annotationtext"/>
    <w:qFormat/>
    <w:pPr/>
    <w:rPr>
      <w:b/>
      <w:bCs/>
    </w:rPr>
  </w:style>
  <w:style w:type="paragraph" w:styleId="BalloonText">
    <w:name w:val="Balloon Text"/>
    <w:basedOn w:val="Standard"/>
    <w:qFormat/>
    <w:pPr>
      <w:spacing w:lineRule="auto" w:line="240" w:before="0" w:after="0"/>
    </w:pPr>
    <w:rPr>
      <w:rFonts w:ascii="Times New Roman" w:hAnsi="Times New Roman" w:eastAsia="Times New Roman" w:cs="Times New Roman"/>
      <w:sz w:val="18"/>
      <w:szCs w:val="18"/>
    </w:rPr>
  </w:style>
  <w:style w:type="paragraph" w:styleId="BATitle">
    <w:name w:val="BA_Title"/>
    <w:basedOn w:val="Standard"/>
    <w:next w:val="BBAuthorName"/>
    <w:qFormat/>
    <w:pPr>
      <w:spacing w:before="1400" w:after="180"/>
    </w:pPr>
    <w:rPr>
      <w:rFonts w:ascii="Myriad Pro Light" w:hAnsi="Myriad Pro Light" w:eastAsia="Myriad Pro Light" w:cs="Myriad Pro Light"/>
      <w:b/>
      <w:kern w:val="2"/>
      <w:sz w:val="34"/>
    </w:rPr>
  </w:style>
  <w:style w:type="paragraph" w:styleId="BBAuthorName">
    <w:name w:val="BB_Author_Name"/>
    <w:basedOn w:val="Standard"/>
    <w:next w:val="BCAuthorAddress"/>
    <w:qFormat/>
    <w:pPr>
      <w:spacing w:before="0" w:after="180"/>
    </w:pPr>
    <w:rPr>
      <w:rFonts w:ascii="Arno Pro" w:hAnsi="Arno Pro" w:eastAsia="Arno Pro" w:cs="Arno Pro"/>
      <w:kern w:val="2"/>
    </w:rPr>
  </w:style>
  <w:style w:type="paragraph" w:styleId="BCAuthorAddress">
    <w:name w:val="BC_Author_Address"/>
    <w:basedOn w:val="Standard"/>
    <w:next w:val="BIEmailAddress"/>
    <w:qFormat/>
    <w:pPr>
      <w:spacing w:before="0" w:after="60"/>
    </w:pPr>
    <w:rPr>
      <w:rFonts w:ascii="Arno Pro" w:hAnsi="Arno Pro" w:eastAsia="Arno Pro" w:cs="Arno Pro"/>
      <w:kern w:val="2"/>
    </w:rPr>
  </w:style>
  <w:style w:type="paragraph" w:styleId="BIEmailAddress">
    <w:name w:val="BI_Email_Address"/>
    <w:basedOn w:val="Standard"/>
    <w:next w:val="AIReceivedDate"/>
    <w:qFormat/>
    <w:pPr>
      <w:spacing w:before="0" w:after="100"/>
    </w:pPr>
    <w:rPr>
      <w:rFonts w:ascii="Arno Pro" w:hAnsi="Arno Pro" w:eastAsia="Arno Pro" w:cs="Arno Pro"/>
      <w:sz w:val="18"/>
    </w:rPr>
  </w:style>
  <w:style w:type="paragraph" w:styleId="AIReceivedDate">
    <w:name w:val="AI_Received_Date"/>
    <w:basedOn w:val="Standard"/>
    <w:next w:val="Standard"/>
    <w:qFormat/>
    <w:pPr>
      <w:spacing w:before="0" w:after="100"/>
    </w:pPr>
    <w:rPr>
      <w:rFonts w:ascii="Arno Pro" w:hAnsi="Arno Pro" w:eastAsia="Arno Pro" w:cs="Arno Pro"/>
      <w:sz w:val="18"/>
    </w:rPr>
  </w:style>
  <w:style w:type="paragraph" w:styleId="TableContents">
    <w:name w:val="Table Contents"/>
    <w:basedOn w:val="Standard"/>
    <w:qFormat/>
    <w:pPr>
      <w:suppressLineNumbers/>
    </w:pPr>
    <w:rPr/>
  </w:style>
  <w:style w:type="paragraph" w:styleId="TableHeading">
    <w:name w:val="Table Heading"/>
    <w:basedOn w:val="TableContents"/>
    <w:qFormat/>
    <w:pPr>
      <w:jc w:val="center"/>
    </w:pPr>
    <w:rPr>
      <w:b/>
      <w:bCs/>
    </w:rPr>
  </w:style>
  <w:style w:type="paragraph" w:styleId="NormalWeb">
    <w:name w:val="Normal (Web)"/>
    <w:basedOn w:val="Normal"/>
    <w:qFormat/>
    <w:pPr/>
    <w:rPr>
      <w:rFonts w:ascii="Times New Roman" w:hAnsi="Times New Roman" w:cs="Times New Roman"/>
      <w:sz w:val="24"/>
      <w:szCs w:val="24"/>
    </w:rPr>
  </w:style>
  <w:style w:type="paragraph" w:styleId="Chapter">
    <w:name w:val="Chapter"/>
    <w:basedOn w:val="Standard"/>
    <w:link w:val="ChapterChar"/>
    <w:qFormat/>
    <w:pPr>
      <w:pageBreakBefore/>
    </w:pPr>
    <w:rPr>
      <w:rFonts w:ascii="Times New Roman" w:hAnsi="Times New Roman" w:cs="Times New Roman"/>
      <w:b/>
      <w:bCs/>
      <w:sz w:val="28"/>
      <w:szCs w:val="28"/>
    </w:rPr>
  </w:style>
  <w:style w:type="paragraph" w:styleId="Contents1">
    <w:name w:val="TOC 1"/>
    <w:basedOn w:val="Normal"/>
    <w:next w:val="Normal"/>
    <w:autoRedefine/>
    <w:pPr>
      <w:tabs>
        <w:tab w:val="clear" w:pos="720"/>
        <w:tab w:val="right" w:pos="9350" w:leader="dot"/>
      </w:tabs>
      <w:spacing w:before="0" w:after="100"/>
    </w:pPr>
    <w:rPr/>
  </w:style>
  <w:style w:type="paragraph" w:styleId="IndexHeading">
    <w:name w:val="Index Heading"/>
    <w:basedOn w:val="Heading"/>
    <w:pPr/>
    <w:rPr/>
  </w:style>
  <w:style w:type="paragraph" w:styleId="ContentsHeading">
    <w:name w:val="TOC Heading"/>
    <w:basedOn w:val="Heading1"/>
    <w:next w:val="Normal"/>
    <w:pPr>
      <w:widowControl/>
      <w:suppressAutoHyphens w:val="false"/>
      <w:spacing w:lineRule="auto" w:line="259"/>
      <w:textAlignment w:val="auto"/>
      <w:outlineLvl w:val="9"/>
    </w:pPr>
    <w:rPr/>
  </w:style>
  <w:style w:type="paragraph" w:styleId="Contents2">
    <w:name w:val="TOC 2"/>
    <w:basedOn w:val="Normal"/>
    <w:next w:val="Normal"/>
    <w:autoRedefine/>
    <w:pPr>
      <w:spacing w:before="0" w:after="100"/>
      <w:ind w:left="220" w:right="0" w:hanging="0"/>
    </w:pPr>
    <w:rPr/>
  </w:style>
  <w:style w:type="paragraph" w:styleId="VDTableTitle">
    <w:name w:val="VD_Table_Title"/>
    <w:basedOn w:val="Normal"/>
    <w:next w:val="Normal"/>
    <w:qFormat/>
    <w:pPr>
      <w:widowControl/>
      <w:suppressAutoHyphens w:val="false"/>
      <w:textAlignment w:val="auto"/>
    </w:pPr>
    <w:rPr>
      <w:rFonts w:ascii="Arno Pro" w:hAnsi="Arno Pro" w:eastAsia="Arno Pro" w:cs="Arno Pro"/>
      <w:b/>
      <w:kern w:val="2"/>
      <w:sz w:val="16"/>
      <w:szCs w:val="16"/>
      <w:lang w:eastAsia="zh-CN" w:bidi="hi-IN"/>
    </w:rPr>
  </w:style>
  <w:style w:type="paragraph" w:styleId="Style11">
    <w:name w:val="Style1"/>
    <w:basedOn w:val="Standard"/>
    <w:link w:val="Style1Char"/>
    <w:qFormat/>
    <w:pPr/>
    <w:rPr/>
  </w:style>
  <w:style w:type="paragraph" w:styleId="Contents3">
    <w:name w:val="TOC 3"/>
    <w:basedOn w:val="Normal"/>
    <w:next w:val="Normal"/>
    <w:autoRedefine/>
    <w:pPr>
      <w:tabs>
        <w:tab w:val="clear" w:pos="720"/>
        <w:tab w:val="right" w:pos="9350" w:leader="dot"/>
      </w:tabs>
      <w:spacing w:before="0" w:after="100"/>
      <w:ind w:left="440" w:right="0" w:hanging="0"/>
    </w:pPr>
    <w:rPr/>
  </w:style>
  <w:style w:type="paragraph" w:styleId="Revision">
    <w:name w:val="Revision"/>
    <w:qFormat/>
    <w:pPr>
      <w:widowControl/>
      <w:suppressAutoHyphens w:val="false"/>
      <w:overflowPunct w:val="true"/>
      <w:bidi w:val="0"/>
      <w:spacing w:before="0" w:after="0"/>
      <w:jc w:val="left"/>
      <w:textAlignment w:val="auto"/>
    </w:pPr>
    <w:rPr>
      <w:rFonts w:ascii="Arial" w:hAnsi="Arial" w:eastAsia="Calibri" w:cs="DejaVu Sans"/>
      <w:color w:val="auto"/>
      <w:kern w:val="0"/>
      <w:sz w:val="20"/>
      <w:szCs w:val="22"/>
      <w:lang w:val="en-US" w:eastAsia="en-US" w:bidi="ar-SA"/>
    </w:rPr>
  </w:style>
  <w:style w:type="numbering" w:styleId="NoList">
    <w:name w:val="No List"/>
    <w:qFormat/>
  </w:style>
  <w:style w:type="numbering" w:styleId="NoList1">
    <w:name w:val="No List_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hyperlink" Target="https://doi.org/10.1093/nar/gkz019" TargetMode="External"/><Relationship Id="rId12" Type="http://schemas.openxmlformats.org/officeDocument/2006/relationships/footer" Target="footer7.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956</TotalTime>
  <Application>LibreOffice/7.3.5.2$Linux_X86_64 LibreOffice_project/30$Build-2</Application>
  <AppVersion>15.0000</AppVersion>
  <Pages>12</Pages>
  <Words>3373</Words>
  <Characters>18549</Characters>
  <CharactersWithSpaces>21099</CharactersWithSpaces>
  <Paragraphs>1020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2022-08-15T22:19:00Z</dcterms:created>
  <dc:creator>Sieg, Jacob Philip</dc:creator>
  <dc:description/>
  <dc:language>en-US</dc:language>
  <cp:lastModifiedBy/>
  <cp:lastPrinted>2022-08-18T13:13:00Z</cp:lastPrinted>
  <dcterms:modified xsi:type="dcterms:W3CDTF">2022-09-20T09:13:34Z</dcterms:modified>
  <cp:revision>94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ZOTERO_PREF_1">
    <vt:lpwstr>&lt;data data-version="3" zotero-version="6.0.12"&gt;&lt;session id="lx5fe08I"/&gt;&lt;style id="http://www.zotero.org/styles/american-chemical-society" hasBibliography="1" bibliographyStyleHasBeenSet="1"/&gt;&lt;prefs&gt;&lt;pref name="fieldType" value="Field"/&gt;&lt;pref name="automat</vt:lpwstr>
  </property>
  <property fmtid="{D5CDD505-2E9C-101B-9397-08002B2CF9AE}" pid="7" name="ZOTERO_PREF_2">
    <vt:lpwstr>icJournalAbbreviations" value="true"/&gt;&lt;pref name="dontAskDelayCitationUpdates" value="true"/&gt;&lt;/prefs&gt;&lt;/data&gt;</vt:lpwstr>
  </property>
</Properties>
</file>