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wmf" ContentType="image/x-wmf"/>
  <Override PartName="/word/media/image2.wmf" ContentType="image/x-wmf"/>
  <Override PartName="/word/media/image3.wmf" ContentType="image/x-wmf"/>
  <Override PartName="/word/media/image4.wmf" ContentType="image/x-wmf"/>
  <Override PartName="/word/media/image5.emf" ContentType="image/x-emf"/>
  <Override PartName="/word/media/image6.wmf" ContentType="image/x-wmf"/>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comments.xml" ContentType="application/vnd.openxmlformats-officedocument.wordprocessingml.comment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jc w:val="both"/>
        <w:rPr>
          <w:rFonts w:ascii="Times New Roman" w:hAnsi="Times New Roman" w:cs="Times New Roman"/>
          <w:b/>
          <w:b/>
          <w:bCs/>
          <w:sz w:val="28"/>
          <w:szCs w:val="28"/>
        </w:rPr>
      </w:pPr>
      <w:r>
        <w:rPr>
          <w:rFonts w:cs="Times New Roman" w:ascii="Times New Roman" w:hAnsi="Times New Roman"/>
          <w:b/>
          <w:bCs/>
          <w:sz w:val="28"/>
          <w:szCs w:val="28"/>
        </w:rPr>
        <w:t>Supplementary Information</w:t>
      </w:r>
    </w:p>
    <w:p>
      <w:pPr>
        <w:pStyle w:val="BATitle"/>
        <w:jc w:val="center"/>
        <w:rPr>
          <w:rFonts w:ascii="Times New Roman" w:hAnsi="Times New Roman" w:eastAsia="Times New Roman" w:cs="Times New Roman"/>
          <w:b w:val="false"/>
          <w:b w:val="false"/>
          <w:kern w:val="2"/>
          <w:sz w:val="36"/>
          <w:szCs w:val="36"/>
        </w:rPr>
      </w:pPr>
      <w:r>
        <w:rPr>
          <w:rFonts w:eastAsia="Times New Roman" w:cs="Times New Roman" w:ascii="Times New Roman" w:hAnsi="Times New Roman"/>
          <w:b w:val="false"/>
          <w:kern w:val="2"/>
          <w:sz w:val="36"/>
          <w:szCs w:val="36"/>
        </w:rPr>
        <w:t xml:space="preserve">MeltR: A Software package for Facile Determination of </w:t>
        <w:br/>
        <w:t>RNA Folding Energies from Absorbance Data</w:t>
      </w:r>
    </w:p>
    <w:p>
      <w:pPr>
        <w:pStyle w:val="Standard"/>
        <w:jc w:val="center"/>
        <w:rPr/>
      </w:pPr>
      <w:r>
        <w:rPr>
          <w:rFonts w:cs="Times New Roman" w:ascii="Times New Roman" w:hAnsi="Times New Roman"/>
          <w:position w:val="0"/>
          <w:sz w:val="28"/>
          <w:sz w:val="28"/>
          <w:szCs w:val="22"/>
          <w:vertAlign w:val="baseline"/>
        </w:rPr>
        <w:t>Jacob P. Sieg</w:t>
      </w:r>
      <w:r>
        <w:rPr>
          <w:rFonts w:cs="Times New Roman" w:ascii="Times New Roman" w:hAnsi="Times New Roman"/>
          <w:sz w:val="28"/>
          <w:szCs w:val="22"/>
          <w:vertAlign w:val="superscript"/>
        </w:rPr>
        <w:t>1,2</w:t>
      </w:r>
      <w:r>
        <w:rPr>
          <w:rFonts w:cs="Times New Roman" w:ascii="Times New Roman" w:hAnsi="Times New Roman"/>
          <w:position w:val="0"/>
          <w:sz w:val="28"/>
          <w:sz w:val="28"/>
          <w:szCs w:val="22"/>
          <w:vertAlign w:val="baseline"/>
        </w:rPr>
        <w:t>, Sebastian Arteaga, Brent Znosko, Philip C. Bevilacqua</w:t>
      </w:r>
      <w:r>
        <w:rPr>
          <w:rFonts w:cs="Times New Roman" w:ascii="Times New Roman" w:hAnsi="Times New Roman"/>
          <w:sz w:val="28"/>
          <w:szCs w:val="22"/>
          <w:vertAlign w:val="superscript"/>
        </w:rPr>
        <w:t>1,2,3</w:t>
      </w:r>
    </w:p>
    <w:p>
      <w:pPr>
        <w:pStyle w:val="Standard"/>
        <w:jc w:val="both"/>
        <w:rPr>
          <w:rFonts w:ascii="Times New Roman" w:hAnsi="Times New Roman" w:cs="Times New Roman"/>
        </w:rPr>
      </w:pPr>
      <w:r>
        <w:rPr>
          <w:rFonts w:cs="Times New Roman" w:ascii="Times New Roman" w:hAnsi="Times New Roman"/>
        </w:rPr>
      </w:r>
    </w:p>
    <w:p>
      <w:pPr>
        <w:pStyle w:val="Normal"/>
        <w:bidi w:val="0"/>
        <w:spacing w:lineRule="auto" w:line="480"/>
        <w:jc w:val="left"/>
        <w:rPr/>
      </w:pPr>
      <w:r>
        <w:rPr>
          <w:rFonts w:cs="Times New Roman" w:ascii="Times New Roman" w:hAnsi="Times New Roman"/>
          <w:sz w:val="22"/>
          <w:szCs w:val="22"/>
          <w:vertAlign w:val="superscript"/>
        </w:rPr>
        <w:t>1</w:t>
      </w:r>
      <w:r>
        <w:rPr>
          <w:rFonts w:cs="Times New Roman" w:ascii="Times New Roman" w:hAnsi="Times New Roman"/>
          <w:sz w:val="22"/>
          <w:szCs w:val="22"/>
        </w:rPr>
        <w:t>Department of Chemistry,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2</w:t>
      </w:r>
      <w:r>
        <w:rPr>
          <w:rFonts w:cs="Times New Roman" w:ascii="Times New Roman" w:hAnsi="Times New Roman"/>
          <w:sz w:val="22"/>
          <w:szCs w:val="22"/>
        </w:rPr>
        <w:t>Center for RNA Molecular Biology, Pennsylvania State University, University Park, PA 16802.</w:t>
      </w:r>
    </w:p>
    <w:p>
      <w:pPr>
        <w:pStyle w:val="Normal"/>
        <w:bidi w:val="0"/>
        <w:spacing w:lineRule="auto" w:line="480"/>
        <w:jc w:val="left"/>
        <w:rPr>
          <w:rFonts w:ascii="Times New Roman" w:hAnsi="Times New Roman" w:cs="Times New Roman"/>
        </w:rPr>
      </w:pPr>
      <w:r>
        <w:rPr>
          <w:rFonts w:cs="Times New Roman" w:ascii="Times New Roman" w:hAnsi="Times New Roman"/>
          <w:sz w:val="22"/>
          <w:szCs w:val="22"/>
          <w:vertAlign w:val="superscript"/>
        </w:rPr>
        <w:t>3</w:t>
      </w:r>
      <w:r>
        <w:rPr>
          <w:rFonts w:cs="Times New Roman" w:ascii="Times New Roman" w:hAnsi="Times New Roman"/>
          <w:sz w:val="22"/>
          <w:szCs w:val="22"/>
        </w:rPr>
        <w:t>Department of Biochemistry and Molecular Biology, Pennsylvania State University, University Park, PA 16802.</w:t>
      </w:r>
    </w:p>
    <w:p>
      <w:pPr>
        <w:pStyle w:val="Standard"/>
        <w:jc w:val="both"/>
        <w:rPr>
          <w:rFonts w:ascii="Times New Roman" w:hAnsi="Times New Roman" w:cs="Times New Roman"/>
          <w:b/>
          <w:b/>
        </w:rPr>
      </w:pPr>
      <w:r>
        <w:rPr>
          <w:rFonts w:cs="Times New Roman" w:ascii="Times New Roman" w:hAnsi="Times New Roman"/>
          <w:b/>
        </w:rPr>
        <w:t>Keywords</w:t>
      </w:r>
    </w:p>
    <w:p>
      <w:pPr>
        <w:pStyle w:val="Standard"/>
        <w:jc w:val="both"/>
        <w:rPr>
          <w:rFonts w:ascii="Times New Roman" w:hAnsi="Times New Roman" w:cs="Times New Roman"/>
        </w:rPr>
      </w:pPr>
      <w:r>
        <w:rPr>
          <w:rFonts w:cs="Times New Roman" w:ascii="Times New Roman" w:hAnsi="Times New Roman"/>
        </w:rPr>
        <w:t>Magnesium ion, Metabolites, Chelated magnesium, RNA folding, RNA function, Near-cellular condition</w:t>
      </w:r>
    </w:p>
    <w:p>
      <w:pPr>
        <w:pStyle w:val="Standard"/>
        <w:jc w:val="both"/>
        <w:rPr>
          <w:rFonts w:ascii="Times New Roman" w:hAnsi="Times New Roman" w:cs="Times New Roman"/>
        </w:rPr>
      </w:pPr>
      <w:r>
        <w:rPr>
          <w:rFonts w:cs="Times New Roman" w:ascii="Times New Roman" w:hAnsi="Times New Roman"/>
        </w:rPr>
      </w:r>
    </w:p>
    <w:p>
      <w:pPr>
        <w:pStyle w:val="Standard"/>
        <w:jc w:val="both"/>
        <w:rPr>
          <w:rFonts w:ascii="Times New Roman" w:hAnsi="Times New Roman" w:cs="Times New Roman"/>
          <w:b/>
          <w:b/>
        </w:rPr>
      </w:pPr>
      <w:r>
        <w:rPr>
          <w:rFonts w:cs="Times New Roman" w:ascii="Times New Roman" w:hAnsi="Times New Roman"/>
          <w:b/>
        </w:rPr>
        <w:t>ORCID:</w:t>
      </w:r>
    </w:p>
    <w:p>
      <w:pPr>
        <w:pStyle w:val="Standard"/>
        <w:jc w:val="left"/>
        <w:rPr>
          <w:rFonts w:ascii="Times New Roman" w:hAnsi="Times New Roman" w:cs="Times New Roman"/>
        </w:rPr>
      </w:pPr>
      <w:r>
        <w:rPr>
          <w:rFonts w:cs="Times New Roman" w:ascii="Times New Roman" w:hAnsi="Times New Roman"/>
        </w:rPr>
        <w:t>Jacob P. Sieg: 0000-0001-5414-1667</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Sebastian Arteaga:</w:t>
      </w:r>
    </w:p>
    <w:p>
      <w:pPr>
        <w:pStyle w:val="Standard"/>
        <w:jc w:val="left"/>
        <w:rPr>
          <w:rFonts w:ascii="Times New Roman" w:hAnsi="Times New Roman" w:cs="Times New Roman"/>
          <w:position w:val="0"/>
          <w:sz w:val="20"/>
          <w:sz w:val="20"/>
          <w:szCs w:val="20"/>
          <w:vertAlign w:val="baseline"/>
        </w:rPr>
      </w:pPr>
      <w:r>
        <w:rPr>
          <w:rFonts w:cs="Times New Roman" w:ascii="Times New Roman" w:hAnsi="Times New Roman"/>
          <w:position w:val="0"/>
          <w:sz w:val="20"/>
          <w:sz w:val="20"/>
          <w:szCs w:val="20"/>
          <w:vertAlign w:val="baseline"/>
        </w:rPr>
        <w:t>Brent Znosko:</w:t>
      </w:r>
    </w:p>
    <w:p>
      <w:pPr>
        <w:pStyle w:val="Standard"/>
        <w:jc w:val="left"/>
        <w:rPr>
          <w:rFonts w:ascii="Times New Roman" w:hAnsi="Times New Roman" w:cs="Times New Roman"/>
        </w:rPr>
      </w:pPr>
      <w:r>
        <w:rPr>
          <w:rFonts w:cs="Times New Roman" w:ascii="Times New Roman" w:hAnsi="Times New Roman"/>
        </w:rPr>
        <w:t>Philip C. Bevilacqua: 0000-0001-8074-3434</w:t>
      </w:r>
    </w:p>
    <w:p>
      <w:pPr>
        <w:pStyle w:val="Standard"/>
        <w:jc w:val="both"/>
        <w:rPr>
          <w:rFonts w:ascii="Times New Roman" w:hAnsi="Times New Roman" w:cs="Times New Roman"/>
        </w:rPr>
      </w:pPr>
      <w:r>
        <w:rPr>
          <w:rFonts w:cs="Times New Roman" w:ascii="Times New Roman" w:hAnsi="Times New Roman"/>
        </w:rPr>
        <w:t>*Corresponding author</w:t>
      </w:r>
    </w:p>
    <w:p>
      <w:pPr>
        <w:pStyle w:val="Normal"/>
        <w:jc w:val="both"/>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ContentsHeading"/>
            <w:rPr/>
          </w:pPr>
          <w:r>
            <w:br w:type="page"/>
          </w:r>
          <w:r>
            <w:rPr/>
            <w:t>Table of Contents</w:t>
          </w:r>
        </w:p>
        <w:p>
          <w:pPr>
            <w:pStyle w:val="Contents1"/>
            <w:tabs>
              <w:tab w:val="clear" w:pos="9350"/>
              <w:tab w:val="right" w:pos="9360" w:leader="dot"/>
            </w:tabs>
            <w:rPr/>
          </w:pPr>
          <w:r>
            <w:fldChar w:fldCharType="begin"/>
          </w:r>
          <w:r>
            <w:rPr>
              <w:rStyle w:val="IndexLink"/>
            </w:rPr>
            <w:instrText xml:space="preserve"> TOC \f \o "1-4" \h</w:instrText>
          </w:r>
          <w:r>
            <w:rPr>
              <w:rStyle w:val="IndexLink"/>
            </w:rPr>
            <w:fldChar w:fldCharType="separate"/>
          </w:r>
          <w:hyperlink w:anchor="__RefHeading___Toc99306_3449495920">
            <w:r>
              <w:rPr>
                <w:rStyle w:val="IndexLink"/>
              </w:rPr>
              <w:t>Supplementary information figures</w:t>
              <w:tab/>
              <w:t>3</w:t>
            </w:r>
          </w:hyperlink>
        </w:p>
        <w:p>
          <w:pPr>
            <w:pStyle w:val="Contents1"/>
            <w:tabs>
              <w:tab w:val="clear" w:pos="9350"/>
              <w:tab w:val="right" w:pos="9360" w:leader="dot"/>
            </w:tabs>
            <w:rPr/>
          </w:pPr>
          <w:hyperlink w:anchor="__RefHeading___Toc99308_3449495920">
            <w:r>
              <w:rPr>
                <w:rStyle w:val="IndexLink"/>
              </w:rPr>
              <w:t>Supplementary information tables</w:t>
              <w:tab/>
              <w:t>6</w:t>
            </w:r>
          </w:hyperlink>
        </w:p>
        <w:p>
          <w:pPr>
            <w:pStyle w:val="Contents1"/>
            <w:tabs>
              <w:tab w:val="clear" w:pos="9350"/>
              <w:tab w:val="right" w:pos="9360" w:leader="dot"/>
            </w:tabs>
            <w:rPr/>
          </w:pPr>
          <w:hyperlink w:anchor="__RefHeading___Toc99310_3449495920">
            <w:r>
              <w:rPr>
                <w:rStyle w:val="IndexLink"/>
              </w:rPr>
              <w:t>Supplementary information references</w:t>
              <w:tab/>
              <w:t>12</w:t>
            </w:r>
          </w:hyperlink>
          <w:r>
            <w:rPr>
              <w:rStyle w:val="IndexLink"/>
            </w:rPr>
            <w:fldChar w:fldCharType="end"/>
          </w:r>
        </w:p>
      </w:sdtContent>
    </w:sdt>
    <w:p>
      <w:pPr>
        <w:pStyle w:val="Normal"/>
        <w:spacing w:lineRule="auto" w:line="480" w:before="0" w:after="288"/>
        <w:jc w:val="both"/>
        <w:rPr/>
      </w:pPr>
      <w:r>
        <w:br w:type="page"/>
      </w:r>
      <w:r>
        <w:rPr>
          <w:sz w:val="22"/>
          <w:szCs w:val="22"/>
        </w:rPr>
        <w:t xml:space="preserve">To first understand how the length of baselines affects the accuracy of folding energy determination, we first fit modeled data (Figure 2A top panel, black circles). </w:t>
      </w:r>
      <w:commentRangeStart w:id="0"/>
      <w:commentRangeStart w:id="1"/>
      <w:r>
        <w:rPr>
          <w:sz w:val="22"/>
          <w:szCs w:val="22"/>
        </w:rPr>
        <w:t>Data were modeled assuming a ΔH° of -64.76 kcal/mol, a T</w:t>
      </w:r>
      <w:r>
        <w:rPr>
          <w:sz w:val="22"/>
          <w:vertAlign w:val="subscript"/>
        </w:rPr>
        <w:t>m</w:t>
      </w:r>
      <w:r>
        <w:rPr>
          <w:sz w:val="22"/>
          <w:szCs w:val="22"/>
        </w:rPr>
        <w:t xml:space="preserve"> of 46.4 °C, and a C</w:t>
      </w:r>
      <w:r>
        <w:rPr>
          <w:sz w:val="22"/>
          <w:vertAlign w:val="subscript"/>
        </w:rPr>
        <w:t>t</w:t>
      </w:r>
      <w:r>
        <w:rPr>
          <w:sz w:val="22"/>
          <w:szCs w:val="22"/>
        </w:rPr>
        <w:t xml:space="preserve"> of 8 μM, a random absorbance error of 0.001, </w:t>
      </w:r>
      <w:r>
        <w:rPr>
          <w:sz w:val="22"/>
          <w:szCs w:val="22"/>
        </w:rPr>
      </w:r>
      <w:commentRangeEnd w:id="1"/>
      <w:r>
        <w:commentReference w:id="1"/>
      </w:r>
      <w:r>
        <w:rPr>
          <w:sz w:val="22"/>
          <w:szCs w:val="22"/>
        </w:rPr>
      </w:r>
      <w:commentRangeEnd w:id="0"/>
      <w:r>
        <w:commentReference w:id="0"/>
      </w:r>
      <w:r>
        <w:rPr>
          <w:sz w:val="22"/>
          <w:szCs w:val="22"/>
        </w:rPr>
        <w:t xml:space="preserve">and </w:t>
      </w:r>
      <w:commentRangeStart w:id="2"/>
      <w:commentRangeStart w:id="3"/>
      <w:r>
        <w:rPr>
          <w:sz w:val="22"/>
          <w:szCs w:val="22"/>
        </w:rPr>
        <w:t xml:space="preserve">realistic </w:t>
      </w:r>
      <w:r>
        <w:rPr>
          <w:sz w:val="22"/>
          <w:szCs w:val="22"/>
        </w:rPr>
      </w:r>
      <w:commentRangeEnd w:id="3"/>
      <w:r>
        <w:commentReference w:id="3"/>
      </w:r>
      <w:r>
        <w:rPr>
          <w:sz w:val="22"/>
          <w:szCs w:val="22"/>
        </w:rPr>
      </w:r>
      <w:commentRangeEnd w:id="2"/>
      <w:r>
        <w:commentReference w:id="2"/>
      </w:r>
      <w:r>
        <w:rPr>
          <w:sz w:val="22"/>
          <w:szCs w:val="22"/>
        </w:rPr>
        <w:t xml:space="preserve">baseline slopes and intercepts (see methods). </w:t>
      </w:r>
      <w:commentRangeStart w:id="4"/>
      <w:r>
        <w:rPr>
          <w:sz w:val="22"/>
          <w:szCs w:val="22"/>
        </w:rPr>
        <w:t xml:space="preserve">The range where the helix was between 90% folded and 10% folded </w:t>
      </w:r>
      <w:r>
        <w:rPr>
          <w:sz w:val="22"/>
          <w:szCs w:val="22"/>
        </w:rPr>
      </w:r>
      <w:commentRangeEnd w:id="4"/>
      <w:r>
        <w:commentReference w:id="4"/>
      </w:r>
      <w:r>
        <w:rPr>
          <w:sz w:val="22"/>
          <w:szCs w:val="22"/>
        </w:rPr>
        <w:t xml:space="preserve">was identified to be the </w:t>
      </w:r>
      <w:commentRangeStart w:id="5"/>
      <w:commentRangeStart w:id="6"/>
      <w:r>
        <w:rPr>
          <w:sz w:val="22"/>
          <w:szCs w:val="22"/>
        </w:rPr>
        <w:t>upper and lower bounds of the low temperature and high temperature baselines respectively</w:t>
      </w:r>
      <w:r>
        <w:rPr>
          <w:sz w:val="22"/>
          <w:szCs w:val="22"/>
        </w:rPr>
      </w:r>
      <w:commentRangeEnd w:id="6"/>
      <w:r>
        <w:commentReference w:id="6"/>
      </w:r>
      <w:r>
        <w:rPr>
          <w:sz w:val="22"/>
          <w:szCs w:val="22"/>
        </w:rPr>
      </w:r>
      <w:commentRangeEnd w:id="5"/>
      <w:r>
        <w:commentReference w:id="5"/>
      </w:r>
      <w:r>
        <w:rPr>
          <w:sz w:val="22"/>
          <w:szCs w:val="22"/>
        </w:rPr>
        <w:t xml:space="preserve">. Then, baselines were added in 1 </w:t>
      </w:r>
      <w:r>
        <w:rPr>
          <w:rFonts w:cs="Arial"/>
          <w:sz w:val="22"/>
          <w:szCs w:val="22"/>
        </w:rPr>
        <w:t>°</w:t>
      </w:r>
      <w:r>
        <w:rPr>
          <w:sz w:val="22"/>
          <w:szCs w:val="22"/>
        </w:rPr>
        <w:t>C increments, and the data were fit to determine the relationship between fit accuracy and baseline length (Figure 2A top panel, colored lines). The resulting ΔH° and T</w:t>
      </w:r>
      <w:r>
        <w:rPr>
          <w:sz w:val="22"/>
          <w:vertAlign w:val="subscript"/>
        </w:rPr>
        <w:t>m</w:t>
      </w:r>
      <w:r>
        <w:rPr>
          <w:sz w:val="22"/>
          <w:szCs w:val="22"/>
        </w:rPr>
        <w:t xml:space="preserve"> produced by these fits were inaccurate for baselines less than 5 </w:t>
      </w:r>
      <w:r>
        <w:rPr>
          <w:rFonts w:cs="Arial"/>
          <w:sz w:val="22"/>
          <w:szCs w:val="22"/>
        </w:rPr>
        <w:t>°</w:t>
      </w:r>
      <w:r>
        <w:rPr>
          <w:sz w:val="22"/>
          <w:szCs w:val="22"/>
        </w:rPr>
        <w:t xml:space="preserve">C in length but converged on the </w:t>
      </w:r>
      <w:commentRangeStart w:id="7"/>
      <w:r>
        <w:rPr>
          <w:sz w:val="22"/>
          <w:szCs w:val="22"/>
        </w:rPr>
        <w:t xml:space="preserve">correct value at </w:t>
      </w:r>
      <w:commentRangeStart w:id="8"/>
      <w:r>
        <w:rPr>
          <w:sz w:val="22"/>
          <w:szCs w:val="22"/>
        </w:rPr>
        <w:t xml:space="preserve">higher temperatures </w:t>
      </w:r>
      <w:r>
        <w:rPr>
          <w:sz w:val="22"/>
          <w:szCs w:val="22"/>
        </w:rPr>
      </w:r>
      <w:commentRangeEnd w:id="8"/>
      <w:r>
        <w:commentReference w:id="8"/>
      </w:r>
      <w:r>
        <w:rPr>
          <w:sz w:val="22"/>
          <w:szCs w:val="22"/>
        </w:rPr>
      </w:r>
      <w:commentRangeEnd w:id="7"/>
      <w:r>
        <w:commentReference w:id="7"/>
      </w:r>
      <w:r>
        <w:rPr>
          <w:sz w:val="22"/>
          <w:szCs w:val="22"/>
        </w:rPr>
        <w:t xml:space="preserve">(Figure 2A, middle and bottom panels). Thus, analysis of modeled data indicated that baselines should be no shorter than 5 </w:t>
      </w:r>
      <w:r>
        <w:rPr>
          <w:rFonts w:cs="Arial"/>
          <w:sz w:val="22"/>
          <w:szCs w:val="22"/>
        </w:rPr>
        <w:t>°</w:t>
      </w:r>
      <w:r>
        <w:rPr>
          <w:sz w:val="22"/>
          <w:szCs w:val="22"/>
        </w:rPr>
        <w:t>C.</w:t>
      </w:r>
    </w:p>
    <w:p>
      <w:pPr>
        <w:pStyle w:val="Normal"/>
        <w:spacing w:lineRule="auto" w:line="480" w:before="0" w:after="288"/>
        <w:ind w:left="0" w:hanging="0"/>
        <w:jc w:val="both"/>
        <w:rPr/>
      </w:pPr>
      <w:r>
        <w:rPr>
          <w:sz w:val="22"/>
          <w:szCs w:val="22"/>
        </w:rPr>
        <w:t xml:space="preserve">We next analyzed the effects of baseline length on folding energy determination on real data. We started on a nearly ideal, real melting curve (Figure 2B top panel, black circles). We first estimated the temperature range where the helix was between 90% and 10% folded, using a fit of the un-trimmed curve. Then, we added baselines in 1 </w:t>
      </w:r>
      <w:r>
        <w:rPr>
          <w:rFonts w:cs="Arial"/>
          <w:sz w:val="22"/>
          <w:szCs w:val="22"/>
        </w:rPr>
        <w:t>°</w:t>
      </w:r>
      <w:r>
        <w:rPr>
          <w:sz w:val="22"/>
          <w:szCs w:val="22"/>
        </w:rPr>
        <w:t xml:space="preserve">C increments and fit the data. The resulting energies produced by these fits were inaccurate below 5 </w:t>
      </w:r>
      <w:r>
        <w:rPr>
          <w:rFonts w:cs="Arial"/>
          <w:sz w:val="22"/>
          <w:szCs w:val="22"/>
        </w:rPr>
        <w:t>°</w:t>
      </w:r>
      <w:r>
        <w:rPr>
          <w:sz w:val="22"/>
          <w:szCs w:val="22"/>
        </w:rPr>
        <w:t xml:space="preserve">C, but converged on the </w:t>
      </w:r>
      <w:commentRangeStart w:id="9"/>
      <w:commentRangeStart w:id="10"/>
      <w:r>
        <w:rPr>
          <w:sz w:val="22"/>
          <w:szCs w:val="22"/>
        </w:rPr>
        <w:t xml:space="preserve">correct value at higher temperatures </w:t>
      </w:r>
      <w:r>
        <w:rPr>
          <w:sz w:val="22"/>
          <w:szCs w:val="22"/>
        </w:rPr>
      </w:r>
      <w:commentRangeEnd w:id="10"/>
      <w:r>
        <w:commentReference w:id="10"/>
      </w:r>
      <w:r>
        <w:rPr>
          <w:sz w:val="22"/>
          <w:szCs w:val="22"/>
        </w:rPr>
      </w:r>
      <w:commentRangeEnd w:id="9"/>
      <w:r>
        <w:commentReference w:id="9"/>
      </w:r>
      <w:r>
        <w:rPr>
          <w:sz w:val="22"/>
          <w:szCs w:val="22"/>
        </w:rPr>
        <w:t>(Figure 2B, middle and bottom panels). Next, we analyzed the effects of baseline length on folding energy determination on a non-ideal, real melting curve. Once again, the ΔH° and T</w:t>
      </w:r>
      <w:r>
        <w:rPr>
          <w:sz w:val="22"/>
          <w:szCs w:val="22"/>
          <w:vertAlign w:val="subscript"/>
        </w:rPr>
        <w:t>m</w:t>
      </w:r>
      <w:r>
        <w:rPr>
          <w:sz w:val="22"/>
          <w:szCs w:val="22"/>
        </w:rPr>
        <w:t xml:space="preserve"> produced was inaccurate for baselines that were less than 5 </w:t>
      </w:r>
      <w:r>
        <w:rPr>
          <w:rFonts w:cs="Arial"/>
          <w:sz w:val="22"/>
          <w:szCs w:val="22"/>
        </w:rPr>
        <w:t>°</w:t>
      </w:r>
      <w:r>
        <w:rPr>
          <w:sz w:val="22"/>
          <w:szCs w:val="22"/>
        </w:rPr>
        <w:t>C. However, the ΔH° did not converge on a single consistent value (Figure 2B, middle panel).</w:t>
      </w:r>
    </w:p>
    <w:p>
      <w:pPr>
        <w:pStyle w:val="Normal"/>
        <w:spacing w:lineRule="auto" w:line="480"/>
        <w:jc w:val="both"/>
        <w:rPr>
          <w:rFonts w:ascii="Arial" w:hAnsi="Arial"/>
          <w:sz w:val="22"/>
          <w:szCs w:val="22"/>
        </w:rPr>
      </w:pPr>
      <w:r>
        <w:rPr>
          <w:sz w:val="22"/>
          <w:szCs w:val="22"/>
        </w:rPr>
        <w:t>Thus, MeltR provides a baseline trimming function, the “BLtrimmer”, that works on three principles:</w:t>
      </w:r>
    </w:p>
    <w:p>
      <w:pPr>
        <w:pStyle w:val="ListParagraph"/>
        <w:numPr>
          <w:ilvl w:val="0"/>
          <w:numId w:val="1"/>
        </w:numPr>
        <w:spacing w:lineRule="auto" w:line="480" w:before="0" w:after="288"/>
        <w:ind w:left="720" w:right="0" w:hanging="360"/>
        <w:contextualSpacing/>
        <w:jc w:val="both"/>
        <w:rPr/>
      </w:pPr>
      <w:r>
        <w:rPr>
          <w:sz w:val="22"/>
          <w:szCs w:val="22"/>
        </w:rPr>
        <w:t xml:space="preserve">A large number of baseline ranges should be randomly generated and subsequently fit. These baseline ranges should be between 5 and 25 </w:t>
      </w:r>
      <w:r>
        <w:rPr>
          <w:rFonts w:cs="Arial"/>
          <w:sz w:val="22"/>
          <w:szCs w:val="22"/>
        </w:rPr>
        <w:t>°</w:t>
      </w:r>
      <w:r>
        <w:rPr>
          <w:sz w:val="22"/>
          <w:szCs w:val="22"/>
        </w:rPr>
        <w:t xml:space="preserve">C, lower and higher than the temperatures where the sample is 90% and 10% helical, for low temperature and high temperature baselines, respectively. The 5 </w:t>
      </w:r>
      <w:r>
        <w:rPr>
          <w:rFonts w:cs="Arial"/>
          <w:sz w:val="22"/>
          <w:szCs w:val="22"/>
        </w:rPr>
        <w:t>°</w:t>
      </w:r>
      <w:r>
        <w:rPr>
          <w:sz w:val="22"/>
          <w:szCs w:val="22"/>
        </w:rPr>
        <w:t xml:space="preserve">C lower limit on baseline length ensures that the baseline ranges can produce accurate folding energies (Figure 2A). </w:t>
      </w:r>
      <w:commentRangeStart w:id="11"/>
      <w:r>
        <w:rPr>
          <w:sz w:val="22"/>
          <w:szCs w:val="22"/>
        </w:rPr>
        <w:t xml:space="preserve">The 25 </w:t>
      </w:r>
      <w:r>
        <w:rPr>
          <w:rFonts w:cs="Arial"/>
          <w:sz w:val="22"/>
          <w:szCs w:val="22"/>
        </w:rPr>
        <w:t>°</w:t>
      </w:r>
      <w:r>
        <w:rPr>
          <w:sz w:val="22"/>
          <w:szCs w:val="22"/>
        </w:rPr>
        <w:t xml:space="preserve">C upper limit </w:t>
      </w:r>
      <w:r>
        <w:rPr>
          <w:sz w:val="22"/>
          <w:szCs w:val="22"/>
        </w:rPr>
      </w:r>
      <w:commentRangeEnd w:id="11"/>
      <w:r>
        <w:commentReference w:id="11"/>
      </w:r>
      <w:r>
        <w:rPr>
          <w:sz w:val="22"/>
          <w:szCs w:val="22"/>
        </w:rPr>
        <w:t>on baseline length ensures that the baseline range minimizes violation of the linear approximation.</w:t>
      </w:r>
    </w:p>
    <w:p>
      <w:pPr>
        <w:pStyle w:val="ListParagraph"/>
        <w:numPr>
          <w:ilvl w:val="0"/>
          <w:numId w:val="1"/>
        </w:numPr>
        <w:spacing w:lineRule="auto" w:line="480" w:before="0" w:after="288"/>
        <w:ind w:left="720" w:right="0" w:hanging="360"/>
        <w:contextualSpacing/>
        <w:jc w:val="both"/>
        <w:rPr>
          <w:rFonts w:ascii="Arial" w:hAnsi="Arial"/>
          <w:sz w:val="22"/>
          <w:szCs w:val="22"/>
        </w:rPr>
      </w:pPr>
      <w:r>
        <w:rPr>
          <w:sz w:val="22"/>
          <w:szCs w:val="22"/>
        </w:rPr>
        <w:t>The best combinations of baseline ranges produce the most internally consistent folding energy estimates across the data set, as assessed by agreement between ΔH° produced by different samples in method 1, and by agreement between the average ΔH° produced by methods 1 and 2.</w:t>
      </w:r>
    </w:p>
    <w:p>
      <w:pPr>
        <w:pStyle w:val="ListParagraph"/>
        <w:numPr>
          <w:ilvl w:val="0"/>
          <w:numId w:val="1"/>
        </w:numPr>
        <w:spacing w:lineRule="auto" w:line="480" w:before="0" w:after="288"/>
        <w:ind w:left="720" w:right="0" w:hanging="360"/>
        <w:contextualSpacing/>
        <w:jc w:val="both"/>
        <w:rPr>
          <w:rFonts w:ascii="Arial" w:hAnsi="Arial"/>
          <w:sz w:val="22"/>
          <w:szCs w:val="22"/>
        </w:rPr>
      </w:pPr>
      <w:r>
        <w:rPr>
          <w:sz w:val="22"/>
          <w:szCs w:val="22"/>
        </w:rPr>
        <w:t>Besides principle 1 and 2, the 25% of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before="0" w:after="288"/>
        <w:ind w:left="360" w:right="0" w:hanging="0"/>
        <w:jc w:val="both"/>
        <w:rPr/>
      </w:pPr>
      <w:r>
        <w:rPr>
          <w:sz w:val="22"/>
          <w:szCs w:val="22"/>
        </w:rPr>
        <w:t xml:space="preserve">The last important </w:t>
      </w:r>
      <w:r>
        <w:rPr>
          <w:sz w:val="22"/>
          <w:szCs w:val="22"/>
          <w:u w:val="single"/>
        </w:rPr>
        <w:t>argument</w:t>
      </w:r>
      <w:r>
        <w:rPr>
          <w:sz w:val="22"/>
          <w:szCs w:val="22"/>
        </w:rPr>
        <w:t xml:space="preserve"> is the error distance threshold, which by default selects the 25% of baseline combinations that produce the most internally consistent folding energies (Figure 2D.4). </w:t>
      </w:r>
      <w:commentRangeStart w:id="12"/>
      <w:r>
        <w:rPr>
          <w:sz w:val="22"/>
          <w:szCs w:val="22"/>
        </w:rPr>
        <w:t xml:space="preserve">The error </w:t>
      </w:r>
      <w:r>
        <w:rPr>
          <w:sz w:val="22"/>
          <w:szCs w:val="22"/>
        </w:rPr>
      </w:r>
      <w:commentRangeEnd w:id="12"/>
      <w:r>
        <w:commentReference w:id="12"/>
      </w:r>
      <w:r>
        <w:rPr>
          <w:sz w:val="22"/>
          <w:szCs w:val="22"/>
        </w:rPr>
        <w:t>distance is a statistic that equally combines agreement between the ΔH° produced by different samples using method 1 and agreement between the ΔH° produced by methods 1 and 2. Data from each baseline combination are first fit with method 1 and 2, and the normalized standard deviation of method 1 ΔH° values and the normalized difference between methods 1 and 2 ΔH° values are calculated (Figure 3E). These values are then ranked, placing each value into quantiles on a relative scale from 0 to 1, where 0 is the most accurate and 1 is the least accurate (Figure 3F). The error distance is then calculated as the Pythagorean distance between a point on the plot and the origin, thus, equally accounting for agreement for method 1, and by agreement of ΔH° produced by methods 1 and 2. Then, the BLtrimmer selects the 25% of baseline combinations that produce the smallest error distance (Figure 3G). The error distance threshold can be decreased to be more selective or increased to 100% to generate an exhaustive description of the dependence effects of folding energies on baseline trimming. Lastly, the BLtrimmer passes the ensemble of internally consistent baseline combinations back to meltR.A for fitting. The results are averaged, and 95% confidence intervals are determined (Figure 3H).</w:t>
      </w:r>
      <w:r>
        <w:br w:type="page"/>
      </w:r>
    </w:p>
    <w:p>
      <w:pPr>
        <w:pStyle w:val="Heading1"/>
        <w:ind w:left="0" w:hanging="0"/>
        <w:jc w:val="both"/>
        <w:rPr/>
      </w:pPr>
      <w:bookmarkStart w:id="0" w:name="__RefHeading___Toc99306_3449495920"/>
      <w:bookmarkStart w:id="1" w:name="_Toc111794058"/>
      <w:bookmarkStart w:id="2" w:name="_Toc108513666"/>
      <w:bookmarkEnd w:id="0"/>
      <w:r>
        <w:rPr/>
        <w:t>Supplementary information figures</w:t>
      </w:r>
      <w:bookmarkEnd w:id="1"/>
      <w:bookmarkEnd w:id="2"/>
    </w:p>
    <w:p>
      <w:pPr>
        <w:pStyle w:val="Normal"/>
        <w:jc w:val="both"/>
        <w:rPr/>
      </w:pPr>
      <w:r>
        <w:rPr/>
      </w:r>
    </w:p>
    <w:p>
      <w:pPr>
        <w:pStyle w:val="Normal"/>
        <w:jc w:val="center"/>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46304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630420"/>
                    </a:xfrm>
                    <a:prstGeom prst="rect">
                      <a:avLst/>
                    </a:prstGeom>
                  </pic:spPr>
                </pic:pic>
              </a:graphicData>
            </a:graphic>
          </wp:anchor>
        </w:drawing>
      </w:r>
    </w:p>
    <w:p>
      <w:pPr>
        <w:pStyle w:val="Normal"/>
        <w:jc w:val="both"/>
        <w:rPr/>
      </w:pPr>
      <w:bookmarkStart w:id="3" w:name="_Toc108513667"/>
      <w:bookmarkStart w:id="4" w:name="_Toc111794059"/>
      <w:r>
        <w:rPr>
          <w:rStyle w:val="Heading3Char"/>
        </w:rPr>
        <w:t>Figure S1</w:t>
      </w:r>
      <w:bookmarkEnd w:id="3"/>
      <w:bookmarkEnd w:id="4"/>
      <w:r>
        <w:rPr>
          <w:rStyle w:val="Heading3Char"/>
        </w:rPr>
        <w:t xml:space="preserve">  </w:t>
      </w:r>
      <w:r>
        <w:rPr>
          <w:rStyle w:val="Heading3Char"/>
          <w:b w:val="false"/>
          <w:bCs w:val="false"/>
        </w:rPr>
        <w:t xml:space="preserve">Precanned meltR.A figures and tables for assessing the quality of the results are written as PDF and comma separated value files, respectively. Black circles represent data points and red lines represent fits. </w:t>
      </w:r>
      <w:r>
        <w:rPr>
          <w:rStyle w:val="Heading3Char"/>
          <w:b/>
          <w:bCs/>
        </w:rPr>
        <w:t>(A)</w:t>
      </w:r>
      <w:r>
        <w:rPr>
          <w:rStyle w:val="Heading3Char"/>
          <w:b w:val="false"/>
          <w:bCs w:val="false"/>
        </w:rPr>
        <w:t xml:space="preserve"> Raw data fit using method 1, fitting the melting curve for each sample individually. </w:t>
      </w:r>
      <w:r>
        <w:rPr>
          <w:rStyle w:val="Heading3Char"/>
          <w:b/>
          <w:bCs/>
        </w:rPr>
        <w:t>(B)</w:t>
      </w:r>
      <w:r>
        <w:rPr>
          <w:rStyle w:val="Heading3Char"/>
          <w:b w:val="false"/>
          <w:bCs w:val="false"/>
        </w:rPr>
        <w:t xml:space="preserve"> Normalized data fit using method 1. Data were normalized to calculate the Absorbtivity at each temperature by dividing the raw absorbance by the strand concentration and the pathlength of the cuvette. </w:t>
      </w:r>
      <w:r>
        <w:rPr>
          <w:rStyle w:val="Heading3Char"/>
          <w:b/>
          <w:bCs/>
        </w:rPr>
        <w:t xml:space="preserve">(C) </w:t>
      </w:r>
      <w:r>
        <w:rPr>
          <w:rStyle w:val="Heading3Char"/>
          <w:b w:val="false"/>
          <w:bCs w:val="false"/>
        </w:rPr>
        <w:t>Table summarizing the individual fits for method 1. Sample is the sample identifier in the data. Ct is the total RNA strand concentration, C</w:t>
      </w:r>
      <w:r>
        <w:rPr>
          <w:rStyle w:val="Heading3Char"/>
          <w:b w:val="false"/>
          <w:bCs w:val="false"/>
          <w:vertAlign w:val="subscript"/>
        </w:rPr>
        <w:t>t</w:t>
      </w:r>
      <w:r>
        <w:rPr>
          <w:rStyle w:val="Heading3Char"/>
          <w:b w:val="false"/>
          <w:bCs w:val="false"/>
          <w:position w:val="0"/>
          <w:sz w:val="20"/>
          <w:sz w:val="20"/>
          <w:vertAlign w:val="baseline"/>
        </w:rPr>
        <w:t>. H is the helix association enthalpy, ΔH°, in kcal/mol. S is the helix association entropy, ΔS°, in cal/mol/K. G is the free energy at 37 °C of helix association entropy, ΔG°</w:t>
      </w:r>
      <w:r>
        <w:rPr>
          <w:rStyle w:val="Heading3Char"/>
          <w:b w:val="false"/>
          <w:bCs w:val="false"/>
          <w:vertAlign w:val="subscript"/>
        </w:rPr>
        <w:t>37</w:t>
      </w:r>
      <w:r>
        <w:rPr>
          <w:rStyle w:val="Heading3Char"/>
          <w:b w:val="false"/>
          <w:bCs w:val="false"/>
          <w:position w:val="0"/>
          <w:sz w:val="20"/>
          <w:sz w:val="20"/>
          <w:vertAlign w:val="baseline"/>
        </w:rPr>
        <w:t>, in kcal/mol. Tm is the melting temperature, T</w:t>
      </w:r>
      <w:r>
        <w:rPr>
          <w:rStyle w:val="Heading3Char"/>
          <w:b w:val="false"/>
          <w:bCs w:val="false"/>
          <w:vertAlign w:val="subscript"/>
        </w:rPr>
        <w:t>m</w:t>
      </w:r>
      <w:r>
        <w:rPr>
          <w:rStyle w:val="Heading3Char"/>
          <w:b w:val="false"/>
          <w:bCs w:val="false"/>
          <w:position w:val="0"/>
          <w:sz w:val="20"/>
          <w:sz w:val="20"/>
          <w:vertAlign w:val="baseline"/>
        </w:rPr>
        <w:t xml:space="preserve">, of the curve in °C. </w:t>
      </w:r>
      <w:r>
        <w:rPr>
          <w:rStyle w:val="Heading3Char"/>
          <w:b/>
          <w:bCs/>
          <w:position w:val="0"/>
          <w:sz w:val="20"/>
          <w:sz w:val="20"/>
          <w:vertAlign w:val="baseline"/>
        </w:rPr>
        <w:t xml:space="preserve">(D) </w:t>
      </w:r>
      <w:r>
        <w:rPr>
          <w:rStyle w:val="Heading3Char"/>
          <w:b w:val="false"/>
          <w:bCs w:val="false"/>
          <w:position w:val="0"/>
          <w:sz w:val="20"/>
          <w:sz w:val="20"/>
          <w:vertAlign w:val="baseline"/>
        </w:rPr>
        <w:t>Plot of 1/T</w:t>
      </w:r>
      <w:r>
        <w:rPr>
          <w:rStyle w:val="Heading3Char"/>
          <w:b w:val="false"/>
          <w:bCs w:val="false"/>
          <w:vertAlign w:val="subscript"/>
        </w:rPr>
        <w:t>m</w:t>
      </w:r>
      <w:r>
        <w:rPr>
          <w:rStyle w:val="Heading3Char"/>
          <w:b w:val="false"/>
          <w:bCs w:val="false"/>
          <w:position w:val="0"/>
          <w:sz w:val="20"/>
          <w:sz w:val="20"/>
          <w:vertAlign w:val="baseline"/>
        </w:rPr>
        <w:t xml:space="preserve"> versus the natural log of the C</w:t>
      </w:r>
      <w:r>
        <w:rPr>
          <w:rStyle w:val="Heading3Char"/>
          <w:b w:val="false"/>
          <w:bCs w:val="false"/>
          <w:vertAlign w:val="subscript"/>
        </w:rPr>
        <w:t xml:space="preserve">t </w:t>
      </w:r>
      <w:r>
        <w:rPr>
          <w:rStyle w:val="Heading3Char"/>
          <w:b w:val="false"/>
          <w:bCs w:val="false"/>
          <w:position w:val="0"/>
          <w:sz w:val="20"/>
          <w:sz w:val="20"/>
          <w:vertAlign w:val="baseline"/>
        </w:rPr>
        <w:t xml:space="preserve">, used to determine folding energies for method 2. </w:t>
      </w:r>
      <w:r>
        <w:rPr>
          <w:rStyle w:val="Heading3Char"/>
          <w:b/>
          <w:bCs/>
          <w:position w:val="0"/>
          <w:sz w:val="20"/>
          <w:sz w:val="20"/>
          <w:vertAlign w:val="baseline"/>
        </w:rPr>
        <w:t>(E)</w:t>
      </w:r>
      <w:r>
        <w:rPr>
          <w:rStyle w:val="Heading3Char"/>
          <w:b w:val="false"/>
          <w:bCs w:val="false"/>
          <w:position w:val="0"/>
          <w:sz w:val="20"/>
          <w:sz w:val="20"/>
          <w:vertAlign w:val="baseline"/>
        </w:rPr>
        <w:t xml:space="preserve"> Raw data fit using method 3, fitting melting curves from each sample to a single regression model. </w:t>
      </w:r>
      <w:r>
        <w:rPr>
          <w:rStyle w:val="Heading3Char"/>
          <w:b/>
          <w:bCs/>
          <w:position w:val="0"/>
          <w:sz w:val="20"/>
          <w:sz w:val="20"/>
          <w:vertAlign w:val="baseline"/>
        </w:rPr>
        <w:t>(F)</w:t>
      </w:r>
      <w:r>
        <w:rPr>
          <w:rStyle w:val="Heading3Char"/>
          <w:b w:val="false"/>
          <w:bCs w:val="false"/>
          <w:position w:val="0"/>
          <w:sz w:val="20"/>
          <w:sz w:val="20"/>
          <w:vertAlign w:val="baseline"/>
        </w:rPr>
        <w:t xml:space="preserve"> Normalized data fit using method 3. Data were normalized as described in A. </w:t>
      </w:r>
      <w:r>
        <w:rPr>
          <w:rStyle w:val="Heading3Char"/>
          <w:b/>
          <w:bCs/>
          <w:position w:val="0"/>
          <w:sz w:val="20"/>
          <w:sz w:val="20"/>
          <w:vertAlign w:val="baseline"/>
        </w:rPr>
        <w:t>(G)</w:t>
      </w:r>
      <w:r>
        <w:rPr>
          <w:rStyle w:val="Heading3Char"/>
          <w:b w:val="false"/>
          <w:bCs w:val="false"/>
          <w:position w:val="0"/>
          <w:sz w:val="20"/>
          <w:sz w:val="20"/>
          <w:vertAlign w:val="baseline"/>
        </w:rPr>
        <w:t xml:space="preserve"> Table summarizing results from the three methods. Parameters are summarized in A. SE stands for the standard error, which is calculated from the regression models, and represent the precision of the parameter given the data.</w:t>
      </w:r>
      <w:r>
        <w:br w:type="page"/>
      </w:r>
    </w:p>
    <w:p>
      <w:pPr>
        <w:pStyle w:val="Normal"/>
        <w:jc w:val="center"/>
        <w:rPr/>
      </w:pPr>
      <w:r>
        <w:rPr/>
        <w:drawing>
          <wp:inline distT="0" distB="0" distL="0" distR="0">
            <wp:extent cx="4300220" cy="537337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4300220" cy="5373370"/>
                    </a:xfrm>
                    <a:prstGeom prst="rect">
                      <a:avLst/>
                    </a:prstGeom>
                  </pic:spPr>
                </pic:pic>
              </a:graphicData>
            </a:graphic>
          </wp:inline>
        </w:drawing>
      </w:r>
    </w:p>
    <w:p>
      <w:pPr>
        <w:pStyle w:val="Normal"/>
        <w:jc w:val="both"/>
        <w:rPr/>
      </w:pPr>
      <w:r>
        <w:rPr>
          <w:rStyle w:val="Heading3Char"/>
          <w:b/>
          <w:bCs/>
          <w:position w:val="0"/>
          <w:sz w:val="20"/>
          <w:sz w:val="20"/>
          <w:vertAlign w:val="baseline"/>
        </w:rPr>
        <w:t>Figure S2</w:t>
      </w:r>
      <w:r>
        <w:rPr>
          <w:rStyle w:val="Heading3Char"/>
          <w:b w:val="false"/>
          <w:bCs w:val="false"/>
          <w:position w:val="0"/>
          <w:sz w:val="20"/>
          <w:sz w:val="20"/>
          <w:vertAlign w:val="baseline"/>
        </w:rPr>
        <w:t xml:space="preserve">  One-thousand randomly generated baselines provides accurate thermodynamic parameters and is computationally acheivable.</w:t>
      </w:r>
      <w:r>
        <w:br w:type="page"/>
      </w:r>
    </w:p>
    <w:p>
      <w:pPr>
        <w:pStyle w:val="Normal"/>
        <w:jc w:val="both"/>
        <w:rPr>
          <w:rStyle w:val="Heading3Char"/>
          <w:b w:val="false"/>
          <w:b w:val="false"/>
          <w:bCs w:val="false"/>
          <w:position w:val="0"/>
          <w:sz w:val="20"/>
          <w:sz w:val="20"/>
          <w:vertAlign w:val="baseline"/>
        </w:rPr>
      </w:pPr>
      <w:r>
        <w:rPr>
          <w:b w:val="false"/>
          <w:bCs w:val="false"/>
          <w:position w:val="0"/>
          <w:sz w:val="20"/>
          <w:sz w:val="20"/>
          <w:vertAlign w:val="baseline"/>
        </w:rPr>
      </w:r>
    </w:p>
    <w:p>
      <w:pPr>
        <w:pStyle w:val="Normal"/>
        <w:jc w:val="both"/>
        <w:rPr/>
      </w:pPr>
      <w:r>
        <w:rPr/>
        <w:drawing>
          <wp:inline distT="0" distB="0" distL="0" distR="0">
            <wp:extent cx="5943600" cy="392811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928110"/>
                    </a:xfrm>
                    <a:prstGeom prst="rect">
                      <a:avLst/>
                    </a:prstGeom>
                  </pic:spPr>
                </pic:pic>
              </a:graphicData>
            </a:graphic>
          </wp:inline>
        </w:drawing>
      </w:r>
    </w:p>
    <w:p>
      <w:pPr>
        <w:pStyle w:val="VDTableTitle"/>
        <w:spacing w:before="0" w:after="72"/>
        <w:jc w:val="both"/>
        <w:rPr/>
      </w:pPr>
      <w:bookmarkStart w:id="5" w:name="_Toc108513668"/>
      <w:bookmarkStart w:id="6" w:name="_Toc111794060"/>
      <w:r>
        <w:rPr>
          <w:rStyle w:val="Heading3Char"/>
          <w:b/>
          <w:bCs/>
        </w:rPr>
        <w:t xml:space="preserve">Figure </w:t>
      </w:r>
      <w:bookmarkEnd w:id="5"/>
      <w:bookmarkEnd w:id="6"/>
      <w:r>
        <w:rPr>
          <w:rStyle w:val="Heading3Char"/>
          <w:b/>
          <w:bCs/>
        </w:rPr>
        <w:t>S</w:t>
      </w:r>
      <w:r>
        <w:rPr>
          <w:rStyle w:val="Heading3Char"/>
          <w:b/>
          <w:bCs/>
        </w:rPr>
        <w:t>3</w:t>
      </w:r>
      <w:r>
        <w:rPr>
          <w:rFonts w:eastAsia="Times New Roman" w:cs="Times New Roman"/>
          <w:b w:val="false"/>
          <w:sz w:val="19"/>
          <w:szCs w:val="19"/>
        </w:rPr>
        <w:t xml:space="preserve">  Precanned BLtrimmer outputs for assessing the quality of the results are written as a PDF file. Blue lines and points represent the 25% of baseline combinations that produce parameters that exhibit the best internal consistency across the data set. Each point comes from fitting a combination of baselines with method 1 or 2. </w:t>
      </w:r>
      <w:r>
        <w:rPr>
          <w:rFonts w:eastAsia="Times New Roman" w:cs="Times New Roman"/>
          <w:b/>
          <w:bCs/>
          <w:sz w:val="19"/>
          <w:szCs w:val="19"/>
        </w:rPr>
        <w:t>(A)</w:t>
      </w:r>
      <w:r>
        <w:rPr>
          <w:rFonts w:eastAsia="Times New Roman" w:cs="Times New Roman"/>
          <w:b w:val="false"/>
          <w:bCs w:val="false"/>
          <w:sz w:val="19"/>
          <w:szCs w:val="19"/>
        </w:rPr>
        <w:t xml:space="preserve"> Distribution of the standard deviation of enthalpy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 xml:space="preserve">values, determined by fitting combinations of baselines options. Low standard deviation indicate that the baseline combination exhibits high agreement in enthalpies calculated using method 1, fitting melting curves for each sample individually. </w:t>
      </w:r>
      <w:r>
        <w:rPr>
          <w:rFonts w:eastAsia="Times New Roman" w:cs="Times New Roman"/>
          <w:b/>
          <w:bCs/>
          <w:sz w:val="19"/>
          <w:szCs w:val="19"/>
        </w:rPr>
        <w:t>(B)</w:t>
      </w:r>
      <w:r>
        <w:rPr>
          <w:rFonts w:eastAsia="Times New Roman" w:cs="Times New Roman"/>
          <w:b w:val="false"/>
          <w:bCs w:val="false"/>
          <w:sz w:val="19"/>
          <w:szCs w:val="19"/>
        </w:rPr>
        <w:t xml:space="preserve"> Distribution of the </w:t>
      </w:r>
      <w:r>
        <w:rPr>
          <w:rStyle w:val="Heading3Char"/>
          <w:b w:val="false"/>
          <w:bCs w:val="false"/>
          <w:position w:val="0"/>
          <w:sz w:val="20"/>
          <w:sz w:val="20"/>
          <w:vertAlign w:val="baseline"/>
        </w:rPr>
        <w:t xml:space="preserve">ΔH° </w:t>
      </w:r>
      <w:r>
        <w:rPr>
          <w:rFonts w:eastAsia="Times New Roman" w:cs="Times New Roman"/>
          <w:b w:val="false"/>
          <w:bCs w:val="false"/>
          <w:sz w:val="19"/>
          <w:szCs w:val="19"/>
        </w:rPr>
        <w:t>agreement between method 1 and method 2, fitting melting curves for each sample individually and fitting the relationship between 1/T</w:t>
      </w:r>
      <w:r>
        <w:rPr>
          <w:rFonts w:eastAsia="Times New Roman" w:cs="Times New Roman"/>
          <w:b w:val="false"/>
          <w:bCs w:val="false"/>
          <w:sz w:val="19"/>
          <w:szCs w:val="19"/>
          <w:vertAlign w:val="subscript"/>
        </w:rPr>
        <w:t>m</w:t>
      </w:r>
      <w:r>
        <w:rPr>
          <w:rFonts w:eastAsia="Times New Roman" w:cs="Times New Roman"/>
          <w:b w:val="false"/>
          <w:bCs w:val="false"/>
          <w:sz w:val="19"/>
          <w:szCs w:val="19"/>
        </w:rPr>
        <w:t xml:space="preserve"> versus lnC</w:t>
      </w:r>
      <w:r>
        <w:rPr>
          <w:rFonts w:eastAsia="Times New Roman" w:cs="Times New Roman"/>
          <w:b w:val="false"/>
          <w:bCs w:val="false"/>
          <w:sz w:val="19"/>
          <w:szCs w:val="19"/>
          <w:vertAlign w:val="subscript"/>
        </w:rPr>
        <w:t>t</w:t>
      </w:r>
      <w:r>
        <w:rPr>
          <w:rFonts w:eastAsia="Times New Roman" w:cs="Times New Roman"/>
          <w:b w:val="false"/>
          <w:bCs w:val="false"/>
          <w:position w:val="0"/>
          <w:sz w:val="19"/>
          <w:sz w:val="19"/>
          <w:szCs w:val="19"/>
          <w:vertAlign w:val="baseline"/>
        </w:rPr>
        <w:t>, respectively,</w:t>
      </w:r>
      <w:r>
        <w:rPr>
          <w:rFonts w:eastAsia="Times New Roman" w:cs="Times New Roman"/>
          <w:b w:val="false"/>
          <w:bCs w:val="false"/>
          <w:sz w:val="19"/>
          <w:szCs w:val="19"/>
        </w:rPr>
        <w:t xml:space="preserve"> determined by fitting combinations of baselines options. Low difference indicates that the baseline combination exhibits high agreement in </w:t>
      </w:r>
      <w:r>
        <w:rPr>
          <w:rStyle w:val="Heading3Char"/>
          <w:b w:val="false"/>
          <w:bCs w:val="false"/>
          <w:position w:val="0"/>
          <w:sz w:val="20"/>
          <w:sz w:val="20"/>
          <w:vertAlign w:val="baseline"/>
        </w:rPr>
        <w:t>ΔH°</w:t>
      </w:r>
      <w:r>
        <w:rPr>
          <w:rFonts w:eastAsia="Times New Roman" w:cs="Times New Roman"/>
          <w:b w:val="false"/>
          <w:bCs w:val="false"/>
          <w:sz w:val="19"/>
          <w:szCs w:val="19"/>
        </w:rPr>
        <w:t xml:space="preserve"> values calculated using method 1 and method 2. </w:t>
      </w:r>
      <w:r>
        <w:rPr>
          <w:rFonts w:eastAsia="Times New Roman" w:cs="Times New Roman"/>
          <w:b/>
          <w:bCs/>
          <w:sz w:val="19"/>
          <w:szCs w:val="19"/>
        </w:rPr>
        <w:t>(C)</w:t>
      </w:r>
      <w:r>
        <w:rPr>
          <w:rFonts w:eastAsia="Times New Roman" w:cs="Times New Roman"/>
          <w:b w:val="false"/>
          <w:bCs w:val="false"/>
          <w:sz w:val="19"/>
          <w:szCs w:val="19"/>
        </w:rPr>
        <w:t xml:space="preserve"> </w:t>
      </w:r>
      <w:r>
        <w:rPr>
          <w:rFonts w:eastAsia="Times New Roman" w:cs="Times New Roman"/>
          <w:b w:val="false"/>
          <w:bCs w:val="false"/>
          <w:kern w:val="2"/>
          <w:sz w:val="19"/>
          <w:szCs w:val="19"/>
          <w:lang w:eastAsia="zh-CN" w:bidi="hi-IN"/>
        </w:rPr>
        <w:t xml:space="preserve">Quantalized (ranked from smallest to largest and assigned a quantile between 0 and 1) standard deviation of </w:t>
      </w:r>
      <w:r>
        <w:rPr>
          <w:rStyle w:val="Heading3Char"/>
          <w:rFonts w:eastAsia="Times New Roman" w:cs="Times New Roman"/>
          <w:b w:val="false"/>
          <w:bCs w:val="false"/>
          <w:color w:val="auto"/>
          <w:kern w:val="2"/>
          <w:position w:val="0"/>
          <w:sz w:val="20"/>
          <w:sz w:val="19"/>
          <w:szCs w:val="19"/>
          <w:vertAlign w:val="baseline"/>
          <w:lang w:val="en-US" w:eastAsia="zh-CN" w:bidi="hi-IN"/>
        </w:rPr>
        <w:t>ΔH° values in the method 1 fit</w:t>
      </w:r>
      <w:r>
        <w:rPr>
          <w:rFonts w:eastAsia="Times New Roman" w:cs="Times New Roman"/>
          <w:b w:val="false"/>
          <w:bCs w:val="false"/>
          <w:color w:val="auto"/>
          <w:kern w:val="2"/>
          <w:sz w:val="19"/>
          <w:szCs w:val="19"/>
          <w:lang w:val="en-US" w:eastAsia="zh-CN" w:bidi="hi-IN"/>
        </w:rPr>
        <w:t xml:space="preserve"> versus the difference between </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ΔH° values in the method 1 and method 2 fit, for each baseline combination. Error distance, which is used to identify the 25% of baseline combinations that produce parameters that exhibit the best internal consistency, is the Pythagorean distance between a point and the origin of the plot. </w:t>
      </w:r>
      <w:r>
        <w:rPr>
          <w:rStyle w:val="Heading3Char"/>
          <w:rFonts w:eastAsia="Times New Roman" w:cs="Times New Roman"/>
          <w:b/>
          <w:bCs/>
          <w:color w:val="auto"/>
          <w:kern w:val="2"/>
          <w:position w:val="0"/>
          <w:sz w:val="20"/>
          <w:sz w:val="19"/>
          <w:szCs w:val="19"/>
          <w:vertAlign w:val="baseline"/>
          <w:lang w:val="en-US" w:eastAsia="zh-CN" w:bidi="hi-IN"/>
        </w:rPr>
        <w:t>(D)</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versus the standard deviation of ΔH° values produced by method 1 for each baseline combination. </w:t>
      </w:r>
      <w:r>
        <w:rPr>
          <w:rStyle w:val="Heading3Char"/>
          <w:rFonts w:eastAsia="Times New Roman" w:cs="Times New Roman"/>
          <w:b/>
          <w:bCs/>
          <w:color w:val="auto"/>
          <w:kern w:val="2"/>
          <w:position w:val="0"/>
          <w:sz w:val="20"/>
          <w:sz w:val="19"/>
          <w:szCs w:val="19"/>
          <w:vertAlign w:val="baseline"/>
          <w:lang w:val="en-US" w:eastAsia="zh-CN" w:bidi="hi-IN"/>
        </w:rPr>
        <w:t>(E)</w:t>
      </w:r>
      <w:r>
        <w:rPr>
          <w:rStyle w:val="Heading3Char"/>
          <w:rFonts w:eastAsia="Times New Roman" w:cs="Times New Roman"/>
          <w:b w:val="false"/>
          <w:bCs w:val="false"/>
          <w:color w:val="auto"/>
          <w:kern w:val="2"/>
          <w:position w:val="0"/>
          <w:sz w:val="20"/>
          <w:sz w:val="19"/>
          <w:szCs w:val="19"/>
          <w:vertAlign w:val="baseline"/>
          <w:lang w:val="en-US" w:eastAsia="zh-CN" w:bidi="hi-IN"/>
        </w:rPr>
        <w:t xml:space="preserve"> The average enthalpy produced by method 1 (Black) or the enthalpy produced by method 2 versus the difference in ΔH° between methods 1 and 2, for each baseline combination. </w:t>
      </w:r>
      <w:r>
        <w:rPr>
          <w:rStyle w:val="Heading3Char"/>
          <w:rFonts w:eastAsia="Times New Roman" w:cs="Times New Roman"/>
          <w:b/>
          <w:bCs/>
          <w:color w:val="auto"/>
          <w:kern w:val="2"/>
          <w:position w:val="0"/>
          <w:sz w:val="20"/>
          <w:sz w:val="19"/>
          <w:szCs w:val="19"/>
          <w:vertAlign w:val="baseline"/>
          <w:lang w:val="en-US" w:eastAsia="zh-CN" w:bidi="hi-IN"/>
        </w:rPr>
        <w:t xml:space="preserve">(F) </w:t>
      </w:r>
      <w:r>
        <w:rPr>
          <w:rStyle w:val="Heading3Char"/>
          <w:rFonts w:eastAsia="Times New Roman" w:cs="Times New Roman"/>
          <w:b w:val="false"/>
          <w:bCs w:val="false"/>
          <w:color w:val="auto"/>
          <w:kern w:val="2"/>
          <w:position w:val="0"/>
          <w:sz w:val="20"/>
          <w:sz w:val="19"/>
          <w:szCs w:val="19"/>
          <w:vertAlign w:val="baseline"/>
          <w:lang w:val="en-US" w:eastAsia="zh-CN" w:bidi="hi-IN"/>
        </w:rPr>
        <w:t>The standard deviation of ΔH° values produced by method 1 versus  difference in ΔH° between methods 1 and 2, for each baseline combination.</w:t>
      </w:r>
    </w:p>
    <w:p>
      <w:pPr>
        <w:pStyle w:val="Normal"/>
        <w:jc w:val="center"/>
        <w:rPr>
          <w:rFonts w:ascii="Arno Pro" w:hAnsi="Arno Pro" w:eastAsia="Times New Roman" w:cs="Times New Roman"/>
          <w:b w:val="false"/>
          <w:b w:val="false"/>
          <w:kern w:val="2"/>
          <w:sz w:val="19"/>
          <w:szCs w:val="19"/>
          <w:lang w:eastAsia="zh-CN" w:bidi="hi-IN"/>
        </w:rPr>
      </w:pPr>
      <w:r>
        <w:rPr/>
        <w:drawing>
          <wp:inline distT="0" distB="0" distL="0" distR="0">
            <wp:extent cx="4559935" cy="455993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559935" cy="4559935"/>
                    </a:xfrm>
                    <a:prstGeom prst="rect">
                      <a:avLst/>
                    </a:prstGeom>
                  </pic:spPr>
                </pic:pic>
              </a:graphicData>
            </a:graphic>
          </wp:inline>
        </w:drawing>
      </w:r>
    </w:p>
    <w:p>
      <w:pPr>
        <w:pStyle w:val="VDTableTitle"/>
        <w:spacing w:before="0" w:after="72"/>
        <w:jc w:val="both"/>
        <w:rPr/>
      </w:pPr>
      <w:bookmarkStart w:id="7" w:name="_Toc1117940601"/>
      <w:bookmarkStart w:id="8" w:name="_Toc1085136681"/>
      <w:r>
        <w:rPr>
          <w:rStyle w:val="Heading3Char"/>
          <w:rFonts w:eastAsia="Times New Roman" w:cs="Times New Roman"/>
          <w:b/>
          <w:bCs/>
          <w:color w:val="auto"/>
          <w:kern w:val="2"/>
          <w:sz w:val="19"/>
          <w:szCs w:val="19"/>
          <w:lang w:val="en-US" w:eastAsia="zh-CN" w:bidi="hi-IN"/>
        </w:rPr>
        <w:t xml:space="preserve">Figure </w:t>
      </w:r>
      <w:r>
        <w:rPr>
          <w:rStyle w:val="Heading3Char"/>
          <w:rFonts w:eastAsia="Times New Roman" w:cs="Times New Roman"/>
          <w:b/>
          <w:bCs/>
          <w:color w:val="auto"/>
          <w:kern w:val="2"/>
          <w:sz w:val="19"/>
          <w:szCs w:val="19"/>
          <w:lang w:val="en-US" w:eastAsia="zh-CN" w:bidi="hi-IN"/>
        </w:rPr>
        <w:t>S</w:t>
      </w:r>
      <w:bookmarkEnd w:id="7"/>
      <w:bookmarkEnd w:id="8"/>
      <w:r>
        <w:rPr>
          <w:rStyle w:val="Heading3Char"/>
          <w:rFonts w:eastAsia="Times New Roman" w:cs="Times New Roman"/>
          <w:b/>
          <w:bCs/>
          <w:color w:val="auto"/>
          <w:kern w:val="2"/>
          <w:sz w:val="19"/>
          <w:szCs w:val="19"/>
          <w:lang w:val="en-US" w:eastAsia="zh-CN" w:bidi="hi-IN"/>
        </w:rPr>
        <w:t>4</w:t>
      </w:r>
      <w:r>
        <w:rPr>
          <w:rFonts w:eastAsia="Times New Roman" w:cs="Times New Roman"/>
          <w:b w:val="false"/>
          <w:bCs w:val="false"/>
          <w:color w:val="auto"/>
          <w:kern w:val="2"/>
          <w:sz w:val="19"/>
          <w:szCs w:val="19"/>
          <w:lang w:val="en-US" w:eastAsia="zh-CN" w:bidi="hi-IN"/>
        </w:rPr>
        <w:t xml:space="preserve">  The </w:t>
      </w:r>
      <w:r>
        <w:rPr>
          <w:rFonts w:eastAsia="Times New Roman" w:cs="Times New Roman"/>
          <w:b w:val="false"/>
          <w:bCs w:val="false"/>
          <w:color w:val="auto"/>
          <w:kern w:val="2"/>
          <w:sz w:val="19"/>
          <w:szCs w:val="19"/>
          <w:lang w:val="en-US" w:eastAsia="zh-CN" w:bidi="hi-IN"/>
        </w:rPr>
        <w:t>MeltR</w:t>
      </w:r>
      <w:r>
        <w:rPr>
          <w:rFonts w:eastAsia="Times New Roman" w:cs="Times New Roman"/>
          <w:b w:val="false"/>
          <w:bCs w:val="false"/>
          <w:color w:val="auto"/>
          <w:kern w:val="2"/>
          <w:sz w:val="19"/>
          <w:szCs w:val="19"/>
          <w:lang w:val="en-US" w:eastAsia="zh-CN" w:bidi="hi-IN"/>
        </w:rPr>
        <w:t xml:space="preserve"> accurately fits modeled data </w:t>
      </w:r>
      <w:r>
        <w:rPr>
          <w:rFonts w:eastAsia="Times New Roman" w:cs="Times New Roman"/>
          <w:b w:val="false"/>
          <w:bCs w:val="false"/>
          <w:color w:val="auto"/>
          <w:kern w:val="2"/>
          <w:sz w:val="19"/>
          <w:szCs w:val="19"/>
          <w:lang w:val="en-US" w:eastAsia="zh-CN" w:bidi="hi-IN"/>
        </w:rPr>
        <w:t>with no user intervention</w:t>
      </w:r>
      <w:r>
        <w:rPr>
          <w:rFonts w:eastAsia="Times New Roman" w:cs="Times New Roman"/>
          <w:b w:val="false"/>
          <w:bCs w:val="false"/>
          <w:color w:val="auto"/>
          <w:kern w:val="2"/>
          <w:sz w:val="19"/>
          <w:szCs w:val="19"/>
          <w:lang w:val="en-US" w:eastAsia="zh-CN" w:bidi="hi-IN"/>
        </w:rPr>
        <w:t xml:space="preserve">. </w:t>
      </w:r>
      <w:r>
        <w:rPr>
          <w:rFonts w:eastAsia="Times New Roman" w:cs="Times New Roman"/>
          <w:b/>
          <w:bCs/>
          <w:color w:val="auto"/>
          <w:kern w:val="2"/>
          <w:sz w:val="19"/>
          <w:szCs w:val="19"/>
          <w:lang w:val="en-US" w:eastAsia="zh-CN" w:bidi="hi-IN"/>
        </w:rPr>
        <w:t>(A)</w:t>
      </w:r>
      <w:r>
        <w:rPr>
          <w:rFonts w:eastAsia="Times New Roman" w:cs="Times New Roman"/>
          <w:b w:val="false"/>
          <w:bCs w:val="false"/>
          <w:color w:val="auto"/>
          <w:kern w:val="2"/>
          <w:sz w:val="19"/>
          <w:szCs w:val="19"/>
          <w:lang w:val="en-US" w:eastAsia="zh-CN" w:bidi="hi-IN"/>
        </w:rPr>
        <w:t xml:space="preserve"> Helix association ΔH° determined using meltR.A followed by the BLtrimmer to fit modeled data, versus the known ΔH°. Vertical error bars represent 95% confidence intervals calculated using the BLtrimmer. </w:t>
      </w:r>
      <w:r>
        <w:rPr>
          <w:rFonts w:eastAsia="Times New Roman" w:cs="Times New Roman"/>
          <w:b/>
          <w:bCs/>
          <w:color w:val="auto"/>
          <w:kern w:val="2"/>
          <w:sz w:val="19"/>
          <w:szCs w:val="19"/>
          <w:lang w:val="en-US" w:eastAsia="zh-CN" w:bidi="hi-IN"/>
        </w:rPr>
        <w:t>(B)</w:t>
      </w:r>
      <w:r>
        <w:rPr>
          <w:rFonts w:eastAsia="Times New Roman" w:cs="Times New Roman"/>
          <w:b w:val="false"/>
          <w:bCs w:val="false"/>
          <w:color w:val="auto"/>
          <w:kern w:val="2"/>
          <w:sz w:val="19"/>
          <w:szCs w:val="19"/>
          <w:lang w:val="en-US" w:eastAsia="zh-CN" w:bidi="hi-IN"/>
        </w:rPr>
        <w:t xml:space="preserve"> Helix association ΔS°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(C)</w:t>
      </w:r>
      <w:r>
        <w:rPr>
          <w:rFonts w:eastAsia="Times New Roman" w:cs="Times New Roman"/>
          <w:b w:val="false"/>
          <w:bCs w:val="false"/>
          <w:color w:val="auto"/>
          <w:kern w:val="2"/>
          <w:sz w:val="19"/>
          <w:szCs w:val="19"/>
          <w:lang w:val="en-US" w:eastAsia="zh-CN" w:bidi="hi-IN"/>
        </w:rPr>
        <w:t xml:space="preserve"> Helix association ΔG°</w:t>
      </w:r>
      <w:r>
        <w:rPr>
          <w:rFonts w:eastAsia="Times New Roman" w:cs="Times New Roman"/>
          <w:b w:val="false"/>
          <w:bCs w:val="false"/>
          <w:color w:val="auto"/>
          <w:kern w:val="2"/>
          <w:sz w:val="19"/>
          <w:szCs w:val="19"/>
          <w:vertAlign w:val="subscript"/>
          <w:lang w:val="en-US" w:eastAsia="zh-CN" w:bidi="hi-IN"/>
        </w:rPr>
        <w:t>37</w:t>
      </w:r>
      <w:r>
        <w:rPr>
          <w:rFonts w:eastAsia="Times New Roman" w:cs="Times New Roman"/>
          <w:b w:val="false"/>
          <w:bCs w:val="false"/>
          <w:color w:val="auto"/>
          <w:kern w:val="2"/>
          <w:sz w:val="19"/>
          <w:szCs w:val="19"/>
          <w:lang w:val="en-US" w:eastAsia="zh-CN" w:bidi="hi-IN"/>
        </w:rPr>
        <w:t xml:space="preserve"> determined using meltR.A followed by the BLtrimmer to fit modeled data, versus the known ΔH°. Error bars are the same as A. </w:t>
      </w:r>
      <w:r>
        <w:rPr>
          <w:rFonts w:eastAsia="Times New Roman" w:cs="Times New Roman"/>
          <w:b/>
          <w:bCs/>
          <w:color w:val="auto"/>
          <w:kern w:val="2"/>
          <w:sz w:val="19"/>
          <w:szCs w:val="19"/>
          <w:lang w:val="en-US" w:eastAsia="zh-CN" w:bidi="hi-IN"/>
        </w:rPr>
        <w:t>(D)</w:t>
      </w:r>
      <w:r>
        <w:rPr>
          <w:rFonts w:eastAsia="Times New Roman" w:cs="Times New Roman"/>
          <w:b w:val="false"/>
          <w:bCs w:val="false"/>
          <w:color w:val="auto"/>
          <w:kern w:val="2"/>
          <w:sz w:val="19"/>
          <w:szCs w:val="19"/>
          <w:lang w:val="en-US" w:eastAsia="zh-CN" w:bidi="hi-IN"/>
        </w:rPr>
        <w:t xml:space="preserve"> T</w:t>
      </w:r>
      <w:r>
        <w:rPr>
          <w:rFonts w:eastAsia="Times New Roman" w:cs="Times New Roman"/>
          <w:b w:val="false"/>
          <w:bCs w:val="false"/>
          <w:color w:val="auto"/>
          <w:kern w:val="2"/>
          <w:sz w:val="19"/>
          <w:szCs w:val="19"/>
          <w:vertAlign w:val="subscript"/>
          <w:lang w:val="en-US" w:eastAsia="zh-CN" w:bidi="hi-IN"/>
        </w:rPr>
        <w:t>m</w:t>
      </w:r>
      <w:r>
        <w:rPr>
          <w:rFonts w:eastAsia="Times New Roman" w:cs="Times New Roman"/>
          <w:b w:val="false"/>
          <w:bCs w:val="false"/>
          <w:color w:val="auto"/>
          <w:kern w:val="2"/>
          <w:sz w:val="19"/>
          <w:szCs w:val="19"/>
          <w:lang w:val="en-US" w:eastAsia="zh-CN" w:bidi="hi-IN"/>
        </w:rPr>
        <w:t xml:space="preserve"> at 0.1 mM determined using meltR.A followed by the BLtrimmer to fit modeled data, versus the known ΔH°. Error bars are the same as A.</w:t>
      </w:r>
    </w:p>
    <w:p>
      <w:pPr>
        <w:pStyle w:val="Normal"/>
        <w:spacing w:before="0" w:after="72"/>
        <w:jc w:val="both"/>
        <w:rPr/>
      </w:pPr>
      <w:r>
        <w:rPr>
          <w:rFonts w:eastAsia="Times New Roman" w:cs="Times New Roman"/>
          <w:b w:val="false"/>
          <w:bCs w:val="false"/>
          <w:color w:val="auto"/>
          <w:kern w:val="2"/>
          <w:sz w:val="19"/>
          <w:szCs w:val="19"/>
          <w:lang w:val="en-US" w:eastAsia="zh-CN" w:bidi="hi-IN"/>
        </w:rPr>
        <w:drawing>
          <wp:inline distT="0" distB="0" distL="0" distR="0">
            <wp:extent cx="5943600" cy="397383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3973830"/>
                    </a:xfrm>
                    <a:prstGeom prst="rect">
                      <a:avLst/>
                    </a:prstGeom>
                  </pic:spPr>
                </pic:pic>
              </a:graphicData>
            </a:graphic>
          </wp:inline>
        </w:drawing>
      </w:r>
    </w:p>
    <w:p>
      <w:pPr>
        <w:pStyle w:val="VDTableTitle"/>
        <w:spacing w:lineRule="auto" w:line="240" w:before="0" w:after="72"/>
        <w:jc w:val="both"/>
        <w:rPr/>
      </w:pPr>
      <w:bookmarkStart w:id="9" w:name="_Toc10851366811"/>
      <w:bookmarkStart w:id="10" w:name="_Toc11179406011"/>
      <w:r>
        <w:rPr>
          <w:rStyle w:val="Heading3Char"/>
          <w:rFonts w:eastAsia="Times New Roman" w:cs="Times New Roman"/>
          <w:b/>
          <w:bCs/>
          <w:color w:val="auto"/>
          <w:kern w:val="2"/>
          <w:sz w:val="19"/>
          <w:szCs w:val="19"/>
          <w:lang w:val="en-US" w:eastAsia="zh-CN" w:bidi="hi-IN"/>
        </w:rPr>
        <w:t xml:space="preserve">Figure </w:t>
      </w:r>
      <w:r>
        <w:rPr>
          <w:rStyle w:val="Heading3Char"/>
          <w:rFonts w:eastAsia="Times New Roman" w:cs="Times New Roman"/>
          <w:b/>
          <w:bCs/>
          <w:color w:val="auto"/>
          <w:kern w:val="2"/>
          <w:sz w:val="19"/>
          <w:szCs w:val="19"/>
          <w:lang w:val="en-US" w:eastAsia="zh-CN" w:bidi="hi-IN"/>
        </w:rPr>
        <w:t>S</w:t>
      </w:r>
      <w:bookmarkEnd w:id="9"/>
      <w:bookmarkEnd w:id="10"/>
      <w:r>
        <w:rPr>
          <w:rStyle w:val="Heading3Char"/>
          <w:rFonts w:eastAsia="Times New Roman" w:cs="Times New Roman"/>
          <w:b/>
          <w:bCs/>
          <w:color w:val="auto"/>
          <w:kern w:val="2"/>
          <w:sz w:val="19"/>
          <w:szCs w:val="19"/>
          <w:lang w:val="en-US" w:eastAsia="zh-CN" w:bidi="hi-IN"/>
        </w:rPr>
        <w:t>4</w:t>
      </w:r>
      <w:r>
        <w:rPr>
          <w:rFonts w:eastAsia="Times New Roman" w:cs="Times New Roman"/>
          <w:b w:val="false"/>
          <w:bCs w:val="false"/>
          <w:color w:val="auto"/>
          <w:kern w:val="2"/>
          <w:sz w:val="19"/>
          <w:szCs w:val="19"/>
          <w:lang w:val="en-US" w:eastAsia="zh-CN" w:bidi="hi-IN"/>
        </w:rPr>
        <w:t xml:space="preserve">  </w:t>
      </w:r>
      <w:r>
        <w:rPr>
          <w:rFonts w:eastAsia="Times New Roman" w:cs="Times New Roman"/>
          <w:b w:val="false"/>
          <w:bCs w:val="false"/>
          <w:color w:val="auto"/>
          <w:kern w:val="2"/>
          <w:sz w:val="19"/>
          <w:szCs w:val="19"/>
          <w:lang w:val="en-US" w:eastAsia="zh-CN" w:bidi="hi-IN"/>
        </w:rPr>
        <w:t>Agreement between MeltWin and MeltR methods and the consensus nearest neighbor model.</w:t>
      </w:r>
    </w:p>
    <w:p>
      <w:pPr>
        <w:pStyle w:val="Normal"/>
        <w:spacing w:lineRule="auto" w:line="480"/>
        <w:jc w:val="both"/>
        <w:rPr/>
      </w:pPr>
      <w:commentRangeStart w:id="13"/>
      <w:r>
        <w:rPr/>
        <w:drawing>
          <wp:inline distT="0" distB="0" distL="0" distR="0">
            <wp:extent cx="6332220" cy="437578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32220" cy="4375785"/>
                    </a:xfrm>
                    <a:prstGeom prst="rect">
                      <a:avLst/>
                    </a:prstGeom>
                  </pic:spPr>
                </pic:pic>
              </a:graphicData>
            </a:graphic>
          </wp:inline>
        </w:drawing>
      </w:r>
      <w:commentRangeEnd w:id="13"/>
      <w:r>
        <w:commentReference w:id="13"/>
      </w:r>
      <w:r>
        <w:rPr/>
      </w:r>
    </w:p>
    <w:p>
      <w:pPr>
        <w:pStyle w:val="Normal"/>
        <w:spacing w:lineRule="auto" w:line="480" w:before="0" w:after="72"/>
        <w:jc w:val="both"/>
        <w:rPr/>
      </w:pPr>
      <w:r>
        <w:rPr>
          <w:rFonts w:eastAsia="Times New Roman" w:cs="Times New Roman"/>
          <w:b/>
          <w:bCs/>
          <w:color w:val="auto"/>
          <w:kern w:val="2"/>
          <w:sz w:val="22"/>
          <w:szCs w:val="22"/>
          <w:lang w:val="en-US" w:eastAsia="zh-CN" w:bidi="hi-IN"/>
        </w:rPr>
        <w:t xml:space="preserve">Figure </w:t>
      </w:r>
      <w:r>
        <w:rPr>
          <w:rFonts w:eastAsia="Times New Roman" w:cs="Times New Roman"/>
          <w:b/>
          <w:bCs/>
          <w:color w:val="auto"/>
          <w:kern w:val="2"/>
          <w:sz w:val="22"/>
          <w:szCs w:val="22"/>
          <w:lang w:val="en-US" w:eastAsia="zh-CN" w:bidi="hi-IN"/>
        </w:rPr>
        <w:t>S</w:t>
      </w:r>
      <w:r>
        <w:rPr>
          <w:rFonts w:eastAsia="Times New Roman" w:cs="Times New Roman"/>
          <w:b/>
          <w:bCs/>
          <w:color w:val="auto"/>
          <w:kern w:val="2"/>
          <w:sz w:val="22"/>
          <w:szCs w:val="22"/>
          <w:lang w:val="en-US" w:eastAsia="zh-CN" w:bidi="hi-IN"/>
        </w:rPr>
        <w:t xml:space="preserve">3 </w:t>
      </w:r>
      <w:r>
        <w:rPr>
          <w:rFonts w:eastAsia="Times New Roman" w:cs="Times New Roman"/>
          <w:b w:val="false"/>
          <w:bCs w:val="false"/>
          <w:color w:val="auto"/>
          <w:kern w:val="2"/>
          <w:sz w:val="22"/>
          <w:szCs w:val="22"/>
          <w:lang w:val="en-US" w:eastAsia="zh-CN" w:bidi="hi-IN"/>
        </w:rPr>
        <w:t xml:space="preserve"> The MeltR BLtrimmer applies an ensemble analysis to calculate optimum helix association energies.</w:t>
      </w:r>
      <w:r>
        <w:rPr>
          <w:rFonts w:eastAsia="Times New Roman" w:cs="Times New Roman"/>
          <w:b/>
          <w:bCs/>
          <w:color w:val="auto"/>
          <w:kern w:val="2"/>
          <w:sz w:val="22"/>
          <w:szCs w:val="22"/>
          <w:lang w:val="en-US" w:eastAsia="zh-CN" w:bidi="hi-IN"/>
        </w:rPr>
        <w:t xml:space="preserve"> (A)</w:t>
      </w:r>
      <w:r>
        <w:rPr>
          <w:rFonts w:eastAsia="Times New Roman" w:cs="Times New Roman"/>
          <w:b w:val="false"/>
          <w:bCs w:val="false"/>
          <w:color w:val="auto"/>
          <w:kern w:val="2"/>
          <w:sz w:val="22"/>
          <w:szCs w:val="22"/>
          <w:lang w:val="en-US" w:eastAsia="zh-CN" w:bidi="hi-IN"/>
        </w:rPr>
        <w:t xml:space="preserve"> A MeltR fit object, produced by fitting absorbance data with meltR.A, is used to calculate the fraction of strands in the helical state (</w:t>
      </w:r>
      <w:r>
        <w:rPr>
          <w:rFonts w:eastAsia="Times New Roman" w:cs="Times New Roman"/>
          <w:b w:val="false"/>
          <w:bCs w:val="false"/>
          <w:i/>
          <w:iCs/>
          <w:color w:val="auto"/>
          <w:kern w:val="2"/>
          <w:sz w:val="22"/>
          <w:szCs w:val="22"/>
          <w:lang w:val="en-US" w:eastAsia="zh-CN" w:bidi="hi-IN"/>
        </w:rPr>
        <w:t>f</w:t>
      </w:r>
      <w:r>
        <w:rPr>
          <w:rFonts w:eastAsia="Times New Roman" w:cs="Times New Roman"/>
          <w:b w:val="false"/>
          <w:bCs w:val="false"/>
          <w:color w:val="auto"/>
          <w:kern w:val="2"/>
          <w:sz w:val="22"/>
          <w:szCs w:val="22"/>
          <w:lang w:val="en-US" w:eastAsia="zh-CN" w:bidi="hi-IN"/>
        </w:rPr>
        <w:t xml:space="preserve">) as a function of temperature. </w:t>
      </w:r>
      <w:r>
        <w:rPr>
          <w:rFonts w:eastAsia="Times New Roman" w:cs="Times New Roman"/>
          <w:b/>
          <w:bCs/>
          <w:color w:val="auto"/>
          <w:kern w:val="2"/>
          <w:sz w:val="22"/>
          <w:szCs w:val="22"/>
          <w:lang w:val="en-US" w:eastAsia="zh-CN" w:bidi="hi-IN"/>
        </w:rPr>
        <w:t>(B)</w:t>
      </w:r>
      <w:r>
        <w:rPr>
          <w:rFonts w:eastAsia="Times New Roman" w:cs="Times New Roman"/>
          <w:b w:val="false"/>
          <w:bCs w:val="false"/>
          <w:color w:val="auto"/>
          <w:kern w:val="2"/>
          <w:sz w:val="22"/>
          <w:szCs w:val="22"/>
          <w:lang w:val="en-US" w:eastAsia="zh-CN" w:bidi="hi-IN"/>
        </w:rPr>
        <w:t xml:space="preserve"> The “no trim” temperature range is identified where </w:t>
      </w:r>
      <w:r>
        <w:rPr>
          <w:rFonts w:eastAsia="Times New Roman" w:cs="Times New Roman"/>
          <w:b w:val="false"/>
          <w:bCs w:val="false"/>
          <w:i/>
          <w:iCs/>
          <w:color w:val="auto"/>
          <w:kern w:val="2"/>
          <w:sz w:val="22"/>
          <w:szCs w:val="22"/>
          <w:lang w:val="en-US" w:eastAsia="zh-CN" w:bidi="hi-IN"/>
        </w:rPr>
        <w:t>f</w:t>
      </w:r>
      <w:r>
        <w:rPr>
          <w:rFonts w:eastAsia="Times New Roman" w:cs="Times New Roman"/>
          <w:b w:val="false"/>
          <w:bCs w:val="false"/>
          <w:color w:val="auto"/>
          <w:kern w:val="2"/>
          <w:sz w:val="22"/>
          <w:szCs w:val="22"/>
          <w:lang w:val="en-US" w:eastAsia="zh-CN" w:bidi="hi-IN"/>
        </w:rPr>
        <w:t xml:space="preserve"> is &gt;0.1 and &lt; 0.9. </w:t>
      </w:r>
      <w:r>
        <w:rPr>
          <w:rFonts w:eastAsia="Times New Roman" w:cs="Times New Roman"/>
          <w:b/>
          <w:bCs/>
          <w:color w:val="auto"/>
          <w:kern w:val="2"/>
          <w:sz w:val="22"/>
          <w:szCs w:val="22"/>
          <w:lang w:val="en-US" w:eastAsia="zh-CN" w:bidi="hi-IN"/>
        </w:rPr>
        <w:t>(C)</w:t>
      </w:r>
      <w:r>
        <w:rPr>
          <w:rFonts w:eastAsia="Times New Roman" w:cs="Times New Roman"/>
          <w:b w:val="false"/>
          <w:bCs w:val="false"/>
          <w:color w:val="auto"/>
          <w:kern w:val="2"/>
          <w:sz w:val="22"/>
          <w:szCs w:val="22"/>
          <w:lang w:val="en-US" w:eastAsia="zh-CN" w:bidi="hi-IN"/>
        </w:rPr>
        <w:t xml:space="preserve"> Baselines are added to the no trim range in 5 °C steps. </w:t>
      </w:r>
      <w:r>
        <w:rPr>
          <w:rFonts w:eastAsia="Times New Roman" w:cs="Times New Roman"/>
          <w:b/>
          <w:bCs/>
          <w:color w:val="auto"/>
          <w:kern w:val="2"/>
          <w:sz w:val="22"/>
          <w:szCs w:val="22"/>
          <w:lang w:val="en-US" w:eastAsia="zh-CN" w:bidi="hi-IN"/>
        </w:rPr>
        <w:t>(D)</w:t>
      </w:r>
      <w:r>
        <w:rPr>
          <w:rFonts w:eastAsia="Times New Roman" w:cs="Times New Roman"/>
          <w:b w:val="false"/>
          <w:bCs w:val="false"/>
          <w:color w:val="auto"/>
          <w:kern w:val="2"/>
          <w:sz w:val="22"/>
          <w:szCs w:val="22"/>
          <w:lang w:val="en-US" w:eastAsia="zh-CN" w:bidi="hi-IN"/>
        </w:rPr>
        <w:t xml:space="preserve"> Ranges from each sample are exhaustively permuted to generate baseline combinations. 1000 baseline combinations are randomly selected. </w:t>
      </w:r>
      <w:r>
        <w:rPr>
          <w:rFonts w:eastAsia="Times New Roman" w:cs="Times New Roman"/>
          <w:b/>
          <w:bCs/>
          <w:color w:val="auto"/>
          <w:kern w:val="2"/>
          <w:sz w:val="22"/>
          <w:szCs w:val="22"/>
          <w:lang w:val="en-US" w:eastAsia="zh-CN" w:bidi="hi-IN"/>
        </w:rPr>
        <w:t>(E)</w:t>
      </w:r>
      <w:r>
        <w:rPr>
          <w:rFonts w:eastAsia="Times New Roman" w:cs="Times New Roman"/>
          <w:b w:val="false"/>
          <w:bCs w:val="false"/>
          <w:color w:val="auto"/>
          <w:kern w:val="2"/>
          <w:sz w:val="22"/>
          <w:szCs w:val="22"/>
          <w:lang w:val="en-US" w:eastAsia="zh-CN" w:bidi="hi-IN"/>
        </w:rPr>
        <w:t xml:space="preserve"> Folding energies are determined for each baseline combination using method 1 (average of fitting samples individually) and method 2 (van’t Hoff analysis). </w:t>
      </w:r>
      <w:r>
        <w:rPr>
          <w:rFonts w:eastAsia="Times New Roman" w:cs="Times New Roman"/>
          <w:b/>
          <w:bCs/>
          <w:color w:val="auto"/>
          <w:kern w:val="2"/>
          <w:sz w:val="22"/>
          <w:szCs w:val="22"/>
          <w:lang w:val="en-US" w:eastAsia="zh-CN" w:bidi="hi-IN"/>
        </w:rPr>
        <w:t xml:space="preserve">(F) </w:t>
      </w:r>
      <w:r>
        <w:rPr>
          <w:rFonts w:eastAsia="Times New Roman" w:cs="Times New Roman"/>
          <w:b w:val="false"/>
          <w:bCs w:val="false"/>
          <w:color w:val="auto"/>
          <w:kern w:val="2"/>
          <w:sz w:val="22"/>
          <w:szCs w:val="22"/>
          <w:lang w:val="en-US" w:eastAsia="zh-CN" w:bidi="hi-IN"/>
        </w:rPr>
        <w:t>Baseline combinations are assessed for ΔH° agreement for method 1 and ΔH° agreement between methods 1 and 2 to identify the baseline combinations that have the highest internal consistency.</w:t>
      </w:r>
      <w:r>
        <w:rPr>
          <w:rFonts w:eastAsia="Times New Roman" w:cs="Times New Roman"/>
          <w:b/>
          <w:bCs/>
          <w:color w:val="auto"/>
          <w:kern w:val="2"/>
          <w:sz w:val="22"/>
          <w:szCs w:val="22"/>
          <w:lang w:val="en-US" w:eastAsia="zh-CN" w:bidi="hi-IN"/>
        </w:rPr>
        <w:t xml:space="preserve"> (G)</w:t>
      </w:r>
      <w:r>
        <w:rPr>
          <w:rFonts w:eastAsia="Times New Roman" w:cs="Times New Roman"/>
          <w:b w:val="false"/>
          <w:bCs w:val="false"/>
          <w:color w:val="auto"/>
          <w:kern w:val="2"/>
          <w:sz w:val="22"/>
          <w:szCs w:val="22"/>
          <w:lang w:val="en-US" w:eastAsia="zh-CN" w:bidi="hi-IN"/>
        </w:rPr>
        <w:t xml:space="preserve"> The top 25% most internally consistent baseline combinations are selected for ensemble analysis. </w:t>
      </w:r>
      <w:r>
        <w:rPr>
          <w:rFonts w:eastAsia="Times New Roman" w:cs="Times New Roman"/>
          <w:b/>
          <w:bCs/>
          <w:color w:val="auto"/>
          <w:kern w:val="2"/>
          <w:sz w:val="22"/>
          <w:szCs w:val="22"/>
          <w:lang w:val="en-US" w:eastAsia="zh-CN" w:bidi="hi-IN"/>
        </w:rPr>
        <w:t>(H)</w:t>
      </w:r>
      <w:r>
        <w:rPr>
          <w:rFonts w:eastAsia="Times New Roman" w:cs="Times New Roman"/>
          <w:b w:val="false"/>
          <w:bCs w:val="false"/>
          <w:color w:val="auto"/>
          <w:kern w:val="2"/>
          <w:sz w:val="22"/>
          <w:szCs w:val="22"/>
          <w:lang w:val="en-US" w:eastAsia="zh-CN" w:bidi="hi-IN"/>
        </w:rPr>
        <w:t xml:space="preserve"> The ensemble of baseline combinations is passed to meltR.A and fit. The results are treated statistically to determine folding energies and 95% confidence intervals.</w:t>
      </w:r>
      <w:r>
        <w:br w:type="page"/>
      </w:r>
    </w:p>
    <w:p>
      <w:pPr>
        <w:pStyle w:val="Heading1"/>
        <w:ind w:left="0" w:hanging="0"/>
        <w:jc w:val="both"/>
        <w:rPr/>
      </w:pPr>
      <w:bookmarkStart w:id="11" w:name="__RefHeading___Toc99308_3449495920"/>
      <w:bookmarkStart w:id="12" w:name="_Toc108513679"/>
      <w:bookmarkStart w:id="13" w:name="_Toc111794072"/>
      <w:bookmarkEnd w:id="11"/>
      <w:r>
        <w:rPr/>
        <w:t>Supplementary information tables</w:t>
      </w:r>
      <w:bookmarkEnd w:id="12"/>
      <w:bookmarkEnd w:id="13"/>
    </w:p>
    <w:p>
      <w:pPr>
        <w:pStyle w:val="Normal"/>
        <w:jc w:val="both"/>
        <w:rPr/>
      </w:pPr>
      <w:r>
        <w:rPr/>
      </w:r>
    </w:p>
    <w:p>
      <w:pPr>
        <w:pStyle w:val="Normal"/>
        <w:jc w:val="both"/>
        <w:rPr/>
      </w:pPr>
      <w:bookmarkStart w:id="14" w:name="_Toc1085136802"/>
      <w:bookmarkStart w:id="15" w:name="_Toc1117940732"/>
      <w:r>
        <w:rPr>
          <w:rStyle w:val="Heading3Char"/>
        </w:rPr>
        <w:t>SI Table 1</w:t>
      </w:r>
      <w:bookmarkEnd w:id="14"/>
      <w:bookmarkEnd w:id="15"/>
      <w:r>
        <w:rPr>
          <w:rStyle w:val="Heading3Char"/>
          <w:b w:val="false"/>
          <w:bCs w:val="false"/>
        </w:rPr>
        <w:t xml:space="preserve">  Precanned BLtrimmer results table are written as a comma separated value file.</w:t>
      </w:r>
    </w:p>
    <w:tbl>
      <w:tblPr>
        <w:tblW w:w="9360" w:type="dxa"/>
        <w:jc w:val="left"/>
        <w:tblInd w:w="55" w:type="dxa"/>
        <w:tblLayout w:type="fixed"/>
        <w:tblCellMar>
          <w:top w:w="55" w:type="dxa"/>
          <w:left w:w="55" w:type="dxa"/>
          <w:bottom w:w="55" w:type="dxa"/>
          <w:right w:w="55" w:type="dxa"/>
        </w:tblCellMar>
      </w:tblPr>
      <w:tblGrid>
        <w:gridCol w:w="1037"/>
        <w:gridCol w:w="761"/>
        <w:gridCol w:w="1351"/>
        <w:gridCol w:w="809"/>
        <w:gridCol w:w="1350"/>
        <w:gridCol w:w="806"/>
        <w:gridCol w:w="1271"/>
        <w:gridCol w:w="717"/>
        <w:gridCol w:w="1257"/>
      </w:tblGrid>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pPr>
            <w:r>
              <w:rPr>
                <w:rStyle w:val="Heading3Char"/>
                <w:b w:val="false"/>
                <w:bCs w:val="false"/>
                <w:sz w:val="14"/>
                <w:szCs w:val="14"/>
              </w:rPr>
              <w:t>Method</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br/>
              <w:t>(kcal/mol)</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ΔH°</w:t>
            </w:r>
          </w:p>
          <w:p>
            <w:pPr>
              <w:pStyle w:val="Normal"/>
              <w:widowControl w:val="false"/>
              <w:tabs>
                <w:tab w:val="clear" w:pos="720"/>
              </w:tabs>
              <w:jc w:val="center"/>
              <w:rPr>
                <w:sz w:val="14"/>
                <w:szCs w:val="14"/>
              </w:rPr>
            </w:pPr>
            <w:r>
              <w:rPr>
                <w:sz w:val="14"/>
                <w:szCs w:val="14"/>
              </w:rPr>
              <w:t>95% confidence</w:t>
              <w:br/>
              <w:t xml:space="preserve"> interval</w:t>
              <w:br/>
              <w:t xml:space="preserve"> (kcal/mol)</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br/>
              <w:t>(cal/mol/K)</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ΔS°</w:t>
            </w:r>
          </w:p>
          <w:p>
            <w:pPr>
              <w:pStyle w:val="Normal"/>
              <w:widowControl w:val="false"/>
              <w:tabs>
                <w:tab w:val="clear" w:pos="720"/>
              </w:tabs>
              <w:jc w:val="center"/>
              <w:rPr>
                <w:sz w:val="14"/>
                <w:szCs w:val="14"/>
              </w:rPr>
            </w:pPr>
            <w:r>
              <w:rPr>
                <w:sz w:val="14"/>
                <w:szCs w:val="14"/>
              </w:rPr>
              <w:t>95% confidence</w:t>
              <w:br/>
              <w:t>interval</w:t>
              <w:br/>
              <w:t xml:space="preserve"> (cal/mol/K)</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r>
              <w:rPr>
                <w:sz w:val="14"/>
                <w:szCs w:val="14"/>
              </w:rPr>
              <w:br/>
              <w:t>(kcal/mol)</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position w:val="0"/>
                <w:sz w:val="14"/>
                <w:sz w:val="14"/>
                <w:szCs w:val="14"/>
                <w:vertAlign w:val="baseline"/>
              </w:rPr>
              <w:t>ΔG°</w:t>
            </w:r>
            <w:r>
              <w:rPr>
                <w:sz w:val="14"/>
                <w:szCs w:val="14"/>
                <w:vertAlign w:val="subscript"/>
              </w:rPr>
              <w:t>37</w:t>
            </w:r>
          </w:p>
          <w:p>
            <w:pPr>
              <w:pStyle w:val="Normal"/>
              <w:widowControl w:val="false"/>
              <w:tabs>
                <w:tab w:val="clear" w:pos="720"/>
              </w:tabs>
              <w:jc w:val="center"/>
              <w:rPr>
                <w:sz w:val="14"/>
                <w:szCs w:val="14"/>
              </w:rPr>
            </w:pPr>
            <w:r>
              <w:rPr>
                <w:sz w:val="14"/>
                <w:szCs w:val="14"/>
              </w:rPr>
              <w:t>95% confidence</w:t>
              <w:br/>
              <w:t>interval</w:t>
              <w:br/>
              <w:t xml:space="preserve"> (kcal/mol)</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r>
              <w:rPr>
                <w:sz w:val="14"/>
                <w:szCs w:val="14"/>
              </w:rPr>
              <w:br/>
              <w:t>(°C)</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sz w:val="14"/>
                <w:szCs w:val="14"/>
              </w:rPr>
              <w:t>95% confidence</w:t>
              <w:br/>
              <w:t>interval</w:t>
              <w:br/>
              <w:t xml:space="preserve"> (°C)</w:t>
            </w:r>
          </w:p>
        </w:tc>
      </w:tr>
      <w:tr>
        <w:trPr>
          <w:trHeight w:val="256" w:hRule="atLeast"/>
        </w:trPr>
        <w:tc>
          <w:tcPr>
            <w:tcW w:w="103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 individual fits</w:t>
            </w:r>
          </w:p>
        </w:tc>
        <w:tc>
          <w:tcPr>
            <w:tcW w:w="76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-57.03</w:t>
            </w:r>
          </w:p>
        </w:tc>
        <w:tc>
          <w:tcPr>
            <w:tcW w:w="135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-58.66 to -55.08</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-161.73</w:t>
            </w:r>
          </w:p>
        </w:tc>
        <w:tc>
          <w:tcPr>
            <w:tcW w:w="135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-166.82 to -155.52</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-6.91 to -6.84</w:t>
            </w:r>
          </w:p>
        </w:tc>
        <w:tc>
          <w:tcPr>
            <w:tcW w:w="71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43.34 to 43.84</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 Tm versus ln[Ct]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-57.2</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-58.75 to -54.69</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-162.27</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-167.23 to -154.31</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-6.87</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-6.9 to -6.83</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43.63</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43.45 to 43.86</w:t>
            </w:r>
          </w:p>
        </w:tc>
      </w:tr>
      <w:tr>
        <w:trPr>
          <w:trHeight w:val="256" w:hRule="atLeast"/>
        </w:trPr>
        <w:tc>
          <w:tcPr>
            <w:tcW w:w="103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3 Global fit</w:t>
            </w:r>
          </w:p>
        </w:tc>
        <w:tc>
          <w:tcPr>
            <w:tcW w:w="761"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-56.89</w:t>
            </w:r>
          </w:p>
        </w:tc>
        <w:tc>
          <w:tcPr>
            <w:tcW w:w="135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-60.26 to -54.15</w:t>
            </w:r>
          </w:p>
        </w:tc>
        <w:tc>
          <w:tcPr>
            <w:tcW w:w="80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-161.08</w:t>
            </w:r>
          </w:p>
        </w:tc>
        <w:tc>
          <w:tcPr>
            <w:tcW w:w="135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-171.78 to -152.38</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-6.93</w:t>
            </w:r>
          </w:p>
        </w:tc>
        <w:tc>
          <w:tcPr>
            <w:tcW w:w="1271"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-7.05 to -6.84</w:t>
            </w:r>
          </w:p>
        </w:tc>
        <w:tc>
          <w:tcPr>
            <w:tcW w:w="7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43.99</w:t>
            </w:r>
          </w:p>
        </w:tc>
        <w:tc>
          <w:tcPr>
            <w:tcW w:w="125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43.37 to 44.52</w:t>
            </w:r>
          </w:p>
        </w:tc>
      </w:tr>
    </w:tbl>
    <w:p>
      <w:pPr>
        <w:sectPr>
          <w:footerReference w:type="default" r:id="rId8"/>
          <w:type w:val="nextPage"/>
          <w:pgSz w:w="12240" w:h="15840"/>
          <w:pgMar w:left="1440" w:right="1440" w:gutter="0" w:header="0" w:top="777" w:footer="720" w:bottom="1440"/>
          <w:pgNumType w:fmt="decimal"/>
          <w:formProt w:val="false"/>
          <w:textDirection w:val="lrTb"/>
          <w:docGrid w:type="default" w:linePitch="100" w:charSpace="8192"/>
        </w:sectPr>
        <w:pStyle w:val="Normal"/>
        <w:rPr/>
      </w:pPr>
      <w:r>
        <w:rPr>
          <w:rStyle w:val="Heading3Char"/>
          <w:b w:val="false"/>
          <w:bCs w:val="false"/>
          <w:vertAlign w:val="superscript"/>
        </w:rPr>
        <w:t>a</w:t>
      </w:r>
      <w:r>
        <w:rPr>
          <w:rStyle w:val="Heading3Char"/>
          <w:b w:val="false"/>
          <w:bCs w:val="false"/>
        </w:rPr>
        <w:t>Expectation maximized T</w:t>
      </w:r>
      <w:r>
        <w:rPr>
          <w:rStyle w:val="Heading3Char"/>
          <w:b w:val="false"/>
          <w:bCs w:val="false"/>
          <w:vertAlign w:val="subscript"/>
        </w:rPr>
        <w:t>m</w:t>
      </w:r>
      <w:r>
        <w:rPr>
          <w:rStyle w:val="Heading3Char"/>
          <w:b w:val="false"/>
          <w:bCs w:val="false"/>
        </w:rPr>
        <w:t xml:space="preserve"> at a C</w:t>
      </w:r>
      <w:r>
        <w:rPr>
          <w:rStyle w:val="Heading3Char"/>
          <w:b w:val="false"/>
          <w:bCs w:val="false"/>
          <w:vertAlign w:val="subscript"/>
        </w:rPr>
        <w:t>t</w:t>
      </w:r>
      <w:r>
        <w:rPr>
          <w:rStyle w:val="Heading3Char"/>
          <w:b w:val="false"/>
          <w:bCs w:val="false"/>
        </w:rPr>
        <w:t xml:space="preserve"> of 0.1 mM.</w:t>
      </w:r>
    </w:p>
    <w:p>
      <w:pPr>
        <w:pStyle w:val="Normal"/>
        <w:widowControl w:val="false"/>
        <w:suppressAutoHyphens w:val="true"/>
        <w:bidi w:val="0"/>
        <w:spacing w:before="0" w:after="0"/>
        <w:ind w:left="720" w:right="0" w:hanging="0"/>
        <w:jc w:val="both"/>
        <w:textAlignment w:val="baseline"/>
        <w:rPr/>
      </w:pPr>
      <w:bookmarkStart w:id="16" w:name="_Toc111794073"/>
      <w:bookmarkStart w:id="17" w:name="_Toc108513680"/>
      <w:r>
        <w:rPr>
          <w:rStyle w:val="Heading3Char"/>
        </w:rPr>
        <w:t>SI Table 2</w:t>
      </w:r>
      <w:bookmarkEnd w:id="16"/>
      <w:bookmarkEnd w:id="17"/>
      <w:r>
        <w:rPr/>
        <w:t xml:space="preserve">  BLtrimmer results comparing MeltR methods 1, 2, and 3.</w:t>
      </w:r>
    </w:p>
    <w:tbl>
      <w:tblPr>
        <w:tblW w:w="13566" w:type="dxa"/>
        <w:jc w:val="center"/>
        <w:tblInd w:w="0" w:type="dxa"/>
        <w:tblLayout w:type="fixed"/>
        <w:tblCellMar>
          <w:top w:w="55" w:type="dxa"/>
          <w:left w:w="55" w:type="dxa"/>
          <w:bottom w:w="55" w:type="dxa"/>
          <w:right w:w="55" w:type="dxa"/>
        </w:tblCellMar>
      </w:tblPr>
      <w:tblGrid>
        <w:gridCol w:w="1512"/>
        <w:gridCol w:w="734"/>
        <w:gridCol w:w="810"/>
        <w:gridCol w:w="814"/>
        <w:gridCol w:w="806"/>
        <w:gridCol w:w="899"/>
        <w:gridCol w:w="897"/>
        <w:gridCol w:w="817"/>
        <w:gridCol w:w="804"/>
        <w:gridCol w:w="806"/>
        <w:gridCol w:w="818"/>
        <w:gridCol w:w="807"/>
        <w:gridCol w:w="814"/>
        <w:gridCol w:w="536"/>
        <w:gridCol w:w="544"/>
        <w:gridCol w:w="536"/>
        <w:gridCol w:w="612"/>
      </w:tblGrid>
      <w:tr>
        <w:trPr>
          <w:trHeight w:val="256" w:hRule="atLeast"/>
        </w:trPr>
        <w:tc>
          <w:tcPr>
            <w:tcW w:w="1512"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Helix</w:t>
            </w:r>
          </w:p>
        </w:tc>
        <w:tc>
          <w:tcPr>
            <w:tcW w:w="734"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1</w:t>
            </w:r>
            <w:r>
              <w:rPr>
                <w:sz w:val="12"/>
                <w:szCs w:val="12"/>
                <w:vertAlign w:val="superscript"/>
              </w:rPr>
              <w:t>a</w:t>
            </w:r>
            <w:r>
              <w:rPr>
                <w:sz w:val="14"/>
                <w:szCs w:val="14"/>
              </w:rPr>
              <w:br/>
              <w:t>(kcal/mol)</w:t>
            </w:r>
          </w:p>
        </w:tc>
        <w:tc>
          <w:tcPr>
            <w:tcW w:w="810"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2</w:t>
            </w:r>
            <w:r>
              <w:rPr>
                <w:sz w:val="12"/>
                <w:szCs w:val="12"/>
                <w:vertAlign w:val="superscript"/>
              </w:rPr>
              <w:t>b</w:t>
            </w:r>
            <w:r>
              <w:rPr>
                <w:sz w:val="14"/>
                <w:szCs w:val="14"/>
              </w:rPr>
              <w:br/>
              <w:t>(kcal/mol)</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sz w:val="14"/>
                <w:szCs w:val="14"/>
              </w:rPr>
              <w:t>Method 3</w:t>
            </w:r>
            <w:r>
              <w:rPr>
                <w:sz w:val="12"/>
                <w:szCs w:val="12"/>
                <w:vertAlign w:val="superscript"/>
              </w:rPr>
              <w:t>c</w:t>
            </w:r>
            <w:r>
              <w:rPr>
                <w:sz w:val="14"/>
                <w:szCs w:val="14"/>
              </w:rPr>
              <w:br/>
              <w:t>(kcal/mol)</w:t>
            </w:r>
          </w:p>
        </w:tc>
        <w:tc>
          <w:tcPr>
            <w:tcW w:w="806"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(cal/mol/K)</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(cal/mol/K)</w:t>
            </w:r>
          </w:p>
        </w:tc>
        <w:tc>
          <w:tcPr>
            <w:tcW w:w="897"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(cal/mol/K)</w:t>
            </w:r>
          </w:p>
        </w:tc>
        <w:tc>
          <w:tcPr>
            <w:tcW w:w="817"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1</w:t>
            </w:r>
            <w:r>
              <w:rPr>
                <w:sz w:val="14"/>
                <w:szCs w:val="14"/>
                <w:vertAlign w:val="superscript"/>
              </w:rPr>
              <w:t>a</w:t>
            </w:r>
            <w:r>
              <w:rPr>
                <w:sz w:val="14"/>
                <w:szCs w:val="14"/>
              </w:rPr>
              <w:br/>
              <w:t>(kcal/mol)</w:t>
            </w:r>
          </w:p>
        </w:tc>
        <w:tc>
          <w:tcPr>
            <w:tcW w:w="804"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2</w:t>
            </w:r>
            <w:r>
              <w:rPr>
                <w:sz w:val="14"/>
                <w:szCs w:val="14"/>
                <w:vertAlign w:val="superscript"/>
              </w:rPr>
              <w:t>b</w:t>
            </w:r>
            <w:r>
              <w:rPr>
                <w:sz w:val="14"/>
                <w:szCs w:val="14"/>
              </w:rPr>
              <w:br/>
              <w:t>(kcal/mol)</w:t>
            </w:r>
          </w:p>
        </w:tc>
        <w:tc>
          <w:tcPr>
            <w:tcW w:w="806"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sz w:val="14"/>
                <w:szCs w:val="14"/>
              </w:rPr>
              <w:t>Method 3</w:t>
            </w:r>
            <w:r>
              <w:rPr>
                <w:sz w:val="14"/>
                <w:szCs w:val="14"/>
                <w:vertAlign w:val="superscript"/>
              </w:rPr>
              <w:t>c</w:t>
            </w:r>
            <w:r>
              <w:rPr>
                <w:sz w:val="14"/>
                <w:szCs w:val="14"/>
              </w:rPr>
              <w:br/>
              <w:t>(kcal/mol)</w:t>
            </w:r>
          </w:p>
        </w:tc>
        <w:tc>
          <w:tcPr>
            <w:tcW w:w="8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1</w:t>
            </w:r>
            <w:r>
              <w:rPr>
                <w:sz w:val="14"/>
                <w:szCs w:val="14"/>
                <w:vertAlign w:val="superscript"/>
              </w:rPr>
              <w:t>a</w:t>
            </w:r>
            <w:r>
              <w:rPr>
                <w:sz w:val="14"/>
                <w:szCs w:val="14"/>
              </w:rPr>
              <w:br/>
              <w:t>(°C)</w:t>
            </w:r>
          </w:p>
        </w:tc>
        <w:tc>
          <w:tcPr>
            <w:tcW w:w="8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2</w:t>
            </w:r>
            <w:r>
              <w:rPr>
                <w:sz w:val="14"/>
                <w:szCs w:val="14"/>
                <w:vertAlign w:val="superscript"/>
              </w:rPr>
              <w:t>b</w:t>
            </w:r>
            <w:r>
              <w:rPr>
                <w:sz w:val="14"/>
                <w:szCs w:val="14"/>
              </w:rPr>
              <w:br/>
              <w:t>(°C)</w:t>
            </w:r>
          </w:p>
        </w:tc>
        <w:tc>
          <w:tcPr>
            <w:tcW w:w="814"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p>
            <w:pPr>
              <w:pStyle w:val="Normal"/>
              <w:widowControl w:val="false"/>
              <w:tabs>
                <w:tab w:val="clear" w:pos="720"/>
              </w:tabs>
              <w:jc w:val="center"/>
              <w:rPr>
                <w:sz w:val="14"/>
                <w:szCs w:val="14"/>
              </w:rPr>
            </w:pPr>
            <w:r>
              <w:rPr>
                <w:sz w:val="14"/>
                <w:szCs w:val="14"/>
              </w:rPr>
              <w:t>Method 3</w:t>
            </w:r>
            <w:r>
              <w:rPr>
                <w:sz w:val="14"/>
                <w:szCs w:val="14"/>
                <w:vertAlign w:val="superscript"/>
              </w:rPr>
              <w:t>c</w:t>
            </w:r>
            <w:r>
              <w:rPr>
                <w:sz w:val="14"/>
                <w:szCs w:val="14"/>
              </w:rPr>
              <w:br/>
              <w:t>(°C)</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54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536"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6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d</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e</w:t>
            </w:r>
            <w:r>
              <w:rPr>
                <w:sz w:val="14"/>
                <w:szCs w:val="14"/>
              </w:rPr>
              <w:br/>
              <w:t>‘3’-GCGCGC-3  ’</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-55.69 </w:t>
              <w:br/>
              <w:t>(-56.46 to -54.89)</w:t>
            </w:r>
          </w:p>
        </w:tc>
        <w:tc>
          <w:tcPr>
            <w:tcW w:w="810" w:type="dxa"/>
            <w:tcBorders/>
            <w:vAlign w:val="center"/>
          </w:tcPr>
          <w:p>
            <w:pPr>
              <w:pStyle w:val="Normal"/>
              <w:widowControl w:val="false"/>
              <w:tabs>
                <w:tab w:val="clear" w:pos="720"/>
              </w:tabs>
              <w:jc w:val="center"/>
              <w:rPr>
                <w:sz w:val="14"/>
                <w:szCs w:val="14"/>
              </w:rPr>
            </w:pPr>
            <w:r>
              <w:rPr>
                <w:sz w:val="14"/>
                <w:szCs w:val="14"/>
              </w:rPr>
              <w:t>-55.78</w:t>
              <w:br/>
              <w:t xml:space="preserve"> (-56.71 to -54.76)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-56.76 </w:t>
              <w:br/>
              <w:t>(-57.94 to -55.81)</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-153.72 </w:t>
              <w:br/>
              <w:t>(-156.09 to -151.27)</w:t>
            </w:r>
          </w:p>
        </w:tc>
        <w:tc>
          <w:tcPr>
            <w:tcW w:w="899" w:type="dxa"/>
            <w:tcBorders/>
            <w:vAlign w:val="center"/>
          </w:tcPr>
          <w:p>
            <w:pPr>
              <w:pStyle w:val="Normal"/>
              <w:widowControl w:val="false"/>
              <w:tabs>
                <w:tab w:val="clear" w:pos="720"/>
              </w:tabs>
              <w:jc w:val="center"/>
              <w:rPr>
                <w:sz w:val="14"/>
                <w:szCs w:val="14"/>
              </w:rPr>
            </w:pPr>
            <w:r>
              <w:rPr>
                <w:sz w:val="14"/>
                <w:szCs w:val="14"/>
              </w:rPr>
              <w:t>-154.04</w:t>
              <w:br/>
              <w:t xml:space="preserve"> (-156.9 to -150.91)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-156.93 </w:t>
              <w:br/>
              <w:t>(-160.59 to -153.94)</w:t>
            </w:r>
          </w:p>
        </w:tc>
        <w:tc>
          <w:tcPr>
            <w:tcW w:w="817" w:type="dxa"/>
            <w:tcBorders/>
            <w:vAlign w:val="center"/>
          </w:tcPr>
          <w:p>
            <w:pPr>
              <w:pStyle w:val="Normal"/>
              <w:widowControl w:val="false"/>
              <w:tabs>
                <w:tab w:val="clear" w:pos="720"/>
              </w:tabs>
              <w:jc w:val="center"/>
              <w:rPr>
                <w:sz w:val="14"/>
                <w:szCs w:val="14"/>
              </w:rPr>
            </w:pPr>
            <w:r>
              <w:rPr>
                <w:sz w:val="14"/>
                <w:szCs w:val="14"/>
              </w:rPr>
              <w:t xml:space="preserve">-8.01 </w:t>
              <w:br/>
              <w:t>(-8.05 to -7.98)</w:t>
            </w:r>
          </w:p>
        </w:tc>
        <w:tc>
          <w:tcPr>
            <w:tcW w:w="804" w:type="dxa"/>
            <w:tcBorders/>
            <w:vAlign w:val="center"/>
          </w:tcPr>
          <w:p>
            <w:pPr>
              <w:pStyle w:val="Normal"/>
              <w:widowControl w:val="false"/>
              <w:tabs>
                <w:tab w:val="clear" w:pos="720"/>
              </w:tabs>
              <w:jc w:val="center"/>
              <w:rPr>
                <w:sz w:val="14"/>
                <w:szCs w:val="14"/>
              </w:rPr>
            </w:pPr>
            <w:r>
              <w:rPr>
                <w:sz w:val="14"/>
                <w:szCs w:val="14"/>
              </w:rPr>
              <w:t>-8.00</w:t>
              <w:br/>
              <w:t>(-8.16 to -8.01)</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8" w:type="dxa"/>
            <w:tcBorders/>
            <w:vAlign w:val="center"/>
          </w:tcPr>
          <w:p>
            <w:pPr>
              <w:pStyle w:val="Normal"/>
              <w:widowControl w:val="false"/>
              <w:tabs>
                <w:tab w:val="clear" w:pos="720"/>
              </w:tabs>
              <w:jc w:val="center"/>
              <w:rPr>
                <w:sz w:val="14"/>
                <w:szCs w:val="14"/>
              </w:rPr>
            </w:pPr>
            <w:r>
              <w:rPr>
                <w:sz w:val="14"/>
                <w:szCs w:val="14"/>
              </w:rPr>
              <w:t>50.57</w:t>
              <w:br/>
              <w:t>(50.46 to 50.66)</w:t>
            </w:r>
          </w:p>
        </w:tc>
        <w:tc>
          <w:tcPr>
            <w:tcW w:w="807" w:type="dxa"/>
            <w:tcBorders/>
            <w:vAlign w:val="center"/>
          </w:tcPr>
          <w:p>
            <w:pPr>
              <w:pStyle w:val="Normal"/>
              <w:widowControl w:val="false"/>
              <w:tabs>
                <w:tab w:val="clear" w:pos="720"/>
              </w:tabs>
              <w:jc w:val="center"/>
              <w:rPr>
                <w:sz w:val="14"/>
                <w:szCs w:val="14"/>
              </w:rPr>
            </w:pPr>
            <w:r>
              <w:rPr>
                <w:sz w:val="14"/>
                <w:szCs w:val="14"/>
              </w:rPr>
              <w:t xml:space="preserve">50.49 </w:t>
              <w:br/>
              <w:t>(50.37 to 50.61)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50.76 </w:t>
              <w:br/>
              <w:t>(50.35 to 51.04)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e</w:t>
            </w:r>
            <w:r>
              <w:rPr>
                <w:sz w:val="14"/>
                <w:szCs w:val="14"/>
              </w:rPr>
              <w:br/>
              <w:t>3’-UGGCCA-3’</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-56.26 </w:t>
              <w:br/>
              <w:t>(-58.73 to -54.06)</w:t>
            </w:r>
          </w:p>
        </w:tc>
        <w:tc>
          <w:tcPr>
            <w:tcW w:w="810" w:type="dxa"/>
            <w:tcBorders/>
            <w:vAlign w:val="center"/>
          </w:tcPr>
          <w:p>
            <w:pPr>
              <w:pStyle w:val="Normal"/>
              <w:widowControl w:val="false"/>
              <w:tabs>
                <w:tab w:val="clear" w:pos="720"/>
              </w:tabs>
              <w:jc w:val="center"/>
              <w:rPr>
                <w:sz w:val="14"/>
                <w:szCs w:val="14"/>
              </w:rPr>
            </w:pPr>
            <w:r>
              <w:rPr>
                <w:sz w:val="14"/>
                <w:szCs w:val="14"/>
              </w:rPr>
              <w:t xml:space="preserve">-58.57 </w:t>
              <w:br/>
              <w:t>(-60.33 to -56.49)</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-56.53 </w:t>
              <w:br/>
              <w:t>(-60.25 to -53.16)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-159.24 </w:t>
              <w:br/>
              <w:t>(-167.15 to -152.29)</w:t>
            </w:r>
          </w:p>
        </w:tc>
        <w:tc>
          <w:tcPr>
            <w:tcW w:w="899" w:type="dxa"/>
            <w:tcBorders/>
            <w:vAlign w:val="center"/>
          </w:tcPr>
          <w:p>
            <w:pPr>
              <w:pStyle w:val="Normal"/>
              <w:widowControl w:val="false"/>
              <w:tabs>
                <w:tab w:val="clear" w:pos="720"/>
              </w:tabs>
              <w:jc w:val="center"/>
              <w:rPr>
                <w:sz w:val="14"/>
                <w:szCs w:val="14"/>
              </w:rPr>
            </w:pPr>
            <w:r>
              <w:rPr>
                <w:sz w:val="14"/>
                <w:szCs w:val="14"/>
              </w:rPr>
              <w:t xml:space="preserve">-166.59 </w:t>
              <w:br/>
              <w:t>(-172.23 to -159.94)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-159.96</w:t>
              <w:br/>
              <w:t xml:space="preserve"> (-172.21 to -149.33)</w:t>
            </w:r>
          </w:p>
        </w:tc>
        <w:tc>
          <w:tcPr>
            <w:tcW w:w="817" w:type="dxa"/>
            <w:tcBorders/>
            <w:vAlign w:val="center"/>
          </w:tcPr>
          <w:p>
            <w:pPr>
              <w:pStyle w:val="Normal"/>
              <w:widowControl w:val="false"/>
              <w:tabs>
                <w:tab w:val="clear" w:pos="720"/>
              </w:tabs>
              <w:jc w:val="center"/>
              <w:rPr>
                <w:sz w:val="14"/>
                <w:szCs w:val="14"/>
              </w:rPr>
            </w:pPr>
            <w:r>
              <w:rPr>
                <w:sz w:val="14"/>
                <w:szCs w:val="14"/>
              </w:rPr>
              <w:t xml:space="preserve">-6.87 </w:t>
              <w:br/>
              <w:t>(-6.93 to -6.8)</w:t>
            </w:r>
          </w:p>
        </w:tc>
        <w:tc>
          <w:tcPr>
            <w:tcW w:w="804" w:type="dxa"/>
            <w:tcBorders/>
            <w:vAlign w:val="center"/>
          </w:tcPr>
          <w:p>
            <w:pPr>
              <w:pStyle w:val="Normal"/>
              <w:widowControl w:val="false"/>
              <w:tabs>
                <w:tab w:val="clear" w:pos="720"/>
              </w:tabs>
              <w:jc w:val="center"/>
              <w:rPr>
                <w:sz w:val="14"/>
                <w:szCs w:val="14"/>
              </w:rPr>
            </w:pPr>
            <w:r>
              <w:rPr>
                <w:sz w:val="14"/>
                <w:szCs w:val="14"/>
              </w:rPr>
              <w:t>-6.9</w:t>
              <w:br/>
              <w:t xml:space="preserve"> (-6.95 to -6.87)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-6.91 </w:t>
              <w:br/>
              <w:t>(-7.07 to -6.79)</w:t>
            </w:r>
          </w:p>
        </w:tc>
        <w:tc>
          <w:tcPr>
            <w:tcW w:w="818" w:type="dxa"/>
            <w:tcBorders/>
            <w:vAlign w:val="center"/>
          </w:tcPr>
          <w:p>
            <w:pPr>
              <w:pStyle w:val="Normal"/>
              <w:widowControl w:val="false"/>
              <w:tabs>
                <w:tab w:val="clear" w:pos="720"/>
              </w:tabs>
              <w:jc w:val="center"/>
              <w:rPr>
                <w:sz w:val="14"/>
                <w:szCs w:val="14"/>
              </w:rPr>
            </w:pPr>
            <w:r>
              <w:rPr>
                <w:sz w:val="14"/>
                <w:szCs w:val="14"/>
              </w:rPr>
              <w:t xml:space="preserve">43.71 </w:t>
              <w:br/>
              <w:t>(43.42 to 44.02)</w:t>
            </w:r>
          </w:p>
        </w:tc>
        <w:tc>
          <w:tcPr>
            <w:tcW w:w="807" w:type="dxa"/>
            <w:tcBorders/>
            <w:vAlign w:val="center"/>
          </w:tcPr>
          <w:p>
            <w:pPr>
              <w:pStyle w:val="Normal"/>
              <w:widowControl w:val="false"/>
              <w:tabs>
                <w:tab w:val="clear" w:pos="720"/>
              </w:tabs>
              <w:jc w:val="center"/>
              <w:rPr>
                <w:sz w:val="14"/>
                <w:szCs w:val="14"/>
              </w:rPr>
            </w:pPr>
            <w:r>
              <w:rPr>
                <w:sz w:val="14"/>
                <w:szCs w:val="14"/>
              </w:rPr>
              <w:t xml:space="preserve">43.64 </w:t>
              <w:br/>
              <w:t>(43.43 to 43.87)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43.94 </w:t>
              <w:br/>
              <w:t>(43.08 to 44.54)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e</w:t>
            </w:r>
            <w:r>
              <w:rPr>
                <w:sz w:val="14"/>
                <w:szCs w:val="14"/>
              </w:rPr>
              <w:br/>
              <w:t>3’-GGUACC-5’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-60.25</w:t>
              <w:br/>
              <w:t xml:space="preserve"> (-60.95 to -59.42)</w:t>
            </w:r>
          </w:p>
        </w:tc>
        <w:tc>
          <w:tcPr>
            <w:tcW w:w="810" w:type="dxa"/>
            <w:tcBorders/>
            <w:vAlign w:val="center"/>
          </w:tcPr>
          <w:p>
            <w:pPr>
              <w:pStyle w:val="Normal"/>
              <w:widowControl w:val="false"/>
              <w:tabs>
                <w:tab w:val="clear" w:pos="720"/>
              </w:tabs>
              <w:jc w:val="center"/>
              <w:rPr>
                <w:sz w:val="14"/>
                <w:szCs w:val="14"/>
              </w:rPr>
            </w:pPr>
            <w:r>
              <w:rPr>
                <w:sz w:val="14"/>
                <w:szCs w:val="14"/>
              </w:rPr>
              <w:t xml:space="preserve">-59.82 </w:t>
              <w:br/>
              <w:t>(-60.51 to -59.15)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-59.86 </w:t>
              <w:br/>
              <w:t>(-61.28 to -58.83)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-172.7 </w:t>
              <w:br/>
              <w:t>(-174.95 to -170.05)</w:t>
            </w:r>
          </w:p>
        </w:tc>
        <w:tc>
          <w:tcPr>
            <w:tcW w:w="899" w:type="dxa"/>
            <w:tcBorders/>
            <w:vAlign w:val="center"/>
          </w:tcPr>
          <w:p>
            <w:pPr>
              <w:pStyle w:val="Normal"/>
              <w:widowControl w:val="false"/>
              <w:tabs>
                <w:tab w:val="clear" w:pos="720"/>
              </w:tabs>
              <w:jc w:val="center"/>
              <w:rPr>
                <w:sz w:val="14"/>
                <w:szCs w:val="14"/>
              </w:rPr>
            </w:pPr>
            <w:r>
              <w:rPr>
                <w:sz w:val="14"/>
                <w:szCs w:val="14"/>
              </w:rPr>
              <w:t>-171.31</w:t>
              <w:br/>
              <w:t xml:space="preserve"> (-173.56 to -169.19)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-171.4</w:t>
              <w:br/>
              <w:t xml:space="preserve"> (-175.85 to -168.12)</w:t>
            </w:r>
          </w:p>
        </w:tc>
        <w:tc>
          <w:tcPr>
            <w:tcW w:w="817" w:type="dxa"/>
            <w:tcBorders/>
            <w:vAlign w:val="center"/>
          </w:tcPr>
          <w:p>
            <w:pPr>
              <w:pStyle w:val="Normal"/>
              <w:widowControl w:val="false"/>
              <w:tabs>
                <w:tab w:val="clear" w:pos="720"/>
              </w:tabs>
              <w:jc w:val="center"/>
              <w:rPr>
                <w:sz w:val="14"/>
                <w:szCs w:val="14"/>
              </w:rPr>
            </w:pPr>
            <w:r>
              <w:rPr>
                <w:sz w:val="14"/>
                <w:szCs w:val="14"/>
              </w:rPr>
              <w:t xml:space="preserve">-6.69 </w:t>
              <w:br/>
              <w:t>(-6.71 to -6.67)</w:t>
            </w:r>
          </w:p>
        </w:tc>
        <w:tc>
          <w:tcPr>
            <w:tcW w:w="804" w:type="dxa"/>
            <w:tcBorders/>
            <w:vAlign w:val="center"/>
          </w:tcPr>
          <w:p>
            <w:pPr>
              <w:pStyle w:val="Normal"/>
              <w:widowControl w:val="false"/>
              <w:tabs>
                <w:tab w:val="clear" w:pos="720"/>
              </w:tabs>
              <w:jc w:val="center"/>
              <w:rPr>
                <w:sz w:val="14"/>
                <w:szCs w:val="14"/>
              </w:rPr>
            </w:pPr>
            <w:r>
              <w:rPr>
                <w:sz w:val="14"/>
                <w:szCs w:val="14"/>
              </w:rPr>
              <w:t xml:space="preserve">-6.69 </w:t>
              <w:br/>
              <w:t>(-6.7 to -6.67)</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 </w:t>
              <w:br/>
              <w:t>(-6.75 to -6.67)</w:t>
            </w:r>
          </w:p>
        </w:tc>
        <w:tc>
          <w:tcPr>
            <w:tcW w:w="818" w:type="dxa"/>
            <w:tcBorders/>
            <w:vAlign w:val="center"/>
          </w:tcPr>
          <w:p>
            <w:pPr>
              <w:pStyle w:val="Normal"/>
              <w:widowControl w:val="false"/>
              <w:tabs>
                <w:tab w:val="clear" w:pos="720"/>
              </w:tabs>
              <w:jc w:val="center"/>
              <w:rPr>
                <w:sz w:val="14"/>
                <w:szCs w:val="14"/>
              </w:rPr>
            </w:pPr>
            <w:r>
              <w:rPr>
                <w:sz w:val="14"/>
                <w:szCs w:val="14"/>
              </w:rPr>
              <w:t>42.29</w:t>
              <w:br/>
              <w:t xml:space="preserve"> (42.19 to 42.4)</w:t>
            </w:r>
          </w:p>
        </w:tc>
        <w:tc>
          <w:tcPr>
            <w:tcW w:w="807" w:type="dxa"/>
            <w:tcBorders/>
            <w:vAlign w:val="center"/>
          </w:tcPr>
          <w:p>
            <w:pPr>
              <w:pStyle w:val="Normal"/>
              <w:widowControl w:val="false"/>
              <w:tabs>
                <w:tab w:val="clear" w:pos="720"/>
              </w:tabs>
              <w:jc w:val="center"/>
              <w:rPr>
                <w:sz w:val="14"/>
                <w:szCs w:val="14"/>
              </w:rPr>
            </w:pPr>
            <w:r>
              <w:rPr>
                <w:sz w:val="14"/>
                <w:szCs w:val="14"/>
              </w:rPr>
              <w:t xml:space="preserve">42.33 </w:t>
              <w:br/>
              <w:t>(42.25 to 42.41)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42.37 </w:t>
              <w:br/>
              <w:t>(42.28 to 42.51)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sz w:val="14"/>
                <w:szCs w:val="14"/>
                <w:vertAlign w:val="superscript"/>
              </w:rPr>
              <w:t>e</w:t>
            </w:r>
            <w:r>
              <w:rPr>
                <w:sz w:val="14"/>
                <w:szCs w:val="14"/>
              </w:rPr>
              <w:br/>
              <w:t>3’-CUAUAUAG-5’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-73.53</w:t>
              <w:br/>
              <w:t xml:space="preserve"> (-74.25 to -72.58)</w:t>
            </w:r>
          </w:p>
        </w:tc>
        <w:tc>
          <w:tcPr>
            <w:tcW w:w="810" w:type="dxa"/>
            <w:tcBorders/>
            <w:vAlign w:val="center"/>
          </w:tcPr>
          <w:p>
            <w:pPr>
              <w:pStyle w:val="Normal"/>
              <w:widowControl w:val="false"/>
              <w:tabs>
                <w:tab w:val="clear" w:pos="720"/>
              </w:tabs>
              <w:jc w:val="center"/>
              <w:rPr>
                <w:sz w:val="14"/>
                <w:szCs w:val="14"/>
              </w:rPr>
            </w:pPr>
            <w:r>
              <w:rPr>
                <w:sz w:val="14"/>
                <w:szCs w:val="14"/>
              </w:rPr>
              <w:t xml:space="preserve">-63.12 </w:t>
              <w:br/>
              <w:t>(-64.49 to -62.15)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-74.15 </w:t>
              <w:br/>
              <w:t>(-78.59 to -71.74)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-220.06</w:t>
              <w:br/>
              <w:t xml:space="preserve"> (-222.4 to -217.04)</w:t>
            </w:r>
          </w:p>
        </w:tc>
        <w:tc>
          <w:tcPr>
            <w:tcW w:w="899" w:type="dxa"/>
            <w:tcBorders/>
            <w:vAlign w:val="center"/>
          </w:tcPr>
          <w:p>
            <w:pPr>
              <w:pStyle w:val="Normal"/>
              <w:widowControl w:val="false"/>
              <w:tabs>
                <w:tab w:val="clear" w:pos="720"/>
              </w:tabs>
              <w:jc w:val="center"/>
              <w:rPr>
                <w:sz w:val="14"/>
                <w:szCs w:val="14"/>
              </w:rPr>
            </w:pPr>
            <w:r>
              <w:rPr>
                <w:sz w:val="14"/>
                <w:szCs w:val="14"/>
              </w:rPr>
              <w:t>-186.19</w:t>
              <w:br/>
              <w:t xml:space="preserve"> (-190.72 to -182.98)</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-221.96</w:t>
              <w:br/>
              <w:t xml:space="preserve"> (-236.28 to -214.21)</w:t>
            </w:r>
          </w:p>
        </w:tc>
        <w:tc>
          <w:tcPr>
            <w:tcW w:w="817" w:type="dxa"/>
            <w:tcBorders/>
            <w:vAlign w:val="center"/>
          </w:tcPr>
          <w:p>
            <w:pPr>
              <w:pStyle w:val="Normal"/>
              <w:widowControl w:val="false"/>
              <w:tabs>
                <w:tab w:val="clear" w:pos="720"/>
              </w:tabs>
              <w:jc w:val="center"/>
              <w:rPr>
                <w:sz w:val="14"/>
                <w:szCs w:val="14"/>
              </w:rPr>
            </w:pPr>
            <w:r>
              <w:rPr>
                <w:sz w:val="14"/>
                <w:szCs w:val="14"/>
              </w:rPr>
              <w:t xml:space="preserve">-5.28 </w:t>
              <w:br/>
              <w:t>(-5.3 to -5.24)</w:t>
            </w:r>
          </w:p>
        </w:tc>
        <w:tc>
          <w:tcPr>
            <w:tcW w:w="804" w:type="dxa"/>
            <w:tcBorders/>
            <w:vAlign w:val="center"/>
          </w:tcPr>
          <w:p>
            <w:pPr>
              <w:pStyle w:val="Normal"/>
              <w:widowControl w:val="false"/>
              <w:tabs>
                <w:tab w:val="clear" w:pos="720"/>
              </w:tabs>
              <w:jc w:val="center"/>
              <w:rPr>
                <w:sz w:val="14"/>
                <w:szCs w:val="14"/>
              </w:rPr>
            </w:pPr>
            <w:r>
              <w:rPr>
                <w:sz w:val="14"/>
                <w:szCs w:val="14"/>
              </w:rPr>
              <w:t xml:space="preserve">-5.37 </w:t>
              <w:br/>
              <w:t>(-5.4 to -5.33)</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-5.31 </w:t>
              <w:br/>
              <w:t>(-5.34 to -5.27)</w:t>
            </w:r>
          </w:p>
        </w:tc>
        <w:tc>
          <w:tcPr>
            <w:tcW w:w="818" w:type="dxa"/>
            <w:tcBorders/>
            <w:vAlign w:val="center"/>
          </w:tcPr>
          <w:p>
            <w:pPr>
              <w:pStyle w:val="Normal"/>
              <w:widowControl w:val="false"/>
              <w:tabs>
                <w:tab w:val="clear" w:pos="720"/>
              </w:tabs>
              <w:jc w:val="center"/>
              <w:rPr>
                <w:sz w:val="14"/>
                <w:szCs w:val="14"/>
              </w:rPr>
            </w:pPr>
            <w:r>
              <w:rPr>
                <w:sz w:val="14"/>
                <w:szCs w:val="14"/>
              </w:rPr>
              <w:t>35.33</w:t>
              <w:br/>
              <w:t xml:space="preserve"> (35.19 to 35.45)</w:t>
            </w:r>
          </w:p>
        </w:tc>
        <w:tc>
          <w:tcPr>
            <w:tcW w:w="807" w:type="dxa"/>
            <w:tcBorders/>
            <w:vAlign w:val="center"/>
          </w:tcPr>
          <w:p>
            <w:pPr>
              <w:pStyle w:val="Normal"/>
              <w:widowControl w:val="false"/>
              <w:tabs>
                <w:tab w:val="clear" w:pos="720"/>
              </w:tabs>
              <w:jc w:val="center"/>
              <w:rPr>
                <w:sz w:val="14"/>
                <w:szCs w:val="14"/>
              </w:rPr>
            </w:pPr>
            <w:r>
              <w:rPr>
                <w:sz w:val="14"/>
                <w:szCs w:val="14"/>
              </w:rPr>
              <w:t xml:space="preserve">35.52 </w:t>
              <w:br/>
              <w:t>(35.35 to 35.63)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35.47 </w:t>
              <w:br/>
              <w:t>(35.26 to 35.59)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15.7</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e</w:t>
            </w:r>
            <w:r>
              <w:rPr>
                <w:sz w:val="14"/>
                <w:szCs w:val="14"/>
              </w:rPr>
              <w:br/>
              <w:t>3’-CGUUAACG-5’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-77.7</w:t>
              <w:br/>
              <w:t xml:space="preserve"> (-79.22 to -76.53)</w:t>
            </w:r>
          </w:p>
        </w:tc>
        <w:tc>
          <w:tcPr>
            <w:tcW w:w="810" w:type="dxa"/>
            <w:tcBorders/>
            <w:vAlign w:val="center"/>
          </w:tcPr>
          <w:p>
            <w:pPr>
              <w:pStyle w:val="Normal"/>
              <w:widowControl w:val="false"/>
              <w:tabs>
                <w:tab w:val="clear" w:pos="720"/>
              </w:tabs>
              <w:jc w:val="center"/>
              <w:rPr>
                <w:sz w:val="14"/>
                <w:szCs w:val="14"/>
              </w:rPr>
            </w:pPr>
            <w:r>
              <w:rPr>
                <w:sz w:val="14"/>
                <w:szCs w:val="14"/>
              </w:rPr>
              <w:t xml:space="preserve">-75.39 </w:t>
              <w:br/>
              <w:t>(-77.18 to -73.68)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-81.24 </w:t>
              <w:br/>
              <w:t>(-84.35 to -79.04)</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-223.08</w:t>
              <w:br/>
              <w:t xml:space="preserve"> (-227.87 to -219.42)</w:t>
            </w:r>
          </w:p>
        </w:tc>
        <w:tc>
          <w:tcPr>
            <w:tcW w:w="899" w:type="dxa"/>
            <w:tcBorders/>
            <w:vAlign w:val="center"/>
          </w:tcPr>
          <w:p>
            <w:pPr>
              <w:pStyle w:val="Normal"/>
              <w:widowControl w:val="false"/>
              <w:tabs>
                <w:tab w:val="clear" w:pos="720"/>
              </w:tabs>
              <w:jc w:val="center"/>
              <w:rPr>
                <w:sz w:val="14"/>
                <w:szCs w:val="14"/>
              </w:rPr>
            </w:pPr>
            <w:r>
              <w:rPr>
                <w:sz w:val="14"/>
                <w:szCs w:val="14"/>
              </w:rPr>
              <w:t>-215.93</w:t>
              <w:br/>
              <w:t xml:space="preserve"> (-221.55 to -210.59)</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-234.11</w:t>
              <w:br/>
              <w:t xml:space="preserve"> (-243.79 to -227.28)</w:t>
            </w:r>
          </w:p>
        </w:tc>
        <w:tc>
          <w:tcPr>
            <w:tcW w:w="817" w:type="dxa"/>
            <w:tcBorders/>
            <w:vAlign w:val="center"/>
          </w:tcPr>
          <w:p>
            <w:pPr>
              <w:pStyle w:val="Normal"/>
              <w:widowControl w:val="false"/>
              <w:tabs>
                <w:tab w:val="clear" w:pos="720"/>
              </w:tabs>
              <w:jc w:val="center"/>
              <w:rPr>
                <w:sz w:val="14"/>
                <w:szCs w:val="14"/>
              </w:rPr>
            </w:pPr>
            <w:r>
              <w:rPr>
                <w:sz w:val="14"/>
                <w:szCs w:val="14"/>
              </w:rPr>
              <w:t xml:space="preserve">-8.52 </w:t>
              <w:br/>
              <w:t>(-8.56 to -8.46)</w:t>
            </w:r>
          </w:p>
        </w:tc>
        <w:tc>
          <w:tcPr>
            <w:tcW w:w="804" w:type="dxa"/>
            <w:tcBorders/>
            <w:vAlign w:val="center"/>
          </w:tcPr>
          <w:p>
            <w:pPr>
              <w:pStyle w:val="Normal"/>
              <w:widowControl w:val="false"/>
              <w:tabs>
                <w:tab w:val="clear" w:pos="720"/>
              </w:tabs>
              <w:jc w:val="center"/>
              <w:rPr>
                <w:sz w:val="14"/>
                <w:szCs w:val="14"/>
              </w:rPr>
            </w:pPr>
            <w:r>
              <w:rPr>
                <w:sz w:val="14"/>
                <w:szCs w:val="14"/>
              </w:rPr>
              <w:t xml:space="preserve">-8.42 </w:t>
              <w:br/>
              <w:t>(-8.47 to -8.35)</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-8.63 </w:t>
              <w:br/>
              <w:t>(-8.73 to -8.54)</w:t>
            </w:r>
          </w:p>
        </w:tc>
        <w:tc>
          <w:tcPr>
            <w:tcW w:w="818" w:type="dxa"/>
            <w:tcBorders/>
            <w:vAlign w:val="center"/>
          </w:tcPr>
          <w:p>
            <w:pPr>
              <w:pStyle w:val="Normal"/>
              <w:widowControl w:val="false"/>
              <w:tabs>
                <w:tab w:val="clear" w:pos="720"/>
              </w:tabs>
              <w:jc w:val="center"/>
              <w:rPr>
                <w:sz w:val="14"/>
                <w:szCs w:val="14"/>
              </w:rPr>
            </w:pPr>
            <w:r>
              <w:rPr>
                <w:sz w:val="14"/>
                <w:szCs w:val="14"/>
              </w:rPr>
              <w:t xml:space="preserve">48.76 </w:t>
              <w:br/>
              <w:t>(48.57 to 48.88)</w:t>
            </w:r>
          </w:p>
        </w:tc>
        <w:tc>
          <w:tcPr>
            <w:tcW w:w="807" w:type="dxa"/>
            <w:tcBorders/>
            <w:vAlign w:val="center"/>
          </w:tcPr>
          <w:p>
            <w:pPr>
              <w:pStyle w:val="Normal"/>
              <w:widowControl w:val="false"/>
              <w:tabs>
                <w:tab w:val="clear" w:pos="720"/>
              </w:tabs>
              <w:jc w:val="center"/>
              <w:rPr>
                <w:sz w:val="14"/>
                <w:szCs w:val="14"/>
              </w:rPr>
            </w:pPr>
            <w:r>
              <w:rPr>
                <w:sz w:val="14"/>
                <w:szCs w:val="14"/>
              </w:rPr>
              <w:t xml:space="preserve">48.7 </w:t>
              <w:br/>
              <w:t>(48.59 to 48.82)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48.71 </w:t>
              <w:br/>
              <w:t>(48.64 to 48.78)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7.5</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f</w:t>
            </w:r>
            <w:r>
              <w:rPr>
                <w:sz w:val="14"/>
                <w:szCs w:val="14"/>
              </w:rPr>
              <w:br/>
              <w:t>3’-GCUUUCCA-5’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-68.64 </w:t>
              <w:br/>
              <w:t>(-70.07 to -67.32)</w:t>
            </w:r>
          </w:p>
        </w:tc>
        <w:tc>
          <w:tcPr>
            <w:tcW w:w="810" w:type="dxa"/>
            <w:tcBorders/>
            <w:vAlign w:val="center"/>
          </w:tcPr>
          <w:p>
            <w:pPr>
              <w:pStyle w:val="Normal"/>
              <w:widowControl w:val="false"/>
              <w:tabs>
                <w:tab w:val="clear" w:pos="720"/>
              </w:tabs>
              <w:jc w:val="center"/>
              <w:rPr>
                <w:sz w:val="14"/>
                <w:szCs w:val="14"/>
              </w:rPr>
            </w:pPr>
            <w:r>
              <w:rPr>
                <w:sz w:val="14"/>
                <w:szCs w:val="14"/>
              </w:rPr>
              <w:t xml:space="preserve">-68.03 </w:t>
              <w:br/>
              <w:t>(-69.92 to -66.25)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-67.98 </w:t>
              <w:br/>
              <w:t>(-69.89 to -66.16)</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-188.69 </w:t>
              <w:br/>
              <w:t>(-193.12 to -184.54)</w:t>
            </w:r>
          </w:p>
        </w:tc>
        <w:tc>
          <w:tcPr>
            <w:tcW w:w="899" w:type="dxa"/>
            <w:tcBorders/>
            <w:vAlign w:val="center"/>
          </w:tcPr>
          <w:p>
            <w:pPr>
              <w:pStyle w:val="Normal"/>
              <w:widowControl w:val="false"/>
              <w:tabs>
                <w:tab w:val="clear" w:pos="720"/>
              </w:tabs>
              <w:jc w:val="center"/>
              <w:rPr>
                <w:sz w:val="14"/>
                <w:szCs w:val="14"/>
              </w:rPr>
            </w:pPr>
            <w:r>
              <w:rPr>
                <w:sz w:val="14"/>
                <w:szCs w:val="14"/>
              </w:rPr>
              <w:t xml:space="preserve">-186.82 </w:t>
              <w:br/>
              <w:t>(-192.62 to -181.35)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-186.59 </w:t>
              <w:br/>
              <w:t>(-192.46 to -181.12)</w:t>
            </w:r>
          </w:p>
        </w:tc>
        <w:tc>
          <w:tcPr>
            <w:tcW w:w="817" w:type="dxa"/>
            <w:tcBorders/>
            <w:vAlign w:val="center"/>
          </w:tcPr>
          <w:p>
            <w:pPr>
              <w:pStyle w:val="Normal"/>
              <w:widowControl w:val="false"/>
              <w:tabs>
                <w:tab w:val="clear" w:pos="720"/>
              </w:tabs>
              <w:jc w:val="center"/>
              <w:rPr>
                <w:sz w:val="14"/>
                <w:szCs w:val="14"/>
              </w:rPr>
            </w:pPr>
            <w:r>
              <w:rPr>
                <w:sz w:val="14"/>
                <w:szCs w:val="14"/>
              </w:rPr>
              <w:t xml:space="preserve">-10.12 </w:t>
              <w:br/>
              <w:t>(-10.18 to -10.06)</w:t>
            </w:r>
          </w:p>
        </w:tc>
        <w:tc>
          <w:tcPr>
            <w:tcW w:w="804" w:type="dxa"/>
            <w:tcBorders/>
            <w:vAlign w:val="center"/>
          </w:tcPr>
          <w:p>
            <w:pPr>
              <w:pStyle w:val="Normal"/>
              <w:widowControl w:val="false"/>
              <w:tabs>
                <w:tab w:val="clear" w:pos="720"/>
              </w:tabs>
              <w:jc w:val="center"/>
              <w:rPr>
                <w:sz w:val="14"/>
                <w:szCs w:val="14"/>
              </w:rPr>
            </w:pPr>
            <w:r>
              <w:rPr>
                <w:sz w:val="14"/>
                <w:szCs w:val="14"/>
              </w:rPr>
              <w:t xml:space="preserve">-10.09 </w:t>
              <w:br/>
              <w:t>(-10.19 to -10)</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-10.11 </w:t>
              <w:br/>
              <w:t>(-10.2 to -10)</w:t>
            </w:r>
          </w:p>
        </w:tc>
        <w:tc>
          <w:tcPr>
            <w:tcW w:w="818" w:type="dxa"/>
            <w:tcBorders/>
            <w:vAlign w:val="center"/>
          </w:tcPr>
          <w:p>
            <w:pPr>
              <w:pStyle w:val="Normal"/>
              <w:widowControl w:val="false"/>
              <w:tabs>
                <w:tab w:val="clear" w:pos="720"/>
              </w:tabs>
              <w:jc w:val="center"/>
              <w:rPr>
                <w:sz w:val="14"/>
                <w:szCs w:val="14"/>
              </w:rPr>
            </w:pPr>
            <w:r>
              <w:rPr>
                <w:sz w:val="14"/>
                <w:szCs w:val="14"/>
              </w:rPr>
              <w:t>54.12</w:t>
              <w:br/>
              <w:t xml:space="preserve"> (53.87 to 54.38)</w:t>
            </w:r>
          </w:p>
        </w:tc>
        <w:tc>
          <w:tcPr>
            <w:tcW w:w="807" w:type="dxa"/>
            <w:tcBorders/>
            <w:vAlign w:val="center"/>
          </w:tcPr>
          <w:p>
            <w:pPr>
              <w:pStyle w:val="Normal"/>
              <w:widowControl w:val="false"/>
              <w:tabs>
                <w:tab w:val="clear" w:pos="720"/>
              </w:tabs>
              <w:jc w:val="center"/>
              <w:rPr>
                <w:sz w:val="14"/>
                <w:szCs w:val="14"/>
              </w:rPr>
            </w:pPr>
            <w:r>
              <w:rPr>
                <w:sz w:val="14"/>
                <w:szCs w:val="14"/>
              </w:rPr>
              <w:t xml:space="preserve">54.13 </w:t>
              <w:br/>
              <w:t>(53.9 to 54.33)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54.21 </w:t>
              <w:br/>
              <w:t>(53.95 to 54.54)</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f</w:t>
            </w:r>
            <w:r>
              <w:rPr>
                <w:sz w:val="14"/>
                <w:szCs w:val="14"/>
              </w:rPr>
              <w:br/>
              <w:t>3’-GACUCAG-5’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-64.09 (-65.15 to -63.2)</w:t>
            </w:r>
          </w:p>
        </w:tc>
        <w:tc>
          <w:tcPr>
            <w:tcW w:w="810" w:type="dxa"/>
            <w:tcBorders/>
            <w:vAlign w:val="center"/>
          </w:tcPr>
          <w:p>
            <w:pPr>
              <w:pStyle w:val="Normal"/>
              <w:widowControl w:val="false"/>
              <w:tabs>
                <w:tab w:val="clear" w:pos="720"/>
              </w:tabs>
              <w:jc w:val="center"/>
              <w:rPr>
                <w:sz w:val="14"/>
                <w:szCs w:val="14"/>
              </w:rPr>
            </w:pPr>
            <w:r>
              <w:rPr>
                <w:sz w:val="14"/>
                <w:szCs w:val="14"/>
              </w:rPr>
              <w:t xml:space="preserve">-64.14 </w:t>
              <w:br/>
              <w:t>(-65.4 to -63.08)</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-63.31 </w:t>
              <w:br/>
              <w:t>(-64 to -62.69)</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-176.35 </w:t>
              <w:br/>
              <w:t>(-179.73 to -173.53)</w:t>
            </w:r>
          </w:p>
        </w:tc>
        <w:tc>
          <w:tcPr>
            <w:tcW w:w="899" w:type="dxa"/>
            <w:tcBorders/>
            <w:vAlign w:val="center"/>
          </w:tcPr>
          <w:p>
            <w:pPr>
              <w:pStyle w:val="Normal"/>
              <w:widowControl w:val="false"/>
              <w:tabs>
                <w:tab w:val="clear" w:pos="720"/>
              </w:tabs>
              <w:jc w:val="center"/>
              <w:rPr>
                <w:sz w:val="14"/>
                <w:szCs w:val="14"/>
              </w:rPr>
            </w:pPr>
            <w:r>
              <w:rPr>
                <w:sz w:val="14"/>
                <w:szCs w:val="14"/>
              </w:rPr>
              <w:t>-176.51</w:t>
              <w:br/>
              <w:t xml:space="preserve"> (-180.45 to -173.21)</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-173.83</w:t>
              <w:br/>
              <w:t xml:space="preserve"> (-175.92 to -171.93)</w:t>
            </w:r>
          </w:p>
        </w:tc>
        <w:tc>
          <w:tcPr>
            <w:tcW w:w="817" w:type="dxa"/>
            <w:tcBorders/>
            <w:vAlign w:val="center"/>
          </w:tcPr>
          <w:p>
            <w:pPr>
              <w:pStyle w:val="Normal"/>
              <w:widowControl w:val="false"/>
              <w:tabs>
                <w:tab w:val="clear" w:pos="720"/>
              </w:tabs>
              <w:jc w:val="center"/>
              <w:rPr>
                <w:sz w:val="14"/>
                <w:szCs w:val="14"/>
              </w:rPr>
            </w:pPr>
            <w:r>
              <w:rPr>
                <w:sz w:val="14"/>
                <w:szCs w:val="14"/>
              </w:rPr>
              <w:t xml:space="preserve">-9.4 </w:t>
              <w:br/>
              <w:t>(-9.42 to -9.38)</w:t>
            </w:r>
          </w:p>
        </w:tc>
        <w:tc>
          <w:tcPr>
            <w:tcW w:w="804" w:type="dxa"/>
            <w:tcBorders/>
            <w:vAlign w:val="center"/>
          </w:tcPr>
          <w:p>
            <w:pPr>
              <w:pStyle w:val="Normal"/>
              <w:widowControl w:val="false"/>
              <w:tabs>
                <w:tab w:val="clear" w:pos="720"/>
              </w:tabs>
              <w:jc w:val="center"/>
              <w:rPr>
                <w:sz w:val="14"/>
                <w:szCs w:val="14"/>
              </w:rPr>
            </w:pPr>
            <w:r>
              <w:rPr>
                <w:sz w:val="14"/>
                <w:szCs w:val="14"/>
              </w:rPr>
              <w:t xml:space="preserve">-9.4 </w:t>
              <w:br/>
              <w:t>(-9.44 to -9.36)</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-9.39 </w:t>
              <w:br/>
              <w:t>(-9.44 to -9.35)</w:t>
            </w:r>
          </w:p>
        </w:tc>
        <w:tc>
          <w:tcPr>
            <w:tcW w:w="818" w:type="dxa"/>
            <w:tcBorders/>
            <w:vAlign w:val="center"/>
          </w:tcPr>
          <w:p>
            <w:pPr>
              <w:pStyle w:val="Normal"/>
              <w:widowControl w:val="false"/>
              <w:tabs>
                <w:tab w:val="clear" w:pos="720"/>
              </w:tabs>
              <w:jc w:val="center"/>
              <w:rPr>
                <w:sz w:val="14"/>
                <w:szCs w:val="14"/>
              </w:rPr>
            </w:pPr>
            <w:r>
              <w:rPr>
                <w:sz w:val="14"/>
                <w:szCs w:val="14"/>
              </w:rPr>
              <w:t>51.52</w:t>
              <w:br/>
              <w:t xml:space="preserve"> (51.37 to 51.68)</w:t>
            </w:r>
          </w:p>
        </w:tc>
        <w:tc>
          <w:tcPr>
            <w:tcW w:w="807" w:type="dxa"/>
            <w:tcBorders/>
            <w:vAlign w:val="center"/>
          </w:tcPr>
          <w:p>
            <w:pPr>
              <w:pStyle w:val="Normal"/>
              <w:widowControl w:val="false"/>
              <w:tabs>
                <w:tab w:val="clear" w:pos="720"/>
              </w:tabs>
              <w:jc w:val="center"/>
              <w:rPr>
                <w:sz w:val="14"/>
                <w:szCs w:val="14"/>
              </w:rPr>
            </w:pPr>
            <w:r>
              <w:rPr>
                <w:sz w:val="14"/>
                <w:szCs w:val="14"/>
              </w:rPr>
              <w:t xml:space="preserve">51.5 </w:t>
              <w:br/>
              <w:t>(51.39 to 51.62)</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51.69 </w:t>
              <w:br/>
              <w:t>(51.43 to 51.88)</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f</w:t>
            </w:r>
            <w:r>
              <w:rPr>
                <w:sz w:val="14"/>
                <w:szCs w:val="14"/>
              </w:rPr>
              <w:br/>
              <w:t>3’-GCAACG-5’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-51.69</w:t>
              <w:br/>
              <w:t xml:space="preserve"> (-53.13 to -50.18)</w:t>
            </w:r>
          </w:p>
        </w:tc>
        <w:tc>
          <w:tcPr>
            <w:tcW w:w="810" w:type="dxa"/>
            <w:tcBorders/>
            <w:vAlign w:val="center"/>
          </w:tcPr>
          <w:p>
            <w:pPr>
              <w:pStyle w:val="Normal"/>
              <w:widowControl w:val="false"/>
              <w:tabs>
                <w:tab w:val="clear" w:pos="720"/>
              </w:tabs>
              <w:jc w:val="center"/>
              <w:rPr>
                <w:sz w:val="14"/>
                <w:szCs w:val="14"/>
              </w:rPr>
            </w:pPr>
            <w:r>
              <w:rPr>
                <w:sz w:val="14"/>
                <w:szCs w:val="14"/>
              </w:rPr>
              <w:t xml:space="preserve">-47.58 </w:t>
              <w:br/>
              <w:t>(-49.77 to -45.95)</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-51.92 </w:t>
              <w:br/>
              <w:t>(-54.53 to -50.37)</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-142.99</w:t>
              <w:br/>
              <w:t xml:space="preserve"> (-147.72 to -138.15)</w:t>
            </w:r>
          </w:p>
        </w:tc>
        <w:tc>
          <w:tcPr>
            <w:tcW w:w="899" w:type="dxa"/>
            <w:tcBorders/>
            <w:vAlign w:val="center"/>
          </w:tcPr>
          <w:p>
            <w:pPr>
              <w:pStyle w:val="Normal"/>
              <w:widowControl w:val="false"/>
              <w:tabs>
                <w:tab w:val="clear" w:pos="720"/>
              </w:tabs>
              <w:jc w:val="center"/>
              <w:rPr>
                <w:sz w:val="14"/>
                <w:szCs w:val="14"/>
              </w:rPr>
            </w:pPr>
            <w:r>
              <w:rPr>
                <w:sz w:val="14"/>
                <w:szCs w:val="14"/>
              </w:rPr>
              <w:t>-129.92</w:t>
              <w:br/>
              <w:t xml:space="preserve"> (-137.09 to -124.62)</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-143.61</w:t>
              <w:br/>
              <w:t xml:space="preserve"> (-151.88 to -138.78)</w:t>
            </w:r>
          </w:p>
        </w:tc>
        <w:tc>
          <w:tcPr>
            <w:tcW w:w="817" w:type="dxa"/>
            <w:tcBorders/>
            <w:vAlign w:val="center"/>
          </w:tcPr>
          <w:p>
            <w:pPr>
              <w:pStyle w:val="Normal"/>
              <w:widowControl w:val="false"/>
              <w:tabs>
                <w:tab w:val="clear" w:pos="720"/>
              </w:tabs>
              <w:jc w:val="center"/>
              <w:rPr>
                <w:sz w:val="14"/>
                <w:szCs w:val="14"/>
              </w:rPr>
            </w:pPr>
            <w:r>
              <w:rPr>
                <w:sz w:val="14"/>
                <w:szCs w:val="14"/>
              </w:rPr>
              <w:t xml:space="preserve">-7.34 </w:t>
              <w:br/>
              <w:t>(-7.39 to -7.27)</w:t>
            </w:r>
          </w:p>
        </w:tc>
        <w:tc>
          <w:tcPr>
            <w:tcW w:w="804" w:type="dxa"/>
            <w:tcBorders/>
            <w:vAlign w:val="center"/>
          </w:tcPr>
          <w:p>
            <w:pPr>
              <w:pStyle w:val="Normal"/>
              <w:widowControl w:val="false"/>
              <w:tabs>
                <w:tab w:val="clear" w:pos="720"/>
              </w:tabs>
              <w:jc w:val="center"/>
              <w:rPr>
                <w:sz w:val="14"/>
                <w:szCs w:val="14"/>
              </w:rPr>
            </w:pPr>
            <w:r>
              <w:rPr>
                <w:sz w:val="14"/>
                <w:szCs w:val="14"/>
              </w:rPr>
              <w:t xml:space="preserve">-7.28 </w:t>
              <w:br/>
              <w:t>(-7.32 to -7.22)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-7.38 </w:t>
              <w:br/>
              <w:t>(-7.45 to -7.28)</w:t>
            </w:r>
          </w:p>
        </w:tc>
        <w:tc>
          <w:tcPr>
            <w:tcW w:w="818" w:type="dxa"/>
            <w:tcBorders/>
            <w:vAlign w:val="center"/>
          </w:tcPr>
          <w:p>
            <w:pPr>
              <w:pStyle w:val="Normal"/>
              <w:widowControl w:val="false"/>
              <w:tabs>
                <w:tab w:val="clear" w:pos="720"/>
              </w:tabs>
              <w:jc w:val="center"/>
              <w:rPr>
                <w:sz w:val="14"/>
                <w:szCs w:val="14"/>
              </w:rPr>
            </w:pPr>
            <w:r>
              <w:rPr>
                <w:sz w:val="14"/>
                <w:szCs w:val="14"/>
              </w:rPr>
              <w:t xml:space="preserve">41.92 </w:t>
              <w:br/>
              <w:t>(41.43 to 42.35)</w:t>
            </w:r>
          </w:p>
        </w:tc>
        <w:tc>
          <w:tcPr>
            <w:tcW w:w="807" w:type="dxa"/>
            <w:tcBorders/>
            <w:vAlign w:val="center"/>
          </w:tcPr>
          <w:p>
            <w:pPr>
              <w:pStyle w:val="Normal"/>
              <w:widowControl w:val="false"/>
              <w:tabs>
                <w:tab w:val="clear" w:pos="720"/>
              </w:tabs>
              <w:jc w:val="center"/>
              <w:rPr>
                <w:sz w:val="14"/>
                <w:szCs w:val="14"/>
              </w:rPr>
            </w:pPr>
            <w:r>
              <w:rPr>
                <w:sz w:val="14"/>
                <w:szCs w:val="14"/>
              </w:rPr>
              <w:t xml:space="preserve">41.98 </w:t>
              <w:br/>
              <w:t>(41.49 to 42.36)</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42.13 </w:t>
              <w:br/>
              <w:t>(41.56 to 42.39)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8.6</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9.9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f</w:t>
            </w:r>
            <w:r>
              <w:rPr>
                <w:sz w:val="14"/>
                <w:szCs w:val="14"/>
              </w:rPr>
              <w:br/>
              <w:t>BHQ1- GCUUUCCA-5’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-83.25 </w:t>
              <w:br/>
              <w:t>(-85.73 to -80.95)</w:t>
            </w:r>
          </w:p>
        </w:tc>
        <w:tc>
          <w:tcPr>
            <w:tcW w:w="810" w:type="dxa"/>
            <w:tcBorders/>
            <w:vAlign w:val="center"/>
          </w:tcPr>
          <w:p>
            <w:pPr>
              <w:pStyle w:val="Normal"/>
              <w:widowControl w:val="false"/>
              <w:tabs>
                <w:tab w:val="clear" w:pos="720"/>
              </w:tabs>
              <w:jc w:val="center"/>
              <w:rPr>
                <w:sz w:val="14"/>
                <w:szCs w:val="14"/>
              </w:rPr>
            </w:pPr>
            <w:r>
              <w:rPr>
                <w:sz w:val="14"/>
                <w:szCs w:val="14"/>
              </w:rPr>
              <w:t xml:space="preserve">-81.76 </w:t>
              <w:br/>
              <w:t>(-85.14 to -79.11)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-80.92 </w:t>
              <w:br/>
              <w:t>(-83.27 to -79.05)</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-223.16</w:t>
              <w:br/>
              <w:t xml:space="preserve"> (-230.67 to -216.32)</w:t>
            </w:r>
          </w:p>
        </w:tc>
        <w:tc>
          <w:tcPr>
            <w:tcW w:w="899" w:type="dxa"/>
            <w:tcBorders/>
            <w:vAlign w:val="center"/>
          </w:tcPr>
          <w:p>
            <w:pPr>
              <w:pStyle w:val="Normal"/>
              <w:widowControl w:val="false"/>
              <w:tabs>
                <w:tab w:val="clear" w:pos="720"/>
              </w:tabs>
              <w:jc w:val="center"/>
              <w:rPr>
                <w:sz w:val="14"/>
                <w:szCs w:val="14"/>
              </w:rPr>
            </w:pPr>
            <w:r>
              <w:rPr>
                <w:sz w:val="14"/>
                <w:szCs w:val="14"/>
              </w:rPr>
              <w:t>-218.73</w:t>
              <w:br/>
              <w:t xml:space="preserve"> (-228.81 to -210.85)</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-216.39</w:t>
              <w:br/>
              <w:t xml:space="preserve"> (-223.4 to -210.93)</w:t>
            </w:r>
          </w:p>
        </w:tc>
        <w:tc>
          <w:tcPr>
            <w:tcW w:w="817" w:type="dxa"/>
            <w:tcBorders/>
            <w:vAlign w:val="center"/>
          </w:tcPr>
          <w:p>
            <w:pPr>
              <w:pStyle w:val="Normal"/>
              <w:widowControl w:val="false"/>
              <w:tabs>
                <w:tab w:val="clear" w:pos="720"/>
              </w:tabs>
              <w:jc w:val="center"/>
              <w:rPr>
                <w:sz w:val="14"/>
                <w:szCs w:val="14"/>
              </w:rPr>
            </w:pPr>
            <w:r>
              <w:rPr>
                <w:sz w:val="14"/>
                <w:szCs w:val="14"/>
              </w:rPr>
              <w:t xml:space="preserve">-14.03 </w:t>
              <w:br/>
              <w:t>(-14.22 to -13.86)</w:t>
            </w:r>
          </w:p>
        </w:tc>
        <w:tc>
          <w:tcPr>
            <w:tcW w:w="804" w:type="dxa"/>
            <w:tcBorders/>
            <w:vAlign w:val="center"/>
          </w:tcPr>
          <w:p>
            <w:pPr>
              <w:pStyle w:val="Normal"/>
              <w:widowControl w:val="false"/>
              <w:tabs>
                <w:tab w:val="clear" w:pos="720"/>
              </w:tabs>
              <w:jc w:val="center"/>
              <w:rPr>
                <w:sz w:val="14"/>
                <w:szCs w:val="14"/>
              </w:rPr>
            </w:pPr>
            <w:r>
              <w:rPr>
                <w:sz w:val="14"/>
                <w:szCs w:val="14"/>
              </w:rPr>
              <w:t xml:space="preserve">-13.92 </w:t>
              <w:br/>
              <w:t>(-14.18 to -13.72)</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-13.81 </w:t>
              <w:br/>
              <w:t>(-14 to -13.65)</w:t>
            </w:r>
          </w:p>
        </w:tc>
        <w:tc>
          <w:tcPr>
            <w:tcW w:w="818" w:type="dxa"/>
            <w:tcBorders/>
            <w:vAlign w:val="center"/>
          </w:tcPr>
          <w:p>
            <w:pPr>
              <w:pStyle w:val="Normal"/>
              <w:widowControl w:val="false"/>
              <w:tabs>
                <w:tab w:val="clear" w:pos="720"/>
              </w:tabs>
              <w:jc w:val="center"/>
              <w:rPr>
                <w:sz w:val="14"/>
                <w:szCs w:val="14"/>
              </w:rPr>
            </w:pPr>
            <w:r>
              <w:rPr>
                <w:sz w:val="14"/>
                <w:szCs w:val="14"/>
              </w:rPr>
              <w:t xml:space="preserve">67.73 </w:t>
              <w:br/>
              <w:t>(67.44 to 67.96)</w:t>
            </w:r>
          </w:p>
        </w:tc>
        <w:tc>
          <w:tcPr>
            <w:tcW w:w="807" w:type="dxa"/>
            <w:tcBorders/>
            <w:vAlign w:val="center"/>
          </w:tcPr>
          <w:p>
            <w:pPr>
              <w:pStyle w:val="Normal"/>
              <w:widowControl w:val="false"/>
              <w:tabs>
                <w:tab w:val="clear" w:pos="720"/>
              </w:tabs>
              <w:jc w:val="center"/>
              <w:rPr>
                <w:sz w:val="14"/>
                <w:szCs w:val="14"/>
              </w:rPr>
            </w:pPr>
            <w:r>
              <w:rPr>
                <w:sz w:val="14"/>
                <w:szCs w:val="14"/>
              </w:rPr>
              <w:t xml:space="preserve">67.81 </w:t>
              <w:br/>
              <w:t>(67.54 to 68.01)</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67.66 </w:t>
              <w:br/>
              <w:t>(67.13 to 68.11)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2.8</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0.2</w:t>
            </w:r>
          </w:p>
        </w:tc>
      </w:tr>
      <w:tr>
        <w:trPr>
          <w:trHeight w:val="256" w:hRule="atLeast"/>
        </w:trPr>
        <w:tc>
          <w:tcPr>
            <w:tcW w:w="15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 xml:space="preserve">FAM-CUGAGUC-3’ </w:t>
            </w:r>
            <w:r>
              <w:rPr>
                <w:sz w:val="14"/>
                <w:szCs w:val="14"/>
                <w:vertAlign w:val="superscript"/>
              </w:rPr>
              <w:t>f</w:t>
            </w:r>
            <w:r>
              <w:rPr>
                <w:sz w:val="14"/>
                <w:szCs w:val="14"/>
              </w:rPr>
              <w:br/>
              <w:t>BHQ1-GACUCAG-5’</w:t>
            </w:r>
          </w:p>
        </w:tc>
        <w:tc>
          <w:tcPr>
            <w:tcW w:w="734" w:type="dxa"/>
            <w:tcBorders>
              <w:left w:val="single" w:sz="4" w:space="0" w:color="000000"/>
            </w:tcBorders>
            <w:vAlign w:val="center"/>
          </w:tcPr>
          <w:p>
            <w:pPr>
              <w:pStyle w:val="Normal"/>
              <w:widowControl w:val="false"/>
              <w:tabs>
                <w:tab w:val="clear" w:pos="720"/>
              </w:tabs>
              <w:jc w:val="center"/>
              <w:rPr>
                <w:sz w:val="14"/>
                <w:szCs w:val="14"/>
              </w:rPr>
            </w:pPr>
            <w:r>
              <w:rPr>
                <w:sz w:val="14"/>
                <w:szCs w:val="14"/>
              </w:rPr>
              <w:t xml:space="preserve">-74.69 </w:t>
              <w:br/>
              <w:t>(-76.00 to -73.40)</w:t>
            </w:r>
          </w:p>
        </w:tc>
        <w:tc>
          <w:tcPr>
            <w:tcW w:w="810" w:type="dxa"/>
            <w:tcBorders/>
            <w:vAlign w:val="center"/>
          </w:tcPr>
          <w:p>
            <w:pPr>
              <w:pStyle w:val="Normal"/>
              <w:widowControl w:val="false"/>
              <w:tabs>
                <w:tab w:val="clear" w:pos="720"/>
              </w:tabs>
              <w:jc w:val="center"/>
              <w:rPr>
                <w:sz w:val="14"/>
                <w:szCs w:val="14"/>
              </w:rPr>
            </w:pPr>
            <w:r>
              <w:rPr>
                <w:sz w:val="14"/>
                <w:szCs w:val="14"/>
              </w:rPr>
              <w:t>-74.94</w:t>
              <w:br/>
              <w:t xml:space="preserve"> (-76.63 to -72.43)</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-75.38 </w:t>
              <w:br/>
              <w:t>(-77.21 to -73.3)</w:t>
            </w:r>
          </w:p>
        </w:tc>
        <w:tc>
          <w:tcPr>
            <w:tcW w:w="806"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-197.57</w:t>
              <w:br/>
              <w:t xml:space="preserve"> (-201.48 to -193.77)</w:t>
            </w:r>
          </w:p>
        </w:tc>
        <w:tc>
          <w:tcPr>
            <w:tcW w:w="899" w:type="dxa"/>
            <w:tcBorders/>
            <w:vAlign w:val="center"/>
          </w:tcPr>
          <w:p>
            <w:pPr>
              <w:pStyle w:val="Normal"/>
              <w:widowControl w:val="false"/>
              <w:tabs>
                <w:tab w:val="clear" w:pos="720"/>
              </w:tabs>
              <w:jc w:val="center"/>
              <w:rPr>
                <w:sz w:val="14"/>
                <w:szCs w:val="14"/>
              </w:rPr>
            </w:pPr>
            <w:r>
              <w:rPr>
                <w:sz w:val="14"/>
                <w:szCs w:val="14"/>
              </w:rPr>
              <w:t>-198.28</w:t>
              <w:br/>
              <w:t xml:space="preserve"> (-203.34 to -190.84)</w:t>
            </w:r>
          </w:p>
        </w:tc>
        <w:tc>
          <w:tcPr>
            <w:tcW w:w="897"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-199.36</w:t>
              <w:br/>
              <w:t xml:space="preserve"> (-204.73 to -193.23)</w:t>
            </w:r>
          </w:p>
        </w:tc>
        <w:tc>
          <w:tcPr>
            <w:tcW w:w="817" w:type="dxa"/>
            <w:tcBorders/>
            <w:vAlign w:val="center"/>
          </w:tcPr>
          <w:p>
            <w:pPr>
              <w:pStyle w:val="Normal"/>
              <w:widowControl w:val="false"/>
              <w:tabs>
                <w:tab w:val="clear" w:pos="720"/>
              </w:tabs>
              <w:jc w:val="center"/>
              <w:rPr>
                <w:sz w:val="14"/>
                <w:szCs w:val="14"/>
              </w:rPr>
            </w:pPr>
            <w:r>
              <w:rPr>
                <w:sz w:val="14"/>
                <w:szCs w:val="14"/>
              </w:rPr>
              <w:t xml:space="preserve">-13.42 </w:t>
              <w:br/>
              <w:t>(-13.53 to -13.3)</w:t>
            </w:r>
          </w:p>
        </w:tc>
        <w:tc>
          <w:tcPr>
            <w:tcW w:w="804" w:type="dxa"/>
            <w:tcBorders/>
            <w:vAlign w:val="center"/>
          </w:tcPr>
          <w:p>
            <w:pPr>
              <w:pStyle w:val="Normal"/>
              <w:widowControl w:val="false"/>
              <w:tabs>
                <w:tab w:val="clear" w:pos="720"/>
              </w:tabs>
              <w:jc w:val="center"/>
              <w:rPr>
                <w:sz w:val="14"/>
                <w:szCs w:val="14"/>
              </w:rPr>
            </w:pPr>
            <w:r>
              <w:rPr>
                <w:sz w:val="14"/>
                <w:szCs w:val="14"/>
              </w:rPr>
              <w:t xml:space="preserve">-13.44 </w:t>
              <w:br/>
              <w:t>(-13.57 to -13.24)</w:t>
            </w:r>
          </w:p>
        </w:tc>
        <w:tc>
          <w:tcPr>
            <w:tcW w:w="806"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-13.54 </w:t>
              <w:br/>
              <w:t>(-13.71 to -13.34)</w:t>
            </w:r>
          </w:p>
        </w:tc>
        <w:tc>
          <w:tcPr>
            <w:tcW w:w="818" w:type="dxa"/>
            <w:tcBorders/>
            <w:vAlign w:val="center"/>
          </w:tcPr>
          <w:p>
            <w:pPr>
              <w:pStyle w:val="Normal"/>
              <w:widowControl w:val="false"/>
              <w:tabs>
                <w:tab w:val="clear" w:pos="720"/>
              </w:tabs>
              <w:jc w:val="center"/>
              <w:rPr>
                <w:sz w:val="14"/>
                <w:szCs w:val="14"/>
              </w:rPr>
            </w:pPr>
            <w:r>
              <w:rPr>
                <w:sz w:val="14"/>
                <w:szCs w:val="14"/>
              </w:rPr>
              <w:t xml:space="preserve">68.51 </w:t>
              <w:br/>
              <w:t>(68.32 to 68.64)</w:t>
            </w:r>
          </w:p>
        </w:tc>
        <w:tc>
          <w:tcPr>
            <w:tcW w:w="807" w:type="dxa"/>
            <w:tcBorders/>
            <w:vAlign w:val="center"/>
          </w:tcPr>
          <w:p>
            <w:pPr>
              <w:pStyle w:val="Normal"/>
              <w:widowControl w:val="false"/>
              <w:tabs>
                <w:tab w:val="clear" w:pos="720"/>
              </w:tabs>
              <w:jc w:val="center"/>
              <w:rPr>
                <w:sz w:val="14"/>
                <w:szCs w:val="14"/>
              </w:rPr>
            </w:pPr>
            <w:r>
              <w:rPr>
                <w:sz w:val="14"/>
                <w:szCs w:val="14"/>
              </w:rPr>
              <w:t xml:space="preserve">68.51 </w:t>
              <w:br/>
              <w:t>(68.36 to 68.67)</w:t>
            </w:r>
          </w:p>
        </w:tc>
        <w:tc>
          <w:tcPr>
            <w:tcW w:w="814"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 xml:space="preserve">68.82 </w:t>
              <w:br/>
              <w:t>(68.47 to 69.33)</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4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536"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6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r>
      <w:tr>
        <w:trPr>
          <w:trHeight w:val="256" w:hRule="atLeast"/>
        </w:trPr>
        <w:tc>
          <w:tcPr>
            <w:tcW w:w="15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f</w:t>
            </w:r>
            <w:r>
              <w:rPr>
                <w:sz w:val="14"/>
                <w:szCs w:val="14"/>
              </w:rPr>
              <w:br/>
              <w:t>BHQ1-GCAACG-5’</w:t>
            </w:r>
          </w:p>
        </w:tc>
        <w:tc>
          <w:tcPr>
            <w:tcW w:w="734"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-58.64 </w:t>
              <w:br/>
              <w:t>(-61.37 to -56.25)</w:t>
            </w:r>
          </w:p>
        </w:tc>
        <w:tc>
          <w:tcPr>
            <w:tcW w:w="810"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-63.94 </w:t>
              <w:br/>
              <w:t>(-69.16 to -56.71)</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-60.32 (</w:t>
              <w:br/>
              <w:t>-62.02 to -58.19)</w:t>
            </w:r>
          </w:p>
        </w:tc>
        <w:tc>
          <w:tcPr>
            <w:tcW w:w="80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-155.58</w:t>
              <w:br/>
              <w:t xml:space="preserve"> (-163.9 to -148.39)</w:t>
            </w:r>
          </w:p>
        </w:tc>
        <w:tc>
          <w:tcPr>
            <w:tcW w:w="899"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-171.81</w:t>
              <w:br/>
              <w:t xml:space="preserve"> (-187.7 to -149.35)</w:t>
            </w:r>
          </w:p>
        </w:tc>
        <w:tc>
          <w:tcPr>
            <w:tcW w:w="897"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-160.72</w:t>
              <w:br/>
              <w:t xml:space="preserve"> (-165.71 to -154.29)</w:t>
            </w:r>
          </w:p>
        </w:tc>
        <w:tc>
          <w:tcPr>
            <w:tcW w:w="81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-10.39 </w:t>
              <w:br/>
              <w:t>(-10.55 to -10.23)</w:t>
            </w:r>
          </w:p>
        </w:tc>
        <w:tc>
          <w:tcPr>
            <w:tcW w:w="80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-10.66 </w:t>
              <w:br/>
              <w:t>(-10.97 to -10.3)</w:t>
            </w:r>
          </w:p>
        </w:tc>
        <w:tc>
          <w:tcPr>
            <w:tcW w:w="806"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-10.48 </w:t>
              <w:br/>
              <w:t>(-10.61 to -10.33)</w:t>
            </w:r>
          </w:p>
        </w:tc>
        <w:tc>
          <w:tcPr>
            <w:tcW w:w="818"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58.83 </w:t>
              <w:br/>
              <w:t>(58.56 to 59.39)</w:t>
            </w:r>
          </w:p>
        </w:tc>
        <w:tc>
          <w:tcPr>
            <w:tcW w:w="807"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 xml:space="preserve">58.4 </w:t>
              <w:br/>
              <w:t>(58.11 to 59.6)</w:t>
            </w:r>
          </w:p>
        </w:tc>
        <w:tc>
          <w:tcPr>
            <w:tcW w:w="814" w:type="dxa"/>
            <w:tcBorders>
              <w:bottom w:val="single" w:sz="4" w:space="0" w:color="000000"/>
              <w:right w:val="single" w:sz="4" w:space="0" w:color="000000"/>
            </w:tcBorders>
            <w:vAlign w:val="center"/>
          </w:tcPr>
          <w:p>
            <w:pPr>
              <w:pStyle w:val="Normal"/>
              <w:widowControl w:val="false"/>
              <w:tabs>
                <w:tab w:val="clear" w:pos="720"/>
              </w:tabs>
              <w:jc w:val="center"/>
              <w:rPr>
                <w:sz w:val="14"/>
                <w:szCs w:val="14"/>
              </w:rPr>
            </w:pPr>
            <w:r>
              <w:rPr>
                <w:sz w:val="14"/>
                <w:szCs w:val="14"/>
              </w:rPr>
              <w:t xml:space="preserve">58.7 </w:t>
              <w:br/>
              <w:t>(58.37 to 58.92)</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8.7</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10.0</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0.7</w:t>
            </w:r>
          </w:p>
        </w:tc>
      </w:tr>
      <w:tr>
        <w:trPr>
          <w:trHeight w:val="256" w:hRule="atLeast"/>
        </w:trPr>
        <w:tc>
          <w:tcPr>
            <w:tcW w:w="11338" w:type="dxa"/>
            <w:gridSpan w:val="13"/>
            <w:tcBorders>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method 1, 2, &amp; 3</w:t>
            </w:r>
          </w:p>
        </w:tc>
        <w:tc>
          <w:tcPr>
            <w:tcW w:w="536" w:type="dxa"/>
            <w:tcBorders>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4.8</w:t>
            </w:r>
          </w:p>
        </w:tc>
        <w:tc>
          <w:tcPr>
            <w:tcW w:w="544"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5.4</w:t>
            </w:r>
          </w:p>
        </w:tc>
        <w:tc>
          <w:tcPr>
            <w:tcW w:w="536"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1.2</w:t>
            </w:r>
          </w:p>
        </w:tc>
        <w:tc>
          <w:tcPr>
            <w:tcW w:w="612" w:type="dxa"/>
            <w:tcBorders>
              <w:bottom w:val="single" w:sz="4" w:space="0" w:color="000000"/>
            </w:tcBorders>
            <w:vAlign w:val="center"/>
          </w:tcPr>
          <w:p>
            <w:pPr>
              <w:pStyle w:val="Normal"/>
              <w:widowControl w:val="false"/>
              <w:tabs>
                <w:tab w:val="clear" w:pos="720"/>
              </w:tabs>
              <w:jc w:val="center"/>
              <w:rPr>
                <w:sz w:val="14"/>
                <w:szCs w:val="14"/>
              </w:rPr>
            </w:pPr>
            <w:r>
              <w:rPr>
                <w:sz w:val="14"/>
                <w:szCs w:val="14"/>
              </w:rPr>
              <w:t>0.4</w:t>
            </w:r>
          </w:p>
        </w:tc>
      </w:tr>
    </w:tbl>
    <w:p>
      <w:pPr>
        <w:pStyle w:val="Normal"/>
        <w:widowControl w:val="false"/>
        <w:suppressAutoHyphens w:val="true"/>
        <w:bidi w:val="0"/>
        <w:spacing w:before="0" w:after="0"/>
        <w:ind w:left="629" w:right="0" w:hanging="0"/>
        <w:jc w:val="left"/>
        <w:textAlignment w:val="baseline"/>
        <w:rPr/>
      </w:pPr>
      <w:r>
        <w:rPr>
          <w:vertAlign w:val="superscript"/>
        </w:rPr>
        <w:t>a</w:t>
      </w:r>
      <w:r>
        <w:rPr/>
        <w:t>Determined with method 1, fitting curves individually and averaging the results.</w:t>
      </w:r>
    </w:p>
    <w:p>
      <w:pPr>
        <w:pStyle w:val="Normal"/>
        <w:widowControl w:val="false"/>
        <w:suppressAutoHyphens w:val="true"/>
        <w:bidi w:val="0"/>
        <w:spacing w:before="0" w:after="0"/>
        <w:ind w:left="629" w:right="0" w:hanging="0"/>
        <w:jc w:val="left"/>
        <w:textAlignment w:val="baseline"/>
        <w:rPr/>
      </w:pPr>
      <w:r>
        <w:rPr>
          <w:vertAlign w:val="superscript"/>
        </w:rPr>
        <w:t>b</w:t>
      </w:r>
      <w:r>
        <w:rPr/>
        <w:t>Determined with method 2, 1/T</w:t>
      </w:r>
      <w:r>
        <w:rPr>
          <w:vertAlign w:val="subscript"/>
        </w:rPr>
        <w:t>m</w:t>
      </w:r>
      <w:r>
        <w:rPr/>
        <w:t xml:space="preserve"> versus lnC</w:t>
      </w:r>
      <w:r>
        <w:rPr>
          <w:vertAlign w:val="subscript"/>
        </w:rPr>
        <w:t>t</w:t>
      </w:r>
      <w:r>
        <w:rPr/>
        <w:t xml:space="preserve"> analysis.</w:t>
      </w:r>
    </w:p>
    <w:p>
      <w:pPr>
        <w:pStyle w:val="Normal"/>
        <w:widowControl w:val="false"/>
        <w:suppressAutoHyphens w:val="true"/>
        <w:bidi w:val="0"/>
        <w:spacing w:before="0" w:after="0"/>
        <w:ind w:left="629" w:right="0" w:hanging="0"/>
        <w:jc w:val="left"/>
        <w:textAlignment w:val="baseline"/>
        <w:rPr/>
      </w:pPr>
      <w:r>
        <w:rPr>
          <w:vertAlign w:val="superscript"/>
        </w:rPr>
        <w:t>c</w:t>
      </w:r>
      <w:r>
        <w:rPr/>
        <w:t>Determined with method 3, globally fitting all curves with the same non-linear model.</w:t>
      </w:r>
    </w:p>
    <w:p>
      <w:pPr>
        <w:pStyle w:val="Normal"/>
        <w:widowControl w:val="false"/>
        <w:suppressAutoHyphens w:val="true"/>
        <w:bidi w:val="0"/>
        <w:spacing w:before="0" w:after="0"/>
        <w:ind w:left="629" w:right="0" w:hanging="0"/>
        <w:jc w:val="left"/>
        <w:textAlignment w:val="baseline"/>
        <w:rPr/>
      </w:pPr>
      <w:r>
        <w:rPr>
          <w:vertAlign w:val="superscript"/>
        </w:rPr>
        <w:t>d</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left="629" w:right="0" w:hanging="0"/>
        <w:jc w:val="left"/>
        <w:textAlignment w:val="baseline"/>
        <w:rPr/>
      </w:pPr>
      <w:r>
        <w:rPr>
          <w:vertAlign w:val="superscript"/>
        </w:rPr>
        <w:t>e</w:t>
      </w:r>
      <w:r>
        <w:rPr>
          <w:position w:val="0"/>
          <w:sz w:val="20"/>
          <w:sz w:val="20"/>
          <w:vertAlign w:val="baseline"/>
        </w:rPr>
        <w:t>Data compiled</w:t>
      </w:r>
      <w:r>
        <w:rPr/>
        <w:t xml:space="preserve"> from a published source.</w:t>
      </w:r>
      <w:r>
        <w:rPr>
          <w:vertAlign w:val="superscript"/>
        </w:rPr>
        <w:t>1</w:t>
      </w:r>
    </w:p>
    <w:p>
      <w:pPr>
        <w:sectPr>
          <w:footerReference w:type="default" r:id="rId9"/>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left="629" w:right="0" w:hanging="0"/>
        <w:jc w:val="left"/>
        <w:textAlignment w:val="baseline"/>
        <w:rPr>
          <w:vertAlign w:val="superscript"/>
        </w:rPr>
      </w:pPr>
      <w:r>
        <w:rPr>
          <w:vertAlign w:val="superscript"/>
        </w:rPr>
        <w:t>f</w:t>
      </w:r>
      <w:r>
        <w:rPr>
          <w:position w:val="0"/>
          <w:sz w:val="20"/>
          <w:sz w:val="20"/>
          <w:vertAlign w:val="baseline"/>
        </w:rPr>
        <w:t>Data compiled in this work.</w:t>
      </w:r>
    </w:p>
    <w:p>
      <w:pPr>
        <w:pStyle w:val="Normal"/>
        <w:jc w:val="both"/>
        <w:rPr/>
      </w:pPr>
      <w:bookmarkStart w:id="18" w:name="_Toc1085136801"/>
      <w:bookmarkStart w:id="19" w:name="_Toc1117940731"/>
      <w:r>
        <w:rPr>
          <w:rStyle w:val="Heading3Char"/>
        </w:rPr>
        <w:t>SI Table 3</w:t>
      </w:r>
      <w:bookmarkEnd w:id="18"/>
      <w:bookmarkEnd w:id="19"/>
      <w:r>
        <w:rPr/>
        <w:t xml:space="preserve">  BLtrimmer results comparing MeltR method 1, fitting curves individually and averaging the results, to Meltwin method 1.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right w:val="single" w:sz="4" w:space="0" w:color="000000"/>
            </w:tcBorders>
            <w:vAlign w:val="bottom"/>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-159.24</w:t>
              <w:br/>
              <w:t>(-58.73 to -54.06)</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-159.24</w:t>
              <w:br/>
              <w:t>(-167.15 to -152.29)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-6.87</w:t>
              <w:br/>
              <w:t>(-6.93 to -6.8)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-7.11</w:t>
              <w:br/>
              <w:t>(±0.2)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43.71</w:t>
              <w:br/>
              <w:t>(43.42 to 44.02)</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45.4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3.8</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-172.7</w:t>
              <w:br/>
              <w:t>(-60.95 to -59.42)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-172.7</w:t>
              <w:br/>
              <w:t>(-174.95 to -170.05)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-6.69</w:t>
              <w:br/>
              <w:t>(-6.71 to -6.67)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-6.52</w:t>
              <w:br/>
              <w:t>(±0.05)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42.29</w:t>
              <w:br/>
              <w:t>(42.19 to 42.4)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-188.69</w:t>
              <w:br/>
              <w:t>(-70.07 to -67.32)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-67.0</w:t>
              <w:br/>
              <w:t>(±3.025)</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-188.69</w:t>
              <w:br/>
              <w:t>(-193.12 to -184.54)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-184.51 (±9.497)</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-10.12</w:t>
              <w:br/>
              <w:t>(-10.18 to -10.06)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-9.8</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54.12</w:t>
              <w:br/>
              <w:t>(53.87 to 54.38)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52.9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3.2</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-153.72</w:t>
              <w:br/>
              <w:t>(-56.46 to -54.89)</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-153.72</w:t>
              <w:br/>
              <w:t>(-156.09 to -151.27)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-8.01</w:t>
              <w:br/>
              <w:t>(-8.05 to -7.98)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-7.85</w:t>
              <w:br/>
              <w:t>(±0.17)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50.57</w:t>
              <w:br/>
              <w:t>(50.46 to 50.66)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49.6</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2.0</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-142.99</w:t>
              <w:br/>
              <w:t>(-53.13 to -50.18)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-142.99</w:t>
              <w:br/>
              <w:t>(-147.72 to -138.15)</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-141.39 (±11.476)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-7.34</w:t>
              <w:br/>
              <w:t>(-7.39 to -7.27)</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-7.21</w:t>
              <w:br/>
              <w:t>(±0.087)</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41.92</w:t>
              <w:br/>
              <w:t>(41.43 to 42.35)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41.2</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1.8</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-176.35</w:t>
              <w:br/>
              <w:t>(-65.15 to -63.2)</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-176.35</w:t>
              <w:br/>
              <w:t>(-179.73 to -173.53)</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-174.65</w:t>
              <w:br/>
              <w:t xml:space="preserve"> (±6.191)</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-9.4</w:t>
              <w:br/>
              <w:t>(-9.42 to -9.38)</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-9.15 </w:t>
              <w:br/>
              <w:t>(±0.03)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51.52 </w:t>
              <w:br/>
              <w:t>(51.37 to 51.68)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50.4</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-223.16</w:t>
              <w:br/>
              <w:t>(-85.73 to -80.95)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-81.12</w:t>
              <w:br/>
              <w:t>(±1.583)</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-223.16</w:t>
              <w:br/>
              <w:t>(-230.67 to -216.32)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-217.61</w:t>
              <w:br/>
              <w:t xml:space="preserve"> (±5.076)</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-14.03</w:t>
              <w:br/>
              <w:t>(-14.22 to -13.86)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-13.63 </w:t>
              <w:br/>
              <w:t>(±0.092)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67.73 </w:t>
              <w:br/>
              <w:t>(67.44 to 67.96)</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66.7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2.6</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-155.58</w:t>
              <w:br/>
              <w:t>(-61.37 to -56.25)</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-155.58</w:t>
              <w:br/>
              <w:t>(-163.9 to -148.39)</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-164.74</w:t>
              <w:br/>
              <w:t xml:space="preserve"> (±10.499)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-10.39</w:t>
              <w:br/>
              <w:t>(-10.55 to -10.23)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-10.38 </w:t>
              <w:br/>
              <w:t>(±0.163)</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58.83 </w:t>
              <w:br/>
              <w:t>(58.56 to 59.39)</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57.7</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4.7</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5.7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-197.57 </w:t>
              <w:br/>
              <w:t>(-76 to -73.4)</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-197.57</w:t>
              <w:br/>
              <w:t>(-201.48 to -193.77)</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-197.46</w:t>
              <w:br/>
              <w:t xml:space="preserve"> (±6.709)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-13.42</w:t>
              <w:br/>
              <w:t>(-13.53 to -13.3)</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-13.19 </w:t>
              <w:br/>
              <w:t>(±0.275)</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68.51 </w:t>
              <w:br/>
              <w:t>(68.32 to 68.64)</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67.5</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0.3</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1.7</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-220.06</w:t>
              <w:br/>
              <w:t>(-74.25 to -72.58)</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-220.06</w:t>
              <w:br/>
              <w:t>(-222.4 to -217.04)</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-5.28</w:t>
              <w:br/>
              <w:t>(-5.3 to -5.24)</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-5.41 </w:t>
              <w:br/>
              <w:t>(±0.06)</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35.33 </w:t>
              <w:br/>
              <w:t>(35.19 to 35.45)</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35.9</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0.7</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bottom"/>
          </w:tcPr>
          <w:p>
            <w:pPr>
              <w:pStyle w:val="Normal"/>
              <w:widowControl w:val="false"/>
              <w:tabs>
                <w:tab w:val="clear" w:pos="720"/>
              </w:tabs>
              <w:jc w:val="center"/>
              <w:rPr>
                <w:sz w:val="14"/>
                <w:szCs w:val="14"/>
              </w:rPr>
            </w:pPr>
            <w:r>
              <w:rPr>
                <w:sz w:val="14"/>
                <w:szCs w:val="14"/>
              </w:rPr>
              <w:t>-223.08</w:t>
              <w:br/>
              <w:t>(-79.22 to -76.53)</w:t>
            </w:r>
          </w:p>
        </w:tc>
        <w:tc>
          <w:tcPr>
            <w:tcW w:w="90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-223.08 (-227.87 to -219.42)</w:t>
            </w:r>
          </w:p>
        </w:tc>
        <w:tc>
          <w:tcPr>
            <w:tcW w:w="108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bottom"/>
          </w:tcPr>
          <w:p>
            <w:pPr>
              <w:pStyle w:val="Normal"/>
              <w:widowControl w:val="false"/>
              <w:tabs>
                <w:tab w:val="clear" w:pos="720"/>
              </w:tabs>
              <w:jc w:val="center"/>
              <w:rPr>
                <w:sz w:val="14"/>
                <w:szCs w:val="14"/>
              </w:rPr>
            </w:pPr>
            <w:r>
              <w:rPr>
                <w:sz w:val="14"/>
                <w:szCs w:val="14"/>
              </w:rPr>
              <w:t>-8.52</w:t>
              <w:br/>
              <w:t>(-8.56 to -8.46)</w:t>
            </w:r>
          </w:p>
        </w:tc>
        <w:tc>
          <w:tcPr>
            <w:tcW w:w="811"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 xml:space="preserve">-8.15 </w:t>
              <w:br/>
              <w:t>(±0.12)</w:t>
            </w:r>
          </w:p>
        </w:tc>
        <w:tc>
          <w:tcPr>
            <w:tcW w:w="1170" w:type="dxa"/>
            <w:tcBorders>
              <w:left w:val="single" w:sz="4" w:space="0" w:color="000000"/>
            </w:tcBorders>
            <w:vAlign w:val="bottom"/>
          </w:tcPr>
          <w:p>
            <w:pPr>
              <w:pStyle w:val="Normal"/>
              <w:widowControl w:val="false"/>
              <w:tabs>
                <w:tab w:val="clear" w:pos="720"/>
              </w:tabs>
              <w:jc w:val="center"/>
              <w:rPr>
                <w:sz w:val="14"/>
                <w:szCs w:val="14"/>
              </w:rPr>
            </w:pPr>
            <w:r>
              <w:rPr>
                <w:sz w:val="14"/>
                <w:szCs w:val="14"/>
              </w:rPr>
              <w:t xml:space="preserve">48.76 </w:t>
              <w:br/>
              <w:t>(48.57 to 48.88)</w:t>
            </w:r>
          </w:p>
        </w:tc>
        <w:tc>
          <w:tcPr>
            <w:tcW w:w="899" w:type="dxa"/>
            <w:tcBorders>
              <w:right w:val="single" w:sz="4" w:space="0" w:color="000000"/>
            </w:tcBorders>
            <w:vAlign w:val="bottom"/>
          </w:tcPr>
          <w:p>
            <w:pPr>
              <w:pStyle w:val="Normal"/>
              <w:widowControl w:val="false"/>
              <w:tabs>
                <w:tab w:val="clear" w:pos="720"/>
              </w:tabs>
              <w:jc w:val="center"/>
              <w:rPr>
                <w:sz w:val="14"/>
                <w:szCs w:val="14"/>
              </w:rPr>
            </w:pPr>
            <w:r>
              <w:rPr>
                <w:sz w:val="14"/>
                <w:szCs w:val="14"/>
              </w:rPr>
              <w:t>47.0</w:t>
            </w:r>
          </w:p>
        </w:tc>
        <w:tc>
          <w:tcPr>
            <w:tcW w:w="811"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2.2</w:t>
            </w:r>
          </w:p>
        </w:tc>
        <w:tc>
          <w:tcPr>
            <w:tcW w:w="809"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3.0</w:t>
            </w:r>
          </w:p>
        </w:tc>
        <w:tc>
          <w:tcPr>
            <w:tcW w:w="812"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4.4</w:t>
            </w:r>
          </w:p>
        </w:tc>
        <w:tc>
          <w:tcPr>
            <w:tcW w:w="707" w:type="dxa"/>
            <w:tcBorders/>
            <w:tcMar>
              <w:top w:w="0" w:type="dxa"/>
              <w:left w:w="30" w:type="dxa"/>
              <w:bottom w:w="0" w:type="dxa"/>
              <w:right w:w="30" w:type="dxa"/>
            </w:tcMar>
            <w:vAlign w:val="bottom"/>
          </w:tcPr>
          <w:p>
            <w:pPr>
              <w:pStyle w:val="Normal"/>
              <w:widowControl w:val="false"/>
              <w:tabs>
                <w:tab w:val="clear" w:pos="720"/>
              </w:tabs>
              <w:jc w:val="center"/>
              <w:rPr>
                <w:sz w:val="14"/>
                <w:szCs w:val="14"/>
              </w:rPr>
            </w:pPr>
            <w:r>
              <w:rPr>
                <w:sz w:val="14"/>
                <w:szCs w:val="14"/>
              </w:rPr>
              <w:t>3.7</w:t>
            </w:r>
          </w:p>
        </w:tc>
      </w:tr>
      <w:tr>
        <w:trPr>
          <w:trHeight w:val="256" w:hRule="atLeast"/>
        </w:trPr>
        <w:tc>
          <w:tcPr>
            <w:tcW w:w="10439" w:type="dxa"/>
            <w:gridSpan w:val="9"/>
            <w:tcBorders>
              <w:top w:val="single" w:sz="4" w:space="0" w:color="000000"/>
              <w:bottom w:val="single" w:sz="4" w:space="0" w:color="000000"/>
            </w:tcBorders>
            <w:vAlign w:val="bottom"/>
          </w:tcPr>
          <w:p>
            <w:pPr>
              <w:pStyle w:val="Normal"/>
              <w:widowControl w:val="false"/>
              <w:tabs>
                <w:tab w:val="clear" w:pos="720"/>
              </w:tabs>
              <w:jc w:val="right"/>
              <w:rPr>
                <w:sz w:val="14"/>
                <w:szCs w:val="14"/>
              </w:rPr>
            </w:pPr>
            <w:r>
              <w:rPr>
                <w:sz w:val="14"/>
                <w:szCs w:val="14"/>
              </w:rPr>
              <w:t>Average % error between MeltR method 1 and Meltwin method 1</w:t>
            </w:r>
          </w:p>
        </w:tc>
        <w:tc>
          <w:tcPr>
            <w:tcW w:w="811" w:type="dxa"/>
            <w:tcBorders>
              <w:top w:val="single" w:sz="4" w:space="0" w:color="000000"/>
              <w:left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1.8</w:t>
            </w:r>
          </w:p>
        </w:tc>
        <w:tc>
          <w:tcPr>
            <w:tcW w:w="809"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2.0</w:t>
            </w:r>
          </w:p>
        </w:tc>
        <w:tc>
          <w:tcPr>
            <w:tcW w:w="812"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2.5</w:t>
            </w:r>
          </w:p>
        </w:tc>
        <w:tc>
          <w:tcPr>
            <w:tcW w:w="707" w:type="dxa"/>
            <w:tcBorders>
              <w:top w:val="single" w:sz="4" w:space="0" w:color="000000"/>
              <w:bottom w:val="single" w:sz="4" w:space="0" w:color="000000"/>
            </w:tcBorders>
            <w:vAlign w:val="bottom"/>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0"/>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position w:val="0"/>
          <w:sz w:val="20"/>
          <w:sz w:val="20"/>
          <w:vertAlign w:val="baseline"/>
        </w:rPr>
      </w:pPr>
      <w:r>
        <w:rPr>
          <w:vertAlign w:val="superscript"/>
        </w:rPr>
        <w:t>c</w:t>
      </w:r>
      <w:r>
        <w:rPr>
          <w:position w:val="0"/>
          <w:sz w:val="20"/>
          <w:sz w:val="20"/>
          <w:vertAlign w:val="baseline"/>
        </w:rPr>
        <w:t>Data compiled in this work.</w:t>
      </w:r>
    </w:p>
    <w:p>
      <w:pPr>
        <w:pStyle w:val="Normal"/>
        <w:rPr/>
      </w:pPr>
      <w:r>
        <w:rPr/>
      </w:r>
    </w:p>
    <w:p>
      <w:pPr>
        <w:pStyle w:val="Normal"/>
        <w:jc w:val="both"/>
        <w:rPr/>
      </w:pPr>
      <w:bookmarkStart w:id="20" w:name="_Toc11179407311"/>
      <w:bookmarkStart w:id="21" w:name="_Toc10851368011"/>
      <w:r>
        <w:rPr>
          <w:rStyle w:val="Heading3Char"/>
        </w:rPr>
        <w:t>SI Table 4</w:t>
      </w:r>
      <w:bookmarkEnd w:id="20"/>
      <w:bookmarkEnd w:id="21"/>
      <w:r>
        <w:rPr/>
        <w:t xml:space="preserve">  BLtrimmer results comparing MeltR method 2, fitting the relationship between 1/T</w:t>
      </w:r>
      <w:r>
        <w:rPr>
          <w:vertAlign w:val="subscript"/>
        </w:rPr>
        <w:t>m</w:t>
      </w:r>
      <w:r>
        <w:rPr/>
        <w:t xml:space="preserve"> versus lnC</w:t>
      </w:r>
      <w:r>
        <w:rPr>
          <w:vertAlign w:val="subscript"/>
        </w:rPr>
        <w:t>t</w:t>
      </w:r>
      <w:r>
        <w:rPr/>
        <w:t>, to Meltwin method 2. MeltR data are reused from SI table 2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-166.59</w:t>
              <w:br/>
              <w:t>(-60.33 to -56.49)</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-166.59</w:t>
              <w:br/>
              <w:t>(-172.23 to -159.94)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-150.5</w:t>
              <w:br/>
              <w:t>(±9.1)</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-6.9</w:t>
              <w:br/>
              <w:t>(-6.95 to -6.87)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43.64</w:t>
              <w:br/>
              <w:t>(43.43 to 43.87)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45.6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8.5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-171.31</w:t>
              <w:br/>
              <w:t>(-60.51 to -59.15)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-171.31</w:t>
              <w:br/>
              <w:t>(-173.56 to -169.19)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-171.9</w:t>
              <w:br/>
              <w:t>(±3.3)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-6.69</w:t>
              <w:br/>
              <w:t>(-6.7 to -6.67)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42.33</w:t>
              <w:br/>
              <w:t>(42.25 to 42.41)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-186.82</w:t>
              <w:br/>
              <w:t>(-69.92 to -66.25)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-65.85</w:t>
              <w:br/>
              <w:t xml:space="preserve"> (±1.448)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-186.82</w:t>
              <w:br/>
              <w:t>(-192.62 to -181.35)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-180.82</w:t>
              <w:br/>
              <w:t>(±4.495)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-10.09</w:t>
              <w:br/>
              <w:t>(-10.19 to -10)</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54.13</w:t>
              <w:br/>
              <w:t>(53.9 to 54.33)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53</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3.3</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3.3</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-154.04</w:t>
              <w:br/>
              <w:t>(-56.71 to -54.76)</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-154.04</w:t>
              <w:br/>
              <w:t>(-156.9 to -150.91)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-142.6</w:t>
              <w:br/>
              <w:t>(±11.9)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w:t>
              <w:br/>
              <w:t>(-8.05 to -7.97)</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50.49</w:t>
              <w:br/>
              <w:t>(50.37 to 50.61)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49.7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7.0</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7.7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-129.92</w:t>
              <w:br/>
              <w:t>(-49.77 to -45.95)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-129.92</w:t>
              <w:br/>
              <w:t>(-137.09 to -124.62)</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-132.17</w:t>
              <w:br/>
              <w:t>(±5.73)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-7.28</w:t>
              <w:br/>
              <w:t>(-7.32 to -7.22)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41.98</w:t>
              <w:br/>
              <w:t>(41.49 to 42.36)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41.2</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1.2</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-176.51</w:t>
              <w:br/>
              <w:t>(-65.4 to -63.08)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-176.51</w:t>
              <w:br/>
              <w:t>(-180.45 to -173.21)</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-175.57</w:t>
              <w:br/>
              <w:t>(±4.712)</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-9.4</w:t>
              <w:br/>
              <w:t>(-9.44 to -9.36)</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51.5</w:t>
              <w:br/>
              <w:t>(51.39 to 51.62)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50.4</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0.8</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-218.73</w:t>
              <w:br/>
              <w:t>(-85.14 to -79.11)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-218.73</w:t>
              <w:br/>
              <w:t>(-228.81 to -210.85)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-217.41</w:t>
              <w:br/>
              <w:t>(±20.017)</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-13.92</w:t>
              <w:br/>
              <w:t>(-14.18 to -13.72)</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67.81</w:t>
              <w:br/>
              <w:t>(67.54 to 68.01)</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66.7</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-171.81</w:t>
              <w:br/>
              <w:t>(-69.16 to -56.71)</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-171.81</w:t>
              <w:br/>
              <w:t>(-187.7 to -149.35)</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-167.11</w:t>
              <w:br/>
              <w:t>(±11.45)</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-10.66</w:t>
              <w:br/>
              <w:t>(-10.97 to -10.3)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58.4</w:t>
              <w:br/>
              <w:t>(58.11 to 59.6)</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57.6</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2.7</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2.8</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2.5</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-198.28</w:t>
              <w:br/>
              <w:t>(-76.63 to -72.43)</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-198.28</w:t>
              <w:br/>
              <w:t>(-203.34 to -190.84)</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-198.05</w:t>
              <w:br/>
              <w:t>(±18.308)</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-13.44</w:t>
              <w:br/>
              <w:t>(-13.57 to -13.24)</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68.51</w:t>
              <w:br/>
              <w:t>(68.36 to 68.67)</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67.5</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0.4</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1.7</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-186.19</w:t>
              <w:br/>
              <w:t>(-64.49 to -62.15)</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-186.19</w:t>
              <w:br/>
              <w:t>(-190.72 to -182.98)</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-195</w:t>
              <w:br/>
              <w:t>(±7.9)</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-5.37</w:t>
              <w:br/>
              <w:t>(-5.4 to -5.33)</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35.52</w:t>
              <w:br/>
              <w:t>(35.35 to 35.63)</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36.1</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4.5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TableContents"/>
              <w:widowControl w:val="false"/>
              <w:spacing w:before="0" w:after="0"/>
              <w:jc w:val="center"/>
              <w:rPr>
                <w:sz w:val="14"/>
                <w:szCs w:val="14"/>
              </w:rPr>
            </w:pPr>
            <w:r>
              <w:rPr>
                <w:sz w:val="14"/>
                <w:szCs w:val="14"/>
              </w:rPr>
              <w:t>-215.93</w:t>
              <w:br/>
              <w:t>(-77.18 to -73.68)</w:t>
            </w:r>
          </w:p>
        </w:tc>
        <w:tc>
          <w:tcPr>
            <w:tcW w:w="901" w:type="dxa"/>
            <w:tcBorders>
              <w:right w:val="single" w:sz="4" w:space="0" w:color="000000"/>
            </w:tcBorders>
            <w:vAlign w:val="center"/>
          </w:tcPr>
          <w:p>
            <w:pPr>
              <w:pStyle w:val="TableContents"/>
              <w:widowControl w:val="false"/>
              <w:spacing w:before="0" w:after="0"/>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-215.93</w:t>
              <w:br/>
              <w:t>(-221.55 to -210.59)</w:t>
            </w:r>
          </w:p>
        </w:tc>
        <w:tc>
          <w:tcPr>
            <w:tcW w:w="1081"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-225.7</w:t>
              <w:br/>
              <w:t>(±5.3)</w:t>
            </w:r>
          </w:p>
        </w:tc>
        <w:tc>
          <w:tcPr>
            <w:tcW w:w="1169" w:type="dxa"/>
            <w:tcBorders>
              <w:left w:val="single" w:sz="4" w:space="0" w:color="000000"/>
            </w:tcBorders>
            <w:vAlign w:val="center"/>
          </w:tcPr>
          <w:p>
            <w:pPr>
              <w:pStyle w:val="TableContents"/>
              <w:widowControl w:val="false"/>
              <w:spacing w:before="0" w:after="0"/>
              <w:jc w:val="center"/>
              <w:rPr>
                <w:sz w:val="14"/>
                <w:szCs w:val="14"/>
              </w:rPr>
            </w:pPr>
            <w:r>
              <w:rPr>
                <w:sz w:val="14"/>
                <w:szCs w:val="14"/>
              </w:rPr>
              <w:t>-8.42</w:t>
              <w:br/>
              <w:t>(-8.47 to -8.35)</w:t>
            </w:r>
          </w:p>
        </w:tc>
        <w:tc>
          <w:tcPr>
            <w:tcW w:w="811" w:type="dxa"/>
            <w:tcBorders>
              <w:right w:val="single" w:sz="4" w:space="0" w:color="000000"/>
            </w:tcBorders>
            <w:vAlign w:val="center"/>
          </w:tcPr>
          <w:p>
            <w:pPr>
              <w:pStyle w:val="TableContents"/>
              <w:widowControl w:val="false"/>
              <w:spacing w:before="0" w:after="0"/>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48.7</w:t>
              <w:br/>
              <w:t>(48.59 to 48.82)</w:t>
            </w:r>
          </w:p>
        </w:tc>
        <w:tc>
          <w:tcPr>
            <w:tcW w:w="89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46.9</w:t>
            </w:r>
          </w:p>
        </w:tc>
        <w:tc>
          <w:tcPr>
            <w:tcW w:w="811" w:type="dxa"/>
            <w:tcBorders>
              <w:left w:val="single" w:sz="4" w:space="0" w:color="000000"/>
            </w:tcBorders>
            <w:vAlign w:val="center"/>
          </w:tcPr>
          <w:p>
            <w:pPr>
              <w:pStyle w:val="TableContents"/>
              <w:widowControl w:val="false"/>
              <w:spacing w:before="0" w:after="0"/>
              <w:jc w:val="center"/>
              <w:rPr>
                <w:sz w:val="14"/>
                <w:szCs w:val="14"/>
              </w:rPr>
            </w:pPr>
            <w:r>
              <w:rPr>
                <w:sz w:val="14"/>
                <w:szCs w:val="14"/>
              </w:rPr>
              <w:t>3.5</w:t>
            </w:r>
          </w:p>
        </w:tc>
        <w:tc>
          <w:tcPr>
            <w:tcW w:w="809"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4.4</w:t>
            </w:r>
          </w:p>
        </w:tc>
        <w:tc>
          <w:tcPr>
            <w:tcW w:w="812"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4.0</w:t>
            </w:r>
          </w:p>
        </w:tc>
        <w:tc>
          <w:tcPr>
            <w:tcW w:w="707" w:type="dxa"/>
            <w:tcBorders/>
            <w:tcMar>
              <w:top w:w="0" w:type="dxa"/>
              <w:left w:w="30" w:type="dxa"/>
              <w:bottom w:w="0" w:type="dxa"/>
              <w:right w:w="30" w:type="dxa"/>
            </w:tcMar>
            <w:vAlign w:val="center"/>
          </w:tcPr>
          <w:p>
            <w:pPr>
              <w:pStyle w:val="TableContents"/>
              <w:widowControl w:val="false"/>
              <w:spacing w:before="0" w:after="0"/>
              <w:jc w:val="center"/>
              <w:rPr>
                <w:sz w:val="14"/>
                <w:szCs w:val="14"/>
              </w:rPr>
            </w:pPr>
            <w:r>
              <w:rPr>
                <w:sz w:val="14"/>
                <w:szCs w:val="14"/>
              </w:rPr>
              <w:t>3.8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3.0</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3.3</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1"/>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suppressAutoHyphens w:val="true"/>
        <w:bidi w:val="0"/>
        <w:spacing w:before="0" w:after="0"/>
        <w:ind w:right="0" w:hanging="0"/>
        <w:jc w:val="left"/>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180" w:right="-720" w:hanging="0"/>
        <w:jc w:val="both"/>
        <w:textAlignment w:val="baseline"/>
        <w:rPr>
          <w:rStyle w:val="Heading3Char"/>
        </w:rPr>
      </w:pPr>
      <w:r>
        <w:rPr/>
      </w:r>
    </w:p>
    <w:p>
      <w:pPr>
        <w:pStyle w:val="Normal"/>
        <w:widowControl w:val="false"/>
        <w:tabs>
          <w:tab w:val="clear" w:pos="720"/>
        </w:tabs>
        <w:suppressAutoHyphens w:val="true"/>
        <w:bidi w:val="0"/>
        <w:spacing w:before="0" w:after="0"/>
        <w:ind w:left="0" w:right="-720" w:hanging="0"/>
        <w:jc w:val="both"/>
        <w:textAlignment w:val="baseline"/>
        <w:rPr/>
      </w:pPr>
      <w:bookmarkStart w:id="22" w:name="_Toc11179407312"/>
      <w:bookmarkStart w:id="23" w:name="_Toc10851368012"/>
      <w:r>
        <w:rPr>
          <w:rStyle w:val="Heading3Char"/>
        </w:rPr>
        <w:t>SI Table 5</w:t>
      </w:r>
      <w:bookmarkEnd w:id="22"/>
      <w:bookmarkEnd w:id="23"/>
      <w:r>
        <w:rPr/>
        <w:t xml:space="preserve">  BLtrimmer results comparing MeltR method 3 to Meltwin method 1. 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3 for convenience.</w:t>
      </w:r>
    </w:p>
    <w:tbl>
      <w:tblPr>
        <w:tblW w:w="13579" w:type="dxa"/>
        <w:jc w:val="left"/>
        <w:tblInd w:w="55" w:type="dxa"/>
        <w:tblLayout w:type="fixed"/>
        <w:tblCellMar>
          <w:top w:w="55" w:type="dxa"/>
          <w:left w:w="55" w:type="dxa"/>
          <w:bottom w:w="55" w:type="dxa"/>
          <w:right w:w="55" w:type="dxa"/>
        </w:tblCellMar>
      </w:tblPr>
      <w:tblGrid>
        <w:gridCol w:w="1618"/>
        <w:gridCol w:w="1351"/>
        <w:gridCol w:w="901"/>
        <w:gridCol w:w="1439"/>
        <w:gridCol w:w="1081"/>
        <w:gridCol w:w="1169"/>
        <w:gridCol w:w="811"/>
        <w:gridCol w:w="1170"/>
        <w:gridCol w:w="899"/>
        <w:gridCol w:w="811"/>
        <w:gridCol w:w="809"/>
        <w:gridCol w:w="812"/>
        <w:gridCol w:w="707"/>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108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169"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1"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w:t>
              <w:br/>
              <w:t>(±4)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-151.5</w:t>
              <w:br/>
              <w:t>(±12.4)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-7.11 (±0.2)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4.4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-60.4</w:t>
              <w:br/>
              <w:t>(±2)</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-173.6</w:t>
              <w:br/>
              <w:t>(±6.4)</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r>
          </w:p>
          <w:p>
            <w:pPr>
              <w:pStyle w:val="Normal"/>
              <w:widowControl w:val="false"/>
              <w:tabs>
                <w:tab w:val="clear" w:pos="720"/>
              </w:tabs>
              <w:jc w:val="center"/>
              <w:rPr>
                <w:sz w:val="14"/>
                <w:szCs w:val="14"/>
              </w:rPr>
            </w:pPr>
            <w:r>
              <w:rPr>
                <w:sz w:val="14"/>
                <w:szCs w:val="14"/>
              </w:rP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-67.02</w:t>
              <w:br/>
              <w:t>(±3.025)</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-184.51</w:t>
              <w:br/>
              <w:t>(±9.497)</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-9.8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52.9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3.1</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-55.6</w:t>
              <w:br/>
              <w:t>(±1.3)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-153.9</w:t>
              <w:br/>
              <w:t>(±4.3)</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-7.85 (±0.17)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49.6</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-51.06</w:t>
              <w:br/>
              <w:t>(±3.567)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-141.39</w:t>
              <w:br/>
              <w:t>(±11.476)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-7.21 (±0.087)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-63.32</w:t>
              <w:br/>
              <w:t>(±1.928)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-174.65</w:t>
              <w:br/>
              <w:t>(±6.191)</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-9.15 (±0.03)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-81.12</w:t>
              <w:br/>
              <w:t xml:space="preserve"> (±1.583)</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-217.61</w:t>
              <w:br/>
              <w:t>(±5.076)</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-13.63 (±0.092)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-61.47</w:t>
              <w:br/>
              <w:t>(±3.4)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-164.74</w:t>
              <w:br/>
              <w:t>(±10.499)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-10.38 (±0.163)</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-74.43</w:t>
              <w:br/>
              <w:t>(±2.316)</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-197.46</w:t>
              <w:br/>
              <w:t>(±6.709)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-13.19 (±0.275)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-74.2</w:t>
              <w:br/>
              <w:t>(±4.4)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-221.7</w:t>
              <w:br/>
              <w:t>(±14.2)</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-5.41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35.9</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-79.4</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108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-229.8</w:t>
              <w:br/>
              <w:t>(±11.9)</w:t>
            </w:r>
          </w:p>
        </w:tc>
        <w:tc>
          <w:tcPr>
            <w:tcW w:w="1169"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1"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-8.15 (±0.12)</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47</w:t>
            </w:r>
          </w:p>
        </w:tc>
        <w:tc>
          <w:tcPr>
            <w:tcW w:w="811"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w:t>
            </w:r>
          </w:p>
        </w:tc>
        <w:tc>
          <w:tcPr>
            <w:tcW w:w="707"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sz w:val="14"/>
                <w:szCs w:val="14"/>
              </w:rPr>
            </w:pPr>
            <w:r>
              <w:rPr>
                <w:sz w:val="14"/>
                <w:szCs w:val="14"/>
              </w:rPr>
              <w:t>Average % error between MeltR method 2 and Meltwin method 2</w:t>
            </w:r>
          </w:p>
        </w:tc>
        <w:tc>
          <w:tcPr>
            <w:tcW w:w="811"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2.6</w:t>
            </w:r>
          </w:p>
        </w:tc>
        <w:tc>
          <w:tcPr>
            <w:tcW w:w="707"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2.3</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2"/>
          <w:type w:val="nextPage"/>
          <w:pgSz w:orient="landscape" w:w="15840" w:h="12240"/>
          <w:pgMar w:left="493" w:right="390" w:gutter="0" w:header="0" w:top="1134" w:footer="1134" w:bottom="1647"/>
          <w:pgNumType w:fmt="decimal"/>
          <w:formProt w:val="false"/>
          <w:textDirection w:val="lrTb"/>
          <w:docGrid w:type="default" w:linePitch="600" w:charSpace="40960"/>
        </w:sectPr>
        <w:pStyle w:val="Normal"/>
        <w:widowControl w:val="false"/>
        <w:tabs>
          <w:tab w:val="clear" w:pos="720"/>
        </w:tabs>
        <w:suppressAutoHyphens w:val="true"/>
        <w:bidi w:val="0"/>
        <w:spacing w:before="0" w:after="0"/>
        <w:ind w:left="0" w:right="-720" w:hanging="0"/>
        <w:jc w:val="both"/>
        <w:textAlignment w:val="baseline"/>
        <w:rPr>
          <w:vertAlign w:val="superscript"/>
        </w:rPr>
      </w:pPr>
      <w:r>
        <w:rPr>
          <w:vertAlign w:val="superscript"/>
        </w:rPr>
        <w:t>c</w:t>
      </w:r>
      <w:r>
        <w:rPr>
          <w:position w:val="0"/>
          <w:sz w:val="20"/>
          <w:sz w:val="20"/>
          <w:vertAlign w:val="baseline"/>
        </w:rPr>
        <w:t>Data compiled in this work.</w:t>
      </w:r>
    </w:p>
    <w:p>
      <w:pPr>
        <w:pStyle w:val="Normal"/>
        <w:widowControl w:val="false"/>
        <w:tabs>
          <w:tab w:val="clear" w:pos="720"/>
        </w:tabs>
        <w:suppressAutoHyphens w:val="true"/>
        <w:bidi w:val="0"/>
        <w:spacing w:before="0" w:after="0"/>
        <w:ind w:left="0" w:right="-720" w:hanging="0"/>
        <w:jc w:val="both"/>
        <w:textAlignment w:val="baseline"/>
        <w:rPr/>
      </w:pPr>
      <w:bookmarkStart w:id="24" w:name="_Toc111794073121"/>
      <w:bookmarkStart w:id="25" w:name="_Toc108513680121"/>
      <w:r>
        <w:rPr>
          <w:rStyle w:val="Heading3Char"/>
        </w:rPr>
        <w:t>SI Table 6</w:t>
      </w:r>
      <w:bookmarkEnd w:id="24"/>
      <w:bookmarkEnd w:id="25"/>
      <w:r>
        <w:rPr/>
        <w:t xml:space="preserve">  BLtrimmer results comparing MeltR method 3 to Meltwin method 1 and 2.MeltR data are reused from SI table 2 and Meltwin data are reused from </w:t>
      </w:r>
    </w:p>
    <w:p>
      <w:pPr>
        <w:pStyle w:val="Normal"/>
        <w:widowControl w:val="false"/>
        <w:tabs>
          <w:tab w:val="clear" w:pos="720"/>
        </w:tabs>
        <w:suppressAutoHyphens w:val="true"/>
        <w:bidi w:val="0"/>
        <w:spacing w:before="0" w:after="0"/>
        <w:ind w:left="0" w:right="-720" w:hanging="0"/>
        <w:jc w:val="both"/>
        <w:textAlignment w:val="baseline"/>
        <w:rPr/>
      </w:pPr>
      <w:r>
        <w:rPr/>
        <w:t>SI Table 2 and 4 for convenience.</w:t>
      </w:r>
    </w:p>
    <w:tbl>
      <w:tblPr>
        <w:tblW w:w="13575" w:type="dxa"/>
        <w:jc w:val="left"/>
        <w:tblInd w:w="55" w:type="dxa"/>
        <w:tblLayout w:type="fixed"/>
        <w:tblCellMar>
          <w:top w:w="55" w:type="dxa"/>
          <w:left w:w="55" w:type="dxa"/>
          <w:bottom w:w="55" w:type="dxa"/>
          <w:right w:w="55" w:type="dxa"/>
        </w:tblCellMar>
      </w:tblPr>
      <w:tblGrid>
        <w:gridCol w:w="1618"/>
        <w:gridCol w:w="1350"/>
        <w:gridCol w:w="902"/>
        <w:gridCol w:w="1439"/>
        <w:gridCol w:w="991"/>
        <w:gridCol w:w="1258"/>
        <w:gridCol w:w="812"/>
        <w:gridCol w:w="1170"/>
        <w:gridCol w:w="899"/>
        <w:gridCol w:w="810"/>
        <w:gridCol w:w="809"/>
        <w:gridCol w:w="812"/>
        <w:gridCol w:w="704"/>
      </w:tblGrid>
      <w:tr>
        <w:trPr>
          <w:trHeight w:val="256" w:hRule="atLeast"/>
        </w:trPr>
        <w:tc>
          <w:tcPr>
            <w:tcW w:w="1618"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Helix</w:t>
            </w:r>
          </w:p>
        </w:tc>
        <w:tc>
          <w:tcPr>
            <w:tcW w:w="135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90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ΔH°</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439"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(cal/mol/K)</w:t>
            </w:r>
          </w:p>
        </w:tc>
        <w:tc>
          <w:tcPr>
            <w:tcW w:w="991" w:type="dxa"/>
            <w:tcBorders>
              <w:top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ΔS°</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(cal/mol/K)</w:t>
            </w:r>
          </w:p>
        </w:tc>
        <w:tc>
          <w:tcPr>
            <w:tcW w:w="1258"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MeltR</w:t>
            </w:r>
            <w:r>
              <w:rPr>
                <w:sz w:val="14"/>
                <w:szCs w:val="14"/>
              </w:rPr>
              <w:br/>
              <w:t>(kcal/mol)</w:t>
            </w:r>
          </w:p>
        </w:tc>
        <w:tc>
          <w:tcPr>
            <w:tcW w:w="812" w:type="dxa"/>
            <w:tcBorders>
              <w:top w:val="single" w:sz="4" w:space="0" w:color="000000"/>
              <w:bottom w:val="single" w:sz="4" w:space="0" w:color="000000"/>
              <w:right w:val="single" w:sz="4" w:space="0" w:color="000000"/>
            </w:tcBorders>
            <w:vAlign w:val="center"/>
          </w:tcPr>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p>
            <w:pPr>
              <w:pStyle w:val="Normal"/>
              <w:widowControl w:val="false"/>
              <w:tabs>
                <w:tab w:val="clear" w:pos="720"/>
              </w:tabs>
              <w:jc w:val="center"/>
              <w:rPr>
                <w:rFonts w:ascii="Arial" w:hAnsi="Arial"/>
                <w:sz w:val="14"/>
                <w:szCs w:val="14"/>
              </w:rPr>
            </w:pPr>
            <w:r>
              <w:rPr>
                <w:position w:val="0"/>
                <w:sz w:val="12"/>
                <w:sz w:val="12"/>
                <w:szCs w:val="12"/>
                <w:vertAlign w:val="baseline"/>
              </w:rPr>
              <w:t>Meltwin</w:t>
            </w:r>
            <w:r>
              <w:rPr>
                <w:sz w:val="14"/>
                <w:szCs w:val="14"/>
              </w:rPr>
              <w:br/>
              <w:t>(kcal/mol)</w:t>
            </w:r>
          </w:p>
        </w:tc>
        <w:tc>
          <w:tcPr>
            <w:tcW w:w="1170"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9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p>
            <w:pPr>
              <w:pStyle w:val="Normal"/>
              <w:widowControl w:val="false"/>
              <w:tabs>
                <w:tab w:val="clear" w:pos="720"/>
              </w:tabs>
              <w:jc w:val="center"/>
              <w:rPr>
                <w:sz w:val="14"/>
                <w:szCs w:val="14"/>
              </w:rPr>
            </w:pPr>
            <w:r>
              <w:rPr>
                <w:position w:val="0"/>
                <w:sz w:val="12"/>
                <w:sz w:val="12"/>
                <w:szCs w:val="12"/>
                <w:vertAlign w:val="baseline"/>
              </w:rPr>
              <w:t>Meltwin</w:t>
            </w:r>
            <w:r>
              <w:rPr>
                <w:sz w:val="14"/>
                <w:szCs w:val="14"/>
              </w:rPr>
              <w:br/>
              <w:t>(°C)</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ΔH°</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ΔS°</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rFonts w:ascii="Arial" w:hAnsi="Arial"/>
                <w:sz w:val="14"/>
                <w:szCs w:val="14"/>
              </w:rPr>
            </w:pPr>
            <w:r>
              <w:rPr>
                <w:sz w:val="14"/>
                <w:szCs w:val="14"/>
              </w:rPr>
              <w:t>ΔG°</w:t>
            </w:r>
            <w:r>
              <w:rPr>
                <w:sz w:val="14"/>
                <w:szCs w:val="14"/>
                <w:vertAlign w:val="subscript"/>
              </w:rPr>
              <w:t>37</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%error</w:t>
            </w:r>
          </w:p>
          <w:p>
            <w:pPr>
              <w:pStyle w:val="Normal"/>
              <w:widowControl w:val="false"/>
              <w:tabs>
                <w:tab w:val="clear" w:pos="720"/>
              </w:tabs>
              <w:jc w:val="center"/>
              <w:rPr>
                <w:sz w:val="14"/>
                <w:szCs w:val="14"/>
              </w:rPr>
            </w:pPr>
            <w:r>
              <w:rPr>
                <w:sz w:val="14"/>
                <w:szCs w:val="14"/>
              </w:rPr>
              <w:t>T</w:t>
            </w:r>
            <w:r>
              <w:rPr>
                <w:sz w:val="14"/>
                <w:szCs w:val="14"/>
                <w:vertAlign w:val="subscript"/>
              </w:rPr>
              <w:t>m</w:t>
            </w:r>
            <w:r>
              <w:rPr>
                <w:sz w:val="14"/>
                <w:szCs w:val="14"/>
                <w:vertAlign w:val="superscript"/>
              </w:rPr>
              <w:t>a</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5’-CGCGCG-3’</w:t>
            </w:r>
            <w:r>
              <w:rPr>
                <w:sz w:val="14"/>
                <w:szCs w:val="14"/>
                <w:vertAlign w:val="superscript"/>
              </w:rPr>
              <w:t>a</w:t>
            </w:r>
            <w:r>
              <w:rPr>
                <w:sz w:val="14"/>
                <w:szCs w:val="14"/>
              </w:rPr>
              <w:br/>
              <w:t>‘3’-GCGCGC-3’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-56.53</w:t>
              <w:br/>
              <w:t>(-60.25 to -53.16)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-53.8</w:t>
              <w:br/>
              <w:t>(±2.9)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-159.96</w:t>
              <w:br/>
              <w:t>(-172.21 to -149.33)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-150.5</w:t>
              <w:br/>
              <w:t>(±9.1)</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-6.91</w:t>
              <w:br/>
              <w:t>(-7.07 to -6.79)</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-7.12 (±0.06)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43.94</w:t>
              <w:br/>
              <w:t>(43.08 to 44.54)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45.6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5’-ACCGGU-3’</w:t>
            </w:r>
            <w:r>
              <w:rPr>
                <w:sz w:val="14"/>
                <w:szCs w:val="14"/>
                <w:vertAlign w:val="superscript"/>
              </w:rPr>
              <w:t>a</w:t>
            </w:r>
            <w:r>
              <w:rPr>
                <w:sz w:val="14"/>
                <w:szCs w:val="14"/>
              </w:rPr>
              <w:br/>
              <w:t>3’-UGGCCA-3’</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-59.86</w:t>
              <w:br/>
              <w:t>(-61.28 to -58.83)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-59.8</w:t>
              <w:br/>
              <w:t>(±1)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-171.4</w:t>
              <w:br/>
              <w:t>(-175.85 to -168.12)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-171.9</w:t>
              <w:br/>
              <w:t>(±3.3)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w:t>
              <w:br/>
              <w:t>(-6.75 to -6.67)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-6.52 (±0.01)</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42.37</w:t>
              <w:br/>
              <w:t>(42.28 to 42.51)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0.0</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0.1</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5’-CCAUGG-3’</w:t>
            </w:r>
            <w:r>
              <w:rPr>
                <w:sz w:val="14"/>
                <w:szCs w:val="14"/>
                <w:vertAlign w:val="superscript"/>
              </w:rPr>
              <w:t>a</w:t>
            </w:r>
            <w:r>
              <w:rPr>
                <w:sz w:val="14"/>
                <w:szCs w:val="14"/>
              </w:rPr>
              <w:br/>
              <w:t>3’-GGUACC-5’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-67.98</w:t>
              <w:br/>
              <w:t>(-69.89 to -66.16)</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-65.85</w:t>
              <w:br/>
              <w:t>(±1.448)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-186.59</w:t>
              <w:br/>
              <w:t>(-192.46 to -181.12)</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-180.82</w:t>
              <w:br/>
              <w:t>(±4.495)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-10.11</w:t>
              <w:br/>
              <w:t>(-10.2 to -10)</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-9.77 (±0.055)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54.21</w:t>
              <w:br/>
              <w:t>(53.95 to 54.54)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53</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1.2</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5’-GAUAUAUC-3’</w:t>
            </w:r>
            <w:r>
              <w:rPr>
                <w:b/>
                <w:bCs/>
                <w:sz w:val="14"/>
                <w:szCs w:val="14"/>
                <w:vertAlign w:val="superscript"/>
              </w:rPr>
              <w:t>a</w:t>
            </w:r>
            <w:r>
              <w:rPr>
                <w:sz w:val="14"/>
                <w:szCs w:val="14"/>
              </w:rPr>
              <w:br/>
              <w:t>3’-CUAUAUAG-5’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-56.76</w:t>
              <w:br/>
              <w:t>(-57.94 to -55.81)</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-52</w:t>
              <w:br/>
              <w:t>(±3.8)</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-156.93</w:t>
              <w:br/>
              <w:t>(-160.59 to -153.94)</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-142.6</w:t>
              <w:br/>
              <w:t>(±11.9)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w:t>
              <w:br/>
              <w:t>(-8.16 to -8.01)</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-7.72 (±0.16)</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50.76</w:t>
              <w:br/>
              <w:t>(50.35 to 51.04)</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49.7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3.7</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4.0</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1.0</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5’-GCAAUUGC-3’</w:t>
            </w:r>
            <w:r>
              <w:rPr>
                <w:sz w:val="14"/>
                <w:szCs w:val="14"/>
                <w:vertAlign w:val="superscript"/>
              </w:rPr>
              <w:t>a</w:t>
            </w:r>
            <w:r>
              <w:rPr>
                <w:sz w:val="14"/>
                <w:szCs w:val="14"/>
              </w:rPr>
              <w:br/>
              <w:t>3’-CGUUAACG-5’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-51.92</w:t>
              <w:br/>
              <w:t>(-54.53 to -50.37)</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-48.17</w:t>
              <w:br/>
              <w:t>(±1.779)</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-143.61</w:t>
              <w:br/>
              <w:t>(-151.88 to -138.78)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-132.17</w:t>
              <w:br/>
              <w:t>(±5.73)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-7.38</w:t>
              <w:br/>
              <w:t>(-7.45 to -7.28)</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-7.18 (±0.024)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42.13</w:t>
              <w:br/>
              <w:t>(41.56 to 42.39)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41.2</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2.9</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3.2</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5’-CGAAAGGU-3’</w:t>
            </w:r>
            <w:r>
              <w:rPr>
                <w:sz w:val="14"/>
                <w:szCs w:val="14"/>
                <w:vertAlign w:val="superscript"/>
              </w:rPr>
              <w:t>b</w:t>
            </w:r>
            <w:r>
              <w:rPr>
                <w:sz w:val="14"/>
                <w:szCs w:val="14"/>
              </w:rPr>
              <w:br/>
              <w:t>3’-GCUUUCCA-5’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-63.31</w:t>
              <w:br/>
              <w:t>(-64 to -62.69)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-63.61</w:t>
              <w:br/>
              <w:t>(±1.507)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-173.83</w:t>
              <w:br/>
              <w:t>(-175.92 to -171.93)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-175.57</w:t>
              <w:br/>
              <w:t>(±4.712)</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-9.39</w:t>
              <w:br/>
              <w:t>(-9.44 to -9.35)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-9.16 (±0.047)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51.69</w:t>
              <w:br/>
              <w:t>(51.43 to 51.88)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50.4</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0.2</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0.5</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5’-CUGAGUC-3’</w:t>
            </w:r>
            <w:r>
              <w:rPr>
                <w:sz w:val="14"/>
                <w:szCs w:val="14"/>
                <w:vertAlign w:val="superscript"/>
              </w:rPr>
              <w:t>b</w:t>
            </w:r>
            <w:r>
              <w:rPr>
                <w:sz w:val="14"/>
                <w:szCs w:val="14"/>
              </w:rPr>
              <w:br/>
              <w:t>3’-GACUCAG-5’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-80.92</w:t>
              <w:br/>
              <w:t>(-83.27 to -79.05)</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-81.05</w:t>
              <w:br/>
              <w:t>(±6.734)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-216.39</w:t>
              <w:br/>
              <w:t>(-223.4 to -210.93)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-217.41</w:t>
              <w:br/>
              <w:t>(±20.017)</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-13.81</w:t>
              <w:br/>
              <w:t>(-14 to -13.65)</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-13.62 (±0.538)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67.66</w:t>
              <w:br/>
              <w:t>(67.13 to 68.11)</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66.7</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0.1</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5’-CGUUGC-3’</w:t>
            </w:r>
            <w:r>
              <w:rPr>
                <w:sz w:val="14"/>
                <w:szCs w:val="14"/>
                <w:vertAlign w:val="superscript"/>
              </w:rPr>
              <w:t>b</w:t>
            </w:r>
            <w:r>
              <w:rPr>
                <w:sz w:val="14"/>
                <w:szCs w:val="14"/>
              </w:rPr>
              <w:br/>
              <w:t>3’-GCAACG-5’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-60.32</w:t>
              <w:br/>
              <w:t>(-62.02 to -58.19)</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-62.23</w:t>
              <w:br/>
              <w:t>(±3.751)</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-160.72</w:t>
              <w:br/>
              <w:t>(-165.71 to -154.29)</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-167.11</w:t>
              <w:br/>
              <w:t>(±11.45)</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-10.48</w:t>
              <w:br/>
              <w:t>(-10.61 to -10.33)</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-10.4 (±0.207)</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58.7</w:t>
              <w:br/>
              <w:t>(58.37 to 58.92)</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57.6</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1.5</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1.1</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FAM-CGAAAGGU-3’</w:t>
            </w:r>
            <w:r>
              <w:rPr>
                <w:sz w:val="14"/>
                <w:szCs w:val="14"/>
                <w:vertAlign w:val="superscript"/>
              </w:rPr>
              <w:t>b</w:t>
            </w:r>
            <w:r>
              <w:rPr>
                <w:sz w:val="14"/>
                <w:szCs w:val="14"/>
              </w:rPr>
              <w:br/>
              <w:t>BHQ1-GCUUUCCA-5’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-75.38</w:t>
              <w:br/>
              <w:t>(-77.21 to -73.3)</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-74.63</w:t>
              <w:br/>
              <w:t>(±6.17)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-199.36</w:t>
              <w:br/>
              <w:t>(-204.73 to -193.23)</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-198.05</w:t>
              <w:br/>
              <w:t>(±18.308)</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-13.54</w:t>
              <w:br/>
              <w:t>(-13.71 to -13.34)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-13.21 (±0.508)</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68.82</w:t>
              <w:br/>
              <w:t>(68.47 to 69.33)</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67.5</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0.6</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1.3</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FAM-CUGAGUC-3’</w:t>
            </w:r>
            <w:r>
              <w:rPr>
                <w:sz w:val="14"/>
                <w:szCs w:val="14"/>
                <w:vertAlign w:val="superscript"/>
              </w:rPr>
              <w:t>b</w:t>
            </w:r>
            <w:r>
              <w:rPr>
                <w:sz w:val="14"/>
                <w:szCs w:val="14"/>
              </w:rPr>
              <w:br/>
              <w:t>BHQ1-GACUCAG-5’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-74.15</w:t>
              <w:br/>
              <w:t>(-78.59 to -71.74)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-66</w:t>
              <w:br/>
              <w:t>(±2.4)</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-221.96</w:t>
              <w:br/>
              <w:t>(-236.28 to -214.21)</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-195</w:t>
              <w:br/>
              <w:t>(±7.9)</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-5.31</w:t>
              <w:br/>
              <w:t>(-5.34 to -5.27)</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-5.48 (±0.04)</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35.47</w:t>
              <w:br/>
              <w:t>(35.26 to 35.59)</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36.1</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6.3</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7.4</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0.9</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0.6</w:t>
            </w:r>
          </w:p>
        </w:tc>
      </w:tr>
      <w:tr>
        <w:trPr>
          <w:trHeight w:val="256" w:hRule="atLeast"/>
        </w:trPr>
        <w:tc>
          <w:tcPr>
            <w:tcW w:w="1618" w:type="dxa"/>
            <w:tcBorders/>
            <w:tcMar>
              <w:top w:w="0" w:type="dxa"/>
              <w:left w:w="30" w:type="dxa"/>
              <w:bottom w:w="0" w:type="dxa"/>
              <w:right w:w="30" w:type="dxa"/>
            </w:tcMar>
            <w:vAlign w:val="center"/>
          </w:tcPr>
          <w:p>
            <w:pPr>
              <w:pStyle w:val="Normal"/>
              <w:widowControl w:val="false"/>
              <w:tabs>
                <w:tab w:val="clear" w:pos="720"/>
              </w:tabs>
              <w:jc w:val="center"/>
              <w:rPr/>
            </w:pPr>
            <w:r>
              <w:rPr>
                <w:sz w:val="14"/>
                <w:szCs w:val="14"/>
              </w:rPr>
              <w:t xml:space="preserve">  </w:t>
            </w:r>
            <w:r>
              <w:rPr>
                <w:sz w:val="14"/>
                <w:szCs w:val="14"/>
              </w:rPr>
              <w:t>FAM-CGUUGC-3’</w:t>
            </w:r>
            <w:r>
              <w:rPr>
                <w:sz w:val="14"/>
                <w:szCs w:val="14"/>
                <w:vertAlign w:val="superscript"/>
              </w:rPr>
              <w:t>b</w:t>
            </w:r>
            <w:r>
              <w:rPr>
                <w:sz w:val="14"/>
                <w:szCs w:val="14"/>
              </w:rPr>
              <w:br/>
              <w:t>BHQ1-GCAACG-5’</w:t>
            </w:r>
          </w:p>
        </w:tc>
        <w:tc>
          <w:tcPr>
            <w:tcW w:w="135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-81.24</w:t>
              <w:br/>
              <w:t>(-84.35 to -79.04)</w:t>
            </w:r>
          </w:p>
        </w:tc>
        <w:tc>
          <w:tcPr>
            <w:tcW w:w="90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-78.1</w:t>
              <w:br/>
              <w:t>(±1.7)</w:t>
            </w:r>
          </w:p>
        </w:tc>
        <w:tc>
          <w:tcPr>
            <w:tcW w:w="143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-234.11</w:t>
              <w:br/>
              <w:t>(-243.79 to -227.28)</w:t>
            </w:r>
          </w:p>
        </w:tc>
        <w:tc>
          <w:tcPr>
            <w:tcW w:w="991"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-225.7</w:t>
              <w:br/>
              <w:t>(±5.3)</w:t>
            </w:r>
          </w:p>
        </w:tc>
        <w:tc>
          <w:tcPr>
            <w:tcW w:w="1258" w:type="dxa"/>
            <w:tcBorders>
              <w:left w:val="single" w:sz="4" w:space="0" w:color="000000"/>
            </w:tcBorders>
            <w:vAlign w:val="center"/>
          </w:tcPr>
          <w:p>
            <w:pPr>
              <w:pStyle w:val="Normal"/>
              <w:widowControl w:val="false"/>
              <w:tabs>
                <w:tab w:val="clear" w:pos="720"/>
              </w:tabs>
              <w:jc w:val="center"/>
              <w:rPr>
                <w:sz w:val="14"/>
                <w:szCs w:val="14"/>
              </w:rPr>
            </w:pPr>
            <w:r>
              <w:rPr>
                <w:sz w:val="14"/>
                <w:szCs w:val="14"/>
              </w:rPr>
              <w:t>-8.63</w:t>
              <w:br/>
              <w:t>(-8.73 to -8.54)</w:t>
            </w:r>
          </w:p>
        </w:tc>
        <w:tc>
          <w:tcPr>
            <w:tcW w:w="812" w:type="dxa"/>
            <w:tcBorders>
              <w:right w:val="single" w:sz="4" w:space="0" w:color="000000"/>
            </w:tcBorders>
            <w:vAlign w:val="center"/>
          </w:tcPr>
          <w:p>
            <w:pPr>
              <w:pStyle w:val="Normal"/>
              <w:widowControl w:val="false"/>
              <w:tabs>
                <w:tab w:val="clear" w:pos="720"/>
              </w:tabs>
              <w:jc w:val="center"/>
              <w:rPr>
                <w:sz w:val="14"/>
                <w:szCs w:val="14"/>
              </w:rPr>
            </w:pPr>
            <w:r>
              <w:rPr>
                <w:sz w:val="14"/>
                <w:szCs w:val="14"/>
              </w:rPr>
              <w:t>-8.09 (±0.05)</w:t>
            </w:r>
          </w:p>
        </w:tc>
        <w:tc>
          <w:tcPr>
            <w:tcW w:w="1170"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48.71</w:t>
              <w:br/>
              <w:t>(48.64 to 48.78)</w:t>
            </w:r>
          </w:p>
        </w:tc>
        <w:tc>
          <w:tcPr>
            <w:tcW w:w="89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46.9</w:t>
            </w:r>
          </w:p>
        </w:tc>
        <w:tc>
          <w:tcPr>
            <w:tcW w:w="810" w:type="dxa"/>
            <w:tcBorders>
              <w:left w:val="single" w:sz="4" w:space="0" w:color="000000"/>
            </w:tcBorders>
            <w:vAlign w:val="center"/>
          </w:tcPr>
          <w:p>
            <w:pPr>
              <w:pStyle w:val="Normal"/>
              <w:widowControl w:val="false"/>
              <w:tabs>
                <w:tab w:val="clear" w:pos="720"/>
              </w:tabs>
              <w:jc w:val="center"/>
              <w:rPr>
                <w:sz w:val="14"/>
                <w:szCs w:val="14"/>
              </w:rPr>
            </w:pPr>
            <w:r>
              <w:rPr>
                <w:sz w:val="14"/>
                <w:szCs w:val="14"/>
              </w:rPr>
              <w:t>2.4</w:t>
            </w:r>
          </w:p>
        </w:tc>
        <w:tc>
          <w:tcPr>
            <w:tcW w:w="809"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2.3</w:t>
            </w:r>
          </w:p>
        </w:tc>
        <w:tc>
          <w:tcPr>
            <w:tcW w:w="812"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3.0</w:t>
            </w:r>
          </w:p>
        </w:tc>
        <w:tc>
          <w:tcPr>
            <w:tcW w:w="704" w:type="dxa"/>
            <w:tcBorders/>
            <w:tcMar>
              <w:top w:w="0" w:type="dxa"/>
              <w:left w:w="30" w:type="dxa"/>
              <w:bottom w:w="0" w:type="dxa"/>
              <w:right w:w="30" w:type="dxa"/>
            </w:tcMar>
            <w:vAlign w:val="center"/>
          </w:tcPr>
          <w:p>
            <w:pPr>
              <w:pStyle w:val="Normal"/>
              <w:widowControl w:val="false"/>
              <w:tabs>
                <w:tab w:val="clear" w:pos="720"/>
              </w:tabs>
              <w:jc w:val="center"/>
              <w:rPr>
                <w:sz w:val="14"/>
                <w:szCs w:val="14"/>
              </w:rPr>
            </w:pPr>
            <w:r>
              <w:rPr>
                <w:sz w:val="14"/>
                <w:szCs w:val="14"/>
              </w:rPr>
              <w:t>1.8</w:t>
            </w:r>
          </w:p>
        </w:tc>
      </w:tr>
      <w:tr>
        <w:trPr>
          <w:trHeight w:val="256" w:hRule="atLeast"/>
        </w:trPr>
        <w:tc>
          <w:tcPr>
            <w:tcW w:w="10439" w:type="dxa"/>
            <w:gridSpan w:val="9"/>
            <w:tcBorders>
              <w:top w:val="single" w:sz="4" w:space="0" w:color="000000"/>
              <w:bottom w:val="single" w:sz="4" w:space="0" w:color="000000"/>
            </w:tcBorders>
            <w:vAlign w:val="center"/>
          </w:tcPr>
          <w:p>
            <w:pPr>
              <w:pStyle w:val="Normal"/>
              <w:widowControl w:val="false"/>
              <w:tabs>
                <w:tab w:val="clear" w:pos="720"/>
              </w:tabs>
              <w:jc w:val="right"/>
              <w:rPr/>
            </w:pPr>
            <w:r>
              <w:rPr>
                <w:sz w:val="14"/>
                <w:szCs w:val="14"/>
              </w:rPr>
              <w:t>Average % error between MeltR method 2 and Meltwin method 2</w:t>
            </w:r>
          </w:p>
        </w:tc>
        <w:tc>
          <w:tcPr>
            <w:tcW w:w="810" w:type="dxa"/>
            <w:tcBorders>
              <w:top w:val="single" w:sz="4" w:space="0" w:color="000000"/>
              <w:left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1.9</w:t>
            </w:r>
          </w:p>
        </w:tc>
        <w:tc>
          <w:tcPr>
            <w:tcW w:w="809"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2.2</w:t>
            </w:r>
          </w:p>
        </w:tc>
        <w:tc>
          <w:tcPr>
            <w:tcW w:w="812"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1.4</w:t>
            </w:r>
          </w:p>
        </w:tc>
        <w:tc>
          <w:tcPr>
            <w:tcW w:w="704" w:type="dxa"/>
            <w:tcBorders>
              <w:top w:val="single" w:sz="4" w:space="0" w:color="000000"/>
              <w:bottom w:val="single" w:sz="4" w:space="0" w:color="000000"/>
            </w:tcBorders>
            <w:vAlign w:val="center"/>
          </w:tcPr>
          <w:p>
            <w:pPr>
              <w:pStyle w:val="Normal"/>
              <w:widowControl w:val="false"/>
              <w:tabs>
                <w:tab w:val="clear" w:pos="720"/>
              </w:tabs>
              <w:jc w:val="center"/>
              <w:rPr>
                <w:sz w:val="14"/>
                <w:szCs w:val="14"/>
              </w:rPr>
            </w:pPr>
            <w:r>
              <w:rPr>
                <w:sz w:val="14"/>
                <w:szCs w:val="14"/>
              </w:rPr>
              <w:t>1.2</w:t>
            </w:r>
          </w:p>
        </w:tc>
      </w:tr>
    </w:tbl>
    <w:p>
      <w:pPr>
        <w:pStyle w:val="Normal"/>
        <w:rPr/>
      </w:pPr>
      <w:r>
        <w:rPr>
          <w:vertAlign w:val="superscript"/>
        </w:rPr>
        <w:t>a</w:t>
      </w:r>
      <w:r>
        <w:rPr/>
        <w:t>Expectation maximized T</w:t>
      </w:r>
      <w:r>
        <w:rPr>
          <w:vertAlign w:val="subscript"/>
        </w:rPr>
        <w:t>m</w:t>
      </w:r>
      <w:r>
        <w:rPr/>
        <w:t xml:space="preserve"> at a C</w:t>
      </w:r>
      <w:r>
        <w:rPr>
          <w:vertAlign w:val="subscript"/>
        </w:rPr>
        <w:t>t</w:t>
      </w:r>
      <w:r>
        <w:rPr/>
        <w:t xml:space="preserve"> of 0.1 mM.</w:t>
      </w:r>
    </w:p>
    <w:p>
      <w:pPr>
        <w:pStyle w:val="Normal"/>
        <w:widowControl w:val="false"/>
        <w:suppressAutoHyphens w:val="true"/>
        <w:bidi w:val="0"/>
        <w:spacing w:before="0" w:after="0"/>
        <w:ind w:right="0" w:hanging="0"/>
        <w:jc w:val="left"/>
        <w:textAlignment w:val="baseline"/>
        <w:rPr/>
      </w:pPr>
      <w:r>
        <w:rPr>
          <w:vertAlign w:val="superscript"/>
        </w:rPr>
        <w:t>b</w:t>
      </w:r>
      <w:r>
        <w:rPr>
          <w:position w:val="0"/>
          <w:sz w:val="20"/>
          <w:sz w:val="20"/>
          <w:vertAlign w:val="baseline"/>
        </w:rPr>
        <w:t>Data compiled</w:t>
      </w:r>
      <w:r>
        <w:rPr/>
        <w:t xml:space="preserve"> from a published source.</w:t>
      </w:r>
      <w:r>
        <w:rPr>
          <w:vertAlign w:val="superscript"/>
        </w:rPr>
        <w:t>1</w:t>
      </w:r>
    </w:p>
    <w:p>
      <w:pPr>
        <w:sectPr>
          <w:footerReference w:type="default" r:id="rId13"/>
          <w:type w:val="nextPage"/>
          <w:pgSz w:orient="landscape" w:w="15840" w:h="12240"/>
          <w:pgMar w:left="1134" w:right="1134" w:gutter="0" w:header="0" w:top="1134" w:footer="0" w:bottom="1134"/>
          <w:pgNumType w:fmt="decimal"/>
          <w:formProt w:val="false"/>
          <w:textDirection w:val="lrTb"/>
          <w:docGrid w:type="default" w:linePitch="100" w:charSpace="0"/>
        </w:sectPr>
        <w:pStyle w:val="Normal"/>
        <w:widowControl w:val="false"/>
        <w:tabs>
          <w:tab w:val="clear" w:pos="720"/>
        </w:tabs>
        <w:suppressAutoHyphens w:val="true"/>
        <w:bidi w:val="0"/>
        <w:spacing w:before="0" w:after="0"/>
        <w:ind w:left="0" w:right="-720" w:hanging="0"/>
        <w:jc w:val="both"/>
        <w:textAlignment w:val="baseline"/>
        <w:rPr/>
      </w:pPr>
      <w:r>
        <w:rPr>
          <w:vertAlign w:val="superscript"/>
        </w:rPr>
        <w:t>c</w:t>
      </w:r>
      <w:r>
        <w:rPr>
          <w:position w:val="0"/>
          <w:sz w:val="20"/>
          <w:sz w:val="20"/>
          <w:vertAlign w:val="baseline"/>
        </w:rPr>
        <w:t>Data compiled in this work.</w:t>
      </w:r>
      <w:r>
        <w:br w:type="page"/>
      </w:r>
    </w:p>
    <w:p>
      <w:pPr>
        <w:pStyle w:val="Heading1"/>
        <w:ind w:left="0" w:right="-720" w:hanging="0"/>
        <w:jc w:val="both"/>
        <w:rPr/>
      </w:pPr>
      <w:bookmarkStart w:id="26" w:name="__RefHeading___Toc99310_3449495920"/>
      <w:bookmarkStart w:id="27" w:name="_Toc1085136791"/>
      <w:bookmarkStart w:id="28" w:name="_Toc1117940721"/>
      <w:bookmarkEnd w:id="26"/>
      <w:r>
        <w:rPr/>
        <w:t>Supplementary information references</w:t>
      </w:r>
      <w:bookmarkEnd w:id="27"/>
      <w:bookmarkEnd w:id="28"/>
    </w:p>
    <w:p>
      <w:pPr>
        <w:pStyle w:val="Normal"/>
        <w:ind w:left="0" w:hanging="0"/>
        <w:jc w:val="both"/>
        <w:rPr/>
      </w:pPr>
      <w:r>
        <w:rPr/>
      </w:r>
    </w:p>
    <w:p>
      <w:pPr>
        <w:pStyle w:val="Normal"/>
        <w:widowControl w:val="false"/>
        <w:suppressAutoHyphens w:val="true"/>
        <w:bidi w:val="0"/>
        <w:spacing w:before="0" w:after="0"/>
        <w:ind w:left="0" w:hanging="0"/>
        <w:jc w:val="both"/>
        <w:textAlignment w:val="baseline"/>
        <w:rPr/>
      </w:pPr>
      <w:r>
        <w:rPr>
          <w:position w:val="0"/>
          <w:sz w:val="20"/>
          <w:sz w:val="20"/>
          <w:vertAlign w:val="baseline"/>
        </w:rPr>
        <w:t xml:space="preserve">(1) Adams, M. S.; Znosko, B. M. Thermodynamic Characterization and Nearest Neighbor Parameters for RNA Duplexes under Molecular Crowding Conditions. </w:t>
      </w:r>
      <w:r>
        <w:rPr>
          <w:i/>
          <w:position w:val="0"/>
          <w:sz w:val="20"/>
          <w:sz w:val="20"/>
          <w:vertAlign w:val="baseline"/>
        </w:rPr>
        <w:t>Nucleic Acids Research</w:t>
      </w:r>
      <w:r>
        <w:rPr>
          <w:position w:val="0"/>
          <w:sz w:val="20"/>
          <w:sz w:val="20"/>
          <w:vertAlign w:val="baseline"/>
        </w:rPr>
        <w:t xml:space="preserve"> </w:t>
      </w:r>
      <w:r>
        <w:rPr>
          <w:b/>
          <w:position w:val="0"/>
          <w:sz w:val="20"/>
          <w:sz w:val="20"/>
          <w:vertAlign w:val="baseline"/>
        </w:rPr>
        <w:t>2019</w:t>
      </w:r>
      <w:r>
        <w:rPr>
          <w:position w:val="0"/>
          <w:sz w:val="20"/>
          <w:sz w:val="20"/>
          <w:vertAlign w:val="baseline"/>
        </w:rPr>
        <w:t xml:space="preserve">, </w:t>
      </w:r>
      <w:r>
        <w:rPr>
          <w:i/>
          <w:position w:val="0"/>
          <w:sz w:val="20"/>
          <w:sz w:val="20"/>
          <w:vertAlign w:val="baseline"/>
        </w:rPr>
        <w:t>47</w:t>
      </w:r>
      <w:r>
        <w:rPr>
          <w:position w:val="0"/>
          <w:sz w:val="20"/>
          <w:sz w:val="20"/>
          <w:vertAlign w:val="baseline"/>
        </w:rPr>
        <w:t xml:space="preserve"> (7), 3658–3666. </w:t>
      </w:r>
      <w:hyperlink r:id="rId14">
        <w:r>
          <w:rPr>
            <w:rStyle w:val="InternetLink"/>
            <w:position w:val="0"/>
            <w:sz w:val="20"/>
            <w:sz w:val="20"/>
            <w:vertAlign w:val="baseline"/>
          </w:rPr>
          <w:t>https://doi.org/10.1093/nar/gkz019</w:t>
        </w:r>
      </w:hyperlink>
      <w:r>
        <w:rPr>
          <w:position w:val="0"/>
          <w:sz w:val="20"/>
          <w:sz w:val="20"/>
          <w:vertAlign w:val="baseline"/>
        </w:rPr>
        <w:t>.</w:t>
      </w:r>
    </w:p>
    <w:sectPr>
      <w:footerReference w:type="default" r:id="rId15"/>
      <w:type w:val="nextPage"/>
      <w:pgSz w:w="12240" w:h="15840"/>
      <w:pgMar w:left="1440" w:right="1440" w:gutter="0" w:header="0" w:top="777" w:footer="720" w:bottom="1440"/>
      <w:pgNumType w:fmt="decimal"/>
      <w:formProt w:val="false"/>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Brent Znosko" w:date="2022-10-06T13:29:00Z" w:initials="BZ">
    <w:p>
      <w:r>
        <w:rPr>
          <w:rFonts w:ascii="Liberation Serif" w:hAnsi="Liberation Serif" w:eastAsia="DejaVu Sans" w:cs="DejaVu Sans"/>
          <w:kern w:val="0"/>
          <w:sz w:val="24"/>
          <w:szCs w:val="24"/>
          <w:lang w:val="en-US" w:eastAsia="en-US" w:bidi="en-US"/>
        </w:rPr>
        <w:t>Would it be important to provide more information about why these are valid assumptions?</w:t>
      </w:r>
    </w:p>
  </w:comment>
  <w:comment w:id="0" w:author="Bevilacqua, Philip C" w:date="2022-10-11T08:12:00Z" w:initials="BPC">
    <w:p>
      <w:r>
        <w:rPr>
          <w:rFonts w:ascii="Liberation Serif" w:hAnsi="Liberation Serif" w:eastAsia="DejaVu Sans" w:cs="DejaVu Sans"/>
          <w:kern w:val="0"/>
          <w:sz w:val="24"/>
          <w:szCs w:val="24"/>
          <w:lang w:val="en-US" w:eastAsia="en-US" w:bidi="en-US"/>
        </w:rPr>
        <w:t>good point</w:t>
      </w:r>
    </w:p>
  </w:comment>
  <w:comment w:id="3" w:author="Brent Znosko" w:date="2022-10-06T13:29:00Z" w:initials="BZ">
    <w:p>
      <w:r>
        <w:rPr>
          <w:rFonts w:ascii="Liberation Serif" w:hAnsi="Liberation Serif" w:eastAsia="DejaVu Sans" w:cs="DejaVu Sans"/>
          <w:kern w:val="0"/>
          <w:sz w:val="24"/>
          <w:szCs w:val="24"/>
          <w:lang w:val="en-US" w:eastAsia="en-US" w:bidi="en-US"/>
        </w:rPr>
        <w:t>What is the definition of "realistic"?</w:t>
      </w:r>
    </w:p>
  </w:comment>
  <w:comment w:id="2" w:author="Sieg, Jacob Philip" w:date="2022-10-10T17:01:00Z" w:initials="SJP">
    <w:p>
      <w:r>
        <w:rPr>
          <w:rFonts w:ascii="Liberation Serif" w:hAnsi="Liberation Serif" w:eastAsia="DejaVu Sans" w:cs="DejaVu Sans"/>
          <w:kern w:val="0"/>
          <w:sz w:val="24"/>
          <w:szCs w:val="24"/>
          <w:lang w:val="en-US" w:eastAsia="en-US" w:bidi="en-US"/>
        </w:rPr>
        <w:t>Good point.</w:t>
      </w:r>
    </w:p>
    <w:p>
      <w:r>
        <w:rPr>
          <w:rFonts w:ascii="Liberation Serif" w:hAnsi="Liberation Serif" w:eastAsia="DejaVu Sans"/>
          <w:sz w:val="24"/>
          <w:szCs w:val="24"/>
          <w:lang w:val="en-US" w:eastAsia="en-US" w:bidi="en-US"/>
        </w:rPr>
      </w:r>
    </w:p>
    <w:p>
      <w:r>
        <w:rPr>
          <w:rFonts w:ascii="Liberation Serif" w:hAnsi="Liberation Serif" w:eastAsia="DejaVu Sans" w:cs="DejaVu Sans"/>
          <w:kern w:val="0"/>
          <w:sz w:val="24"/>
          <w:szCs w:val="24"/>
          <w:lang w:val="en-US" w:eastAsia="en-US" w:bidi="en-US"/>
        </w:rPr>
        <w:t>I fit a data set, determined the slope and intercept for each curve, then took the average and SD. I then used the Gaussian distribution to randomly generates slopes and intercepts for each curve. I will explain the math in the methods.</w:t>
      </w:r>
    </w:p>
  </w:comment>
  <w:comment w:id="4" w:author="Brent Znosko" w:date="2022-10-06T13:31:00Z" w:initials="BZ">
    <w:p>
      <w:r>
        <w:rPr>
          <w:rFonts w:ascii="Liberation Serif" w:hAnsi="Liberation Serif" w:eastAsia="DejaVu Sans" w:cs="DejaVu Sans"/>
          <w:kern w:val="0"/>
          <w:sz w:val="24"/>
          <w:szCs w:val="24"/>
          <w:lang w:val="en-US" w:eastAsia="en-US" w:bidi="en-US"/>
        </w:rPr>
        <w:t xml:space="preserve">So I guess this doesn't coincide with the 2-state approximation?? </w:t>
      </w:r>
    </w:p>
  </w:comment>
  <w:comment w:id="6" w:author="Brent Znosko" w:date="2022-10-06T13:36:00Z" w:initials="BZ">
    <w:p>
      <w:r>
        <w:rPr>
          <w:rFonts w:ascii="Liberation Serif" w:hAnsi="Liberation Serif" w:eastAsia="DejaVu Sans" w:cs="DejaVu Sans"/>
          <w:kern w:val="0"/>
          <w:sz w:val="24"/>
          <w:szCs w:val="24"/>
          <w:lang w:val="en-US" w:eastAsia="en-US" w:bidi="en-US"/>
        </w:rPr>
        <w:t>The upper, lower, low temperature, high temperature was confusing to me.  Is there a better way to say this?</w:t>
      </w:r>
    </w:p>
  </w:comment>
  <w:comment w:id="5" w:author="Sieg, Jacob Philip" w:date="2022-10-10T17:01:00Z" w:initials="SJP">
    <w:p>
      <w:r>
        <w:rPr>
          <w:rFonts w:ascii="Liberation Serif" w:hAnsi="Liberation Serif" w:eastAsia="DejaVu Sans" w:cs="DejaVu Sans"/>
          <w:kern w:val="0"/>
          <w:sz w:val="24"/>
          <w:szCs w:val="24"/>
          <w:lang w:val="en-US" w:eastAsia="en-US" w:bidi="en-US"/>
        </w:rPr>
        <w:t>Probably. I will work on it.</w:t>
      </w:r>
    </w:p>
  </w:comment>
  <w:comment w:id="8" w:author="Brent Znosko" w:date="2022-10-06T13:37:00Z" w:initials="BZ">
    <w:p>
      <w:r>
        <w:rPr>
          <w:rFonts w:ascii="Liberation Serif" w:hAnsi="Liberation Serif" w:eastAsia="DejaVu Sans" w:cs="DejaVu Sans"/>
          <w:kern w:val="0"/>
          <w:sz w:val="24"/>
          <w:szCs w:val="24"/>
          <w:lang w:val="en-US" w:eastAsia="en-US" w:bidi="en-US"/>
        </w:rPr>
        <w:t>Longer baselines?</w:t>
      </w:r>
    </w:p>
  </w:comment>
  <w:comment w:id="7" w:author="Sebastian Arteaga" w:date="2022-10-04T15:24:00Z" w:initials="SA">
    <w:p>
      <w:r>
        <w:rPr>
          <w:rFonts w:ascii="Liberation Serif" w:hAnsi="Liberation Serif" w:eastAsia="DejaVu Sans" w:cs="DejaVu Sans"/>
          <w:kern w:val="0"/>
          <w:sz w:val="24"/>
          <w:szCs w:val="24"/>
          <w:lang w:val="en-US" w:eastAsia="en-US" w:bidi="en-US"/>
        </w:rPr>
        <w:t>Significant deviations in Tm are shown below 5*C. The dH did not show the same trend here. Are we assuming that means that the output values are incorrect for both?</w:t>
      </w:r>
    </w:p>
  </w:comment>
  <w:comment w:id="10" w:author="Sebastian Arteaga" w:date="2022-10-04T15:32:00Z" w:initials="SA">
    <w:p>
      <w:r>
        <w:rPr>
          <w:rFonts w:ascii="Liberation Serif" w:hAnsi="Liberation Serif" w:eastAsia="DejaVu Sans" w:cs="DejaVu Sans"/>
          <w:kern w:val="0"/>
          <w:sz w:val="24"/>
          <w:szCs w:val="24"/>
          <w:lang w:val="en-US" w:eastAsia="en-US" w:bidi="en-US"/>
        </w:rPr>
        <w:t>What would the correct value be here?</w:t>
      </w:r>
    </w:p>
  </w:comment>
  <w:comment w:id="9" w:author="Sieg, Jacob Philip" w:date="2022-10-10T17:03:00Z" w:initials="SJP">
    <w:p>
      <w:r>
        <w:rPr>
          <w:rFonts w:ascii="Liberation Serif" w:hAnsi="Liberation Serif" w:eastAsia="DejaVu Sans" w:cs="DejaVu Sans"/>
          <w:kern w:val="0"/>
          <w:sz w:val="24"/>
          <w:szCs w:val="24"/>
          <w:lang w:val="en-US" w:eastAsia="en-US" w:bidi="en-US"/>
        </w:rPr>
        <w:t>Good point, there is none because this is an experiment. I should say converges on a value.</w:t>
      </w:r>
    </w:p>
  </w:comment>
  <w:comment w:id="11" w:author="Sebastian Arteaga" w:date="2022-10-04T15:40:00Z" w:initials="SA">
    <w:p>
      <w:r>
        <w:rPr>
          <w:rFonts w:ascii="Liberation Serif" w:hAnsi="Liberation Serif" w:eastAsia="DejaVu Sans" w:cs="DejaVu Sans"/>
          <w:kern w:val="0"/>
          <w:sz w:val="24"/>
          <w:szCs w:val="24"/>
          <w:lang w:val="en-US" w:eastAsia="en-US" w:bidi="en-US"/>
        </w:rPr>
        <w:t>If a 25*C upper limit DNE would that cause an error? For example, a sample had a melting temperature of 70 *C and the method stopped collecting data at 90*C.</w:t>
      </w:r>
    </w:p>
  </w:comment>
  <w:comment w:id="12" w:author="Sieg, Jacob Philip" w:date="2022-10-10T17:19:00Z" w:initials="SJP">
    <w:p>
      <w:r>
        <w:rPr>
          <w:rFonts w:ascii="Liberation Serif" w:hAnsi="Liberation Serif" w:eastAsia="DejaVu Sans" w:cs="DejaVu Sans"/>
          <w:kern w:val="0"/>
          <w:sz w:val="24"/>
          <w:szCs w:val="24"/>
          <w:lang w:val="en-US" w:eastAsia="en-US" w:bidi="en-US"/>
        </w:rPr>
        <w:t>We could probably place from here down in the SI</w:t>
      </w:r>
    </w:p>
  </w:comment>
  <w:comment w:id="13" w:author="Sebastian Arteaga" w:date="2022-10-06T14:39:00Z" w:initials="SA">
    <w:p>
      <w:r>
        <w:rPr>
          <w:rFonts w:ascii="Liberation Serif" w:hAnsi="Liberation Serif" w:eastAsia="DejaVu Sans" w:cs="DejaVu Sans"/>
          <w:kern w:val="0"/>
          <w:sz w:val="24"/>
          <w:szCs w:val="24"/>
          <w:lang w:val="en-US" w:eastAsia="en-US" w:bidi="en-US"/>
        </w:rPr>
        <w:t xml:space="preserve">The difference between range step and n.ranges was difficult to decipher here.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Times New Roman">
    <w:charset w:val="01"/>
    <w:family w:val="swiss"/>
    <w:pitch w:val="variable"/>
  </w:font>
  <w:font w:name="Courier New">
    <w:charset w:val="01"/>
    <w:family w:val="roman"/>
    <w:pitch w:val="variable"/>
  </w:font>
  <w:font w:name="Arno Pro">
    <w:charset w:val="01"/>
    <w:family w:val="roman"/>
    <w:pitch w:val="variable"/>
  </w:font>
  <w:font w:name="Liberation Sans">
    <w:altName w:val="Arial"/>
    <w:charset w:val="01"/>
    <w:family w:val="roman"/>
    <w:pitch w:val="variable"/>
  </w:font>
  <w:font w:name="Myriad Pro Ligh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12</w:t>
    </w:r>
    <w:r>
      <w:rPr>
        <w:rFonts w:cs="Times New Roman" w:ascii="Times New Roman" w:hAnsi="Times New Roman"/>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14</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15</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supplemental figures and tables p. </w:t>
    </w:r>
    <w:r>
      <w:rPr/>
      <w:fldChar w:fldCharType="begin"/>
    </w:r>
    <w:r>
      <w:rPr/>
      <w:instrText xml:space="preserve"> PAGE </w:instrText>
    </w:r>
    <w:r>
      <w:rPr/>
      <w:fldChar w:fldCharType="separate"/>
    </w:r>
    <w:r>
      <w:rPr/>
      <w:t>16</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rFonts w:ascii="Arial" w:hAnsi="Arial" w:eastAsia="Calibri" w:cs="DejaVu Sans"/>
        <w:color w:val="auto"/>
        <w:kern w:val="0"/>
        <w:sz w:val="20"/>
        <w:szCs w:val="22"/>
        <w:lang w:val="en-US" w:eastAsia="en-US" w:bidi="ar-SA"/>
      </w:rPr>
    </w:pPr>
    <w:r>
      <w:rPr>
        <w:rFonts w:eastAsia="Calibri" w:cs="DejaVu Sans"/>
        <w:color w:val="auto"/>
        <w:kern w:val="0"/>
        <w:sz w:val="20"/>
        <w:szCs w:val="22"/>
        <w:lang w:val="en-US" w:eastAsia="en-US" w:bidi="ar-SA"/>
      </w:rPr>
      <w:t xml:space="preserve">Sieg supplemental figures and tables p. </w:t>
    </w:r>
    <w:r>
      <w:rPr>
        <w:rFonts w:eastAsia="Calibri" w:cs="DejaVu Sans"/>
        <w:color w:val="auto"/>
        <w:kern w:val="0"/>
        <w:sz w:val="20"/>
        <w:szCs w:val="22"/>
        <w:lang w:val="en-US" w:eastAsia="en-US" w:bidi="ar-SA"/>
      </w:rPr>
      <w:fldChar w:fldCharType="begin"/>
    </w:r>
    <w:r>
      <w:rPr>
        <w:sz w:val="20"/>
        <w:kern w:val="0"/>
        <w:szCs w:val="22"/>
        <w:rFonts w:eastAsia="Calibri" w:cs="DejaVu Sans"/>
        <w:color w:val="auto"/>
        <w:lang w:val="en-US" w:eastAsia="en-US" w:bidi="ar-SA"/>
      </w:rPr>
      <w:instrText xml:space="preserve"> PAGE </w:instrText>
    </w:r>
    <w:r>
      <w:rPr>
        <w:sz w:val="20"/>
        <w:kern w:val="0"/>
        <w:szCs w:val="22"/>
        <w:rFonts w:eastAsia="Calibri" w:cs="DejaVu Sans"/>
        <w:color w:val="auto"/>
        <w:lang w:val="en-US" w:eastAsia="en-US" w:bidi="ar-SA"/>
      </w:rPr>
      <w:fldChar w:fldCharType="separate"/>
    </w:r>
    <w:r>
      <w:rPr>
        <w:sz w:val="20"/>
        <w:kern w:val="0"/>
        <w:szCs w:val="22"/>
        <w:rFonts w:eastAsia="Calibri" w:cs="DejaVu Sans"/>
        <w:color w:val="auto"/>
        <w:lang w:val="en-US" w:eastAsia="en-US" w:bidi="ar-SA"/>
      </w:rPr>
      <w:t>17</w:t>
    </w:r>
    <w:r>
      <w:rPr>
        <w:sz w:val="20"/>
        <w:kern w:val="0"/>
        <w:szCs w:val="22"/>
        <w:rFonts w:eastAsia="Calibri" w:cs="DejaVu Sans"/>
        <w:color w:val="auto"/>
        <w:lang w:val="en-US" w:eastAsia="en-US" w:bidi="ar-SA"/>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Fonts w:cs="Times New Roman" w:ascii="Times New Roman" w:hAnsi="Times New Roman"/>
      </w:rPr>
      <w:t xml:space="preserve">Sieg supplemental figures and tables p. </w:t>
    </w:r>
    <w:r>
      <w:rPr>
        <w:rFonts w:cs="Times New Roman" w:ascii="Times New Roman" w:hAnsi="Times New Roman"/>
      </w:rPr>
      <w:fldChar w:fldCharType="begin"/>
    </w:r>
    <w:r>
      <w:rPr>
        <w:rFonts w:cs="Times New Roman" w:ascii="Times New Roman" w:hAnsi="Times New Roman"/>
      </w:rPr>
      <w:instrText xml:space="preserve"> PAGE </w:instrText>
    </w:r>
    <w:r>
      <w:rPr>
        <w:rFonts w:cs="Times New Roman" w:ascii="Times New Roman" w:hAnsi="Times New Roman"/>
      </w:rPr>
      <w:fldChar w:fldCharType="separate"/>
    </w:r>
    <w:r>
      <w:rPr>
        <w:rFonts w:cs="Times New Roman" w:ascii="Times New Roman" w:hAnsi="Times New Roman"/>
      </w:rPr>
      <w:t>18</w:t>
    </w:r>
    <w:r>
      <w:rPr>
        <w:rFonts w:cs="Times New Roman" w:ascii="Times New Roman" w:hAnsi="Times New Roman"/>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DejaVu Sans"/>
        <w:szCs w:val="22"/>
        <w:lang w:val="en-US" w:eastAsia="en-US" w:bidi="ar-SA"/>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textAlignment w:val="baseline"/>
    </w:pPr>
    <w:rPr>
      <w:rFonts w:ascii="Arial" w:hAnsi="Arial" w:eastAsia="Calibri" w:cs="DejaVu Sans"/>
      <w:color w:val="auto"/>
      <w:kern w:val="0"/>
      <w:sz w:val="20"/>
      <w:szCs w:val="22"/>
      <w:lang w:val="en-US" w:eastAsia="en-US" w:bidi="ar-SA"/>
    </w:rPr>
  </w:style>
  <w:style w:type="paragraph" w:styleId="Heading1">
    <w:name w:val="Heading 1"/>
    <w:basedOn w:val="Normal"/>
    <w:next w:val="Normal"/>
    <w:link w:val="Heading1Char"/>
    <w:qFormat/>
    <w:pPr>
      <w:keepNext w:val="true"/>
      <w:keepLines/>
      <w:spacing w:before="240" w:after="0"/>
      <w:outlineLvl w:val="0"/>
    </w:pPr>
    <w:rPr>
      <w:rFonts w:ascii="Times New Roman" w:hAnsi="Times New Roman" w:eastAsia="Calibri" w:cs="DejaVu Sans"/>
      <w:b/>
      <w:color w:val="000000"/>
      <w:sz w:val="32"/>
      <w:szCs w:val="32"/>
    </w:rPr>
  </w:style>
  <w:style w:type="paragraph" w:styleId="Heading2">
    <w:name w:val="Heading 2"/>
    <w:basedOn w:val="Heading"/>
    <w:next w:val="Textbody1"/>
    <w:qFormat/>
    <w:pPr>
      <w:spacing w:before="200" w:after="120"/>
      <w:outlineLvl w:val="1"/>
    </w:pPr>
    <w:rPr>
      <w:rFonts w:ascii="Times New Roman" w:hAnsi="Times New Roman" w:eastAsia="DejaVu Sans" w:cs="DejaVu Sans"/>
      <w:bCs/>
      <w:i/>
      <w:sz w:val="24"/>
      <w:szCs w:val="36"/>
    </w:rPr>
  </w:style>
  <w:style w:type="paragraph" w:styleId="Heading3">
    <w:name w:val="Heading 3"/>
    <w:basedOn w:val="Normal"/>
    <w:next w:val="Normal"/>
    <w:link w:val="Heading3Char"/>
    <w:qFormat/>
    <w:pPr>
      <w:keepNext w:val="true"/>
      <w:keepLines/>
      <w:spacing w:before="40" w:after="0"/>
      <w:outlineLvl w:val="2"/>
    </w:pPr>
    <w:rPr>
      <w:rFonts w:eastAsia="Calibri" w:cs="DejaVu Sans"/>
      <w:b/>
      <w:color w:val="000000"/>
      <w:szCs w:val="24"/>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InternetLink">
    <w:name w:val="Hyperlink"/>
    <w:basedOn w:val="DefaultParagraphFont"/>
    <w:qFormat/>
    <w:rPr>
      <w:color w:val="0563C1"/>
      <w:u w:val="single"/>
    </w:rPr>
  </w:style>
  <w:style w:type="character" w:styleId="UnresolvedMention">
    <w:name w:val="Unresolved Mention"/>
    <w:basedOn w:val="DefaultParagraphFont"/>
    <w:qFormat/>
    <w:rPr>
      <w:color w:val="605E5C"/>
      <w:shd w:fill="E1DFDD" w:val="clear"/>
    </w:rPr>
  </w:style>
  <w:style w:type="character" w:styleId="HTMLSample">
    <w:name w:val="HTML Sample"/>
    <w:basedOn w:val="DefaultParagraphFont"/>
    <w:qFormat/>
    <w:rPr>
      <w:rFonts w:ascii="Courier New" w:hAnsi="Courier New" w:eastAsia="Times New Roman" w:cs="Courier New"/>
    </w:rPr>
  </w:style>
  <w:style w:type="character" w:styleId="PlaceholderText">
    <w:name w:val="Placeholder Text"/>
    <w:basedOn w:val="DefaultParagraphFont"/>
    <w:qFormat/>
    <w:rPr>
      <w:color w:val="808080"/>
    </w:rPr>
  </w:style>
  <w:style w:type="character" w:styleId="VisitedInternetLink">
    <w:name w:val="FollowedHyperlink"/>
    <w:basedOn w:val="DefaultParagraphFont"/>
    <w:rPr>
      <w:color w:val="954F72"/>
      <w:u w:val="single"/>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z w:val="20"/>
      <w:szCs w:val="20"/>
    </w:rPr>
  </w:style>
  <w:style w:type="character" w:styleId="CommentSubjectChar">
    <w:name w:val="Comment Subject Char"/>
    <w:basedOn w:val="CommentTextChar"/>
    <w:qFormat/>
    <w:rPr>
      <w:b/>
      <w:bCs/>
      <w:sz w:val="20"/>
      <w:szCs w:val="20"/>
    </w:rPr>
  </w:style>
  <w:style w:type="character" w:styleId="BalloonTextChar">
    <w:name w:val="Balloon Text Char"/>
    <w:basedOn w:val="DefaultParagraphFont"/>
    <w:qFormat/>
    <w:rPr>
      <w:rFonts w:ascii="Times New Roman" w:hAnsi="Times New Roman" w:eastAsia="Times New Roman" w:cs="Times New Roman"/>
      <w:sz w:val="18"/>
      <w:szCs w:val="18"/>
    </w:rPr>
  </w:style>
  <w:style w:type="character" w:styleId="StrongEmphasis">
    <w:name w:val="Strong Emphasis"/>
    <w:qFormat/>
    <w:rPr>
      <w:b/>
      <w:bCs/>
    </w:rPr>
  </w:style>
  <w:style w:type="character" w:styleId="Heading1Char">
    <w:name w:val="Heading 1 Char"/>
    <w:basedOn w:val="DefaultParagraphFont"/>
    <w:link w:val="Heading1"/>
    <w:qFormat/>
    <w:rPr>
      <w:rFonts w:ascii="Times New Roman" w:hAnsi="Times New Roman" w:eastAsia="Calibri" w:cs="DejaVu Sans"/>
      <w:b/>
      <w:color w:val="000000"/>
      <w:sz w:val="32"/>
      <w:szCs w:val="32"/>
    </w:rPr>
  </w:style>
  <w:style w:type="character" w:styleId="StandardChar">
    <w:name w:val="Standard Char"/>
    <w:basedOn w:val="DefaultParagraphFont"/>
    <w:qFormat/>
    <w:rPr/>
  </w:style>
  <w:style w:type="character" w:styleId="ChapterChar">
    <w:name w:val="Chapter Char"/>
    <w:basedOn w:val="StandardChar"/>
    <w:link w:val="Chapter"/>
    <w:qFormat/>
    <w:rPr>
      <w:rFonts w:ascii="Times New Roman" w:hAnsi="Times New Roman" w:cs="Times New Roman"/>
      <w:b/>
      <w:bCs/>
      <w:sz w:val="28"/>
      <w:szCs w:val="28"/>
    </w:rPr>
  </w:style>
  <w:style w:type="character" w:styleId="NumberingSymbols">
    <w:name w:val="Numbering Symbols"/>
    <w:qFormat/>
    <w:rPr/>
  </w:style>
  <w:style w:type="character" w:styleId="Heading3Char">
    <w:name w:val="Heading 3 Char"/>
    <w:basedOn w:val="DefaultParagraphFont"/>
    <w:link w:val="Heading3"/>
    <w:qFormat/>
    <w:rPr>
      <w:rFonts w:ascii="Arial" w:hAnsi="Arial" w:eastAsia="Calibri" w:cs="DejaVu Sans"/>
      <w:b/>
      <w:color w:val="000000"/>
      <w:sz w:val="20"/>
      <w:szCs w:val="24"/>
    </w:rPr>
  </w:style>
  <w:style w:type="character" w:styleId="Style1Char">
    <w:name w:val="Style1 Char"/>
    <w:basedOn w:val="StandardChar"/>
    <w:link w:val="Style11"/>
    <w:qFormat/>
    <w:rPr/>
  </w:style>
  <w:style w:type="character" w:styleId="SubtleEmphasis">
    <w:name w:val="Subtle Emphasis"/>
    <w:basedOn w:val="DefaultParagraphFont"/>
    <w:qFormat/>
    <w:rPr>
      <w:i/>
      <w:iCs/>
      <w:color w:val="404040"/>
    </w:rPr>
  </w:style>
  <w:style w:type="character" w:styleId="Htmlitalic">
    <w:name w:val="html-italic"/>
    <w:basedOn w:val="DefaultParagraphFont"/>
    <w:qFormat/>
    <w:rPr/>
  </w:style>
  <w:style w:type="character" w:styleId="Mn">
    <w:name w:val="mn"/>
    <w:basedOn w:val="DefaultParagraphFont"/>
    <w:qFormat/>
    <w:rPr/>
  </w:style>
  <w:style w:type="character" w:styleId="Mtext">
    <w:name w:val="mtext"/>
    <w:basedOn w:val="DefaultParagraphFont"/>
    <w:qFormat/>
    <w:rPr/>
  </w:style>
  <w:style w:type="character" w:styleId="Mo">
    <w:name w:val="mo"/>
    <w:basedOn w:val="DefaultParagraphFont"/>
    <w:qFormat/>
    <w:rPr/>
  </w:style>
  <w:style w:type="character" w:styleId="Mi">
    <w:name w:val="mi"/>
    <w:basedOn w:val="DefaultParagraphFont"/>
    <w:qFormat/>
    <w:rPr/>
  </w:style>
  <w:style w:type="character" w:styleId="Docsumauthors">
    <w:name w:val="docsum-authors"/>
    <w:basedOn w:val="DefaultParagraphFont"/>
    <w:qFormat/>
    <w:rPr/>
  </w:style>
  <w:style w:type="character" w:styleId="Docsumjournalcitation">
    <w:name w:val="docsum-journal-citation"/>
    <w:basedOn w:val="DefaultParagraphFont"/>
    <w:qFormat/>
    <w:rPr/>
  </w:style>
  <w:style w:type="character" w:styleId="BDAbstractTitleChar">
    <w:name w:val="BD_Abstract_Title Char"/>
    <w:qFormat/>
    <w:rPr>
      <w:rFonts w:ascii="Arno Pro" w:hAnsi="Arno Pro" w:eastAsia="Arno Pro" w:cs="Arno Pro"/>
      <w:b/>
      <w:kern w:val="2"/>
      <w:sz w:val="19"/>
      <w:lang w:val="en-US" w:eastAsia="en-US" w:bidi="ar-SA"/>
    </w:rPr>
  </w:style>
  <w:style w:type="character" w:styleId="IndexLink">
    <w:name w:val="Index Link"/>
    <w:qFormat/>
    <w:rPr/>
  </w:style>
  <w:style w:type="paragraph" w:styleId="Heading">
    <w:name w:val="Heading"/>
    <w:basedOn w:val="Standard"/>
    <w:next w:val="Textbody1"/>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Standard"/>
    <w:qFormat/>
    <w:pPr>
      <w:suppressLineNumbers/>
    </w:pPr>
    <w:rPr>
      <w:rFonts w:cs="Lohit Devanagari"/>
    </w:rPr>
  </w:style>
  <w:style w:type="paragraph" w:styleId="Standard">
    <w:name w:val="Standard"/>
    <w:link w:val="StandardChar"/>
    <w:qFormat/>
    <w:pPr>
      <w:widowControl/>
      <w:suppressAutoHyphens w:val="true"/>
      <w:overflowPunct w:val="true"/>
      <w:bidi w:val="0"/>
      <w:spacing w:lineRule="auto" w:line="259" w:before="0" w:after="160"/>
      <w:jc w:val="left"/>
      <w:textAlignment w:val="baseline"/>
    </w:pPr>
    <w:rPr>
      <w:rFonts w:ascii="Arial" w:hAnsi="Arial" w:eastAsia="Calibri" w:cs="DejaVu Sans"/>
      <w:color w:val="auto"/>
      <w:kern w:val="0"/>
      <w:sz w:val="20"/>
      <w:szCs w:val="22"/>
      <w:lang w:val="en-US" w:eastAsia="en-US" w:bidi="ar-SA"/>
    </w:rPr>
  </w:style>
  <w:style w:type="paragraph" w:styleId="Textbody1">
    <w:name w:val="Text body"/>
    <w:basedOn w:val="Standard"/>
    <w:qFormat/>
    <w:pPr>
      <w:spacing w:lineRule="auto" w:line="276" w:before="0" w:after="140"/>
    </w:pPr>
    <w:rPr/>
  </w:style>
  <w:style w:type="paragraph" w:styleId="Caption1">
    <w:name w:val="caption"/>
    <w:basedOn w:val="Standard"/>
    <w:qFormat/>
    <w:pPr>
      <w:suppressLineNumbers/>
      <w:spacing w:before="120" w:after="120"/>
    </w:pPr>
    <w:rPr>
      <w:rFonts w:cs="Lohit Devanagari"/>
      <w:i/>
      <w:iCs/>
      <w:sz w:val="24"/>
      <w:szCs w:val="24"/>
    </w:rPr>
  </w:style>
  <w:style w:type="paragraph" w:styleId="HeaderandFooter">
    <w:name w:val="Header and Footer"/>
    <w:basedOn w:val="Standard"/>
    <w:qFormat/>
    <w:pPr/>
    <w:rPr/>
  </w:style>
  <w:style w:type="paragraph" w:styleId="Header">
    <w:name w:val="Header"/>
    <w:basedOn w:val="Standard"/>
    <w:pPr>
      <w:tabs>
        <w:tab w:val="clear" w:pos="720"/>
        <w:tab w:val="center" w:pos="4680" w:leader="none"/>
        <w:tab w:val="right" w:pos="9360" w:leader="none"/>
      </w:tabs>
      <w:spacing w:lineRule="auto" w:line="240" w:before="0" w:after="0"/>
    </w:pPr>
    <w:rPr/>
  </w:style>
  <w:style w:type="paragraph" w:styleId="Footer">
    <w:name w:val="Footer"/>
    <w:basedOn w:val="Standard"/>
    <w:pPr>
      <w:tabs>
        <w:tab w:val="clear" w:pos="720"/>
        <w:tab w:val="center" w:pos="4680" w:leader="none"/>
        <w:tab w:val="right" w:pos="9360" w:leader="none"/>
      </w:tabs>
      <w:spacing w:lineRule="auto" w:line="240" w:before="0" w:after="0"/>
    </w:pPr>
    <w:rPr/>
  </w:style>
  <w:style w:type="paragraph" w:styleId="ListParagraph">
    <w:name w:val="List Paragraph"/>
    <w:basedOn w:val="Standard"/>
    <w:qFormat/>
    <w:pPr>
      <w:ind w:left="720" w:right="0" w:hanging="0"/>
    </w:pPr>
    <w:rPr/>
  </w:style>
  <w:style w:type="paragraph" w:styleId="Bibliography">
    <w:name w:val="Bibliography"/>
    <w:basedOn w:val="Standard"/>
    <w:next w:val="Standard"/>
    <w:qFormat/>
    <w:pPr>
      <w:tabs>
        <w:tab w:val="clear" w:pos="720"/>
        <w:tab w:val="left" w:pos="1008" w:leader="none"/>
      </w:tabs>
      <w:spacing w:lineRule="auto" w:line="240" w:before="0" w:after="0"/>
      <w:ind w:left="504" w:right="0" w:hanging="504"/>
    </w:pPr>
    <w:rPr/>
  </w:style>
  <w:style w:type="paragraph" w:styleId="Msonormal">
    <w:name w:val="msonormal"/>
    <w:basedOn w:val="Standard"/>
    <w:qFormat/>
    <w:pPr>
      <w:suppressAutoHyphens w:val="false"/>
      <w:spacing w:lineRule="auto" w:line="240" w:before="280" w:after="280"/>
    </w:pPr>
    <w:rPr>
      <w:rFonts w:ascii="Times New Roman" w:hAnsi="Times New Roman" w:eastAsia="Times New Roman" w:cs="Times New Roman"/>
      <w:sz w:val="24"/>
      <w:szCs w:val="24"/>
    </w:rPr>
  </w:style>
  <w:style w:type="paragraph" w:styleId="Annotationtext">
    <w:name w:val="annotation text"/>
    <w:basedOn w:val="Standard"/>
    <w:qFormat/>
    <w:pPr>
      <w:spacing w:lineRule="auto" w:line="240"/>
    </w:pPr>
    <w:rPr>
      <w:szCs w:val="20"/>
    </w:rPr>
  </w:style>
  <w:style w:type="paragraph" w:styleId="Annotationsubject">
    <w:name w:val="annotation subject"/>
    <w:basedOn w:val="Annotationtext"/>
    <w:next w:val="Annotationtext"/>
    <w:qFormat/>
    <w:pPr/>
    <w:rPr>
      <w:b/>
      <w:bCs/>
    </w:rPr>
  </w:style>
  <w:style w:type="paragraph" w:styleId="BalloonText">
    <w:name w:val="Balloon Text"/>
    <w:basedOn w:val="Standard"/>
    <w:qFormat/>
    <w:pPr>
      <w:spacing w:lineRule="auto" w:line="240" w:before="0" w:after="0"/>
    </w:pPr>
    <w:rPr>
      <w:rFonts w:ascii="Times New Roman" w:hAnsi="Times New Roman" w:eastAsia="Times New Roman" w:cs="Times New Roman"/>
      <w:sz w:val="18"/>
      <w:szCs w:val="18"/>
    </w:rPr>
  </w:style>
  <w:style w:type="paragraph" w:styleId="BATitle">
    <w:name w:val="BA_Title"/>
    <w:basedOn w:val="Standard"/>
    <w:next w:val="BBAuthorName"/>
    <w:qFormat/>
    <w:pPr>
      <w:spacing w:before="1400" w:after="180"/>
    </w:pPr>
    <w:rPr>
      <w:rFonts w:ascii="Myriad Pro Light" w:hAnsi="Myriad Pro Light" w:eastAsia="Myriad Pro Light" w:cs="Myriad Pro Light"/>
      <w:b/>
      <w:kern w:val="2"/>
      <w:sz w:val="34"/>
    </w:rPr>
  </w:style>
  <w:style w:type="paragraph" w:styleId="BBAuthorName">
    <w:name w:val="BB_Author_Name"/>
    <w:basedOn w:val="Standard"/>
    <w:next w:val="BCAuthorAddress"/>
    <w:qFormat/>
    <w:pPr>
      <w:spacing w:before="0" w:after="180"/>
    </w:pPr>
    <w:rPr>
      <w:rFonts w:ascii="Arno Pro" w:hAnsi="Arno Pro" w:eastAsia="Arno Pro" w:cs="Arno Pro"/>
      <w:kern w:val="2"/>
    </w:rPr>
  </w:style>
  <w:style w:type="paragraph" w:styleId="BCAuthorAddress">
    <w:name w:val="BC_Author_Address"/>
    <w:basedOn w:val="Standard"/>
    <w:next w:val="BIEmailAddress"/>
    <w:qFormat/>
    <w:pPr>
      <w:spacing w:before="0" w:after="60"/>
    </w:pPr>
    <w:rPr>
      <w:rFonts w:ascii="Arno Pro" w:hAnsi="Arno Pro" w:eastAsia="Arno Pro" w:cs="Arno Pro"/>
      <w:kern w:val="2"/>
    </w:rPr>
  </w:style>
  <w:style w:type="paragraph" w:styleId="BIEmailAddress">
    <w:name w:val="BI_Email_Address"/>
    <w:basedOn w:val="Standard"/>
    <w:next w:val="AIReceivedDate"/>
    <w:qFormat/>
    <w:pPr>
      <w:spacing w:before="0" w:after="100"/>
    </w:pPr>
    <w:rPr>
      <w:rFonts w:ascii="Arno Pro" w:hAnsi="Arno Pro" w:eastAsia="Arno Pro" w:cs="Arno Pro"/>
      <w:sz w:val="18"/>
    </w:rPr>
  </w:style>
  <w:style w:type="paragraph" w:styleId="AIReceivedDate">
    <w:name w:val="AI_Received_Date"/>
    <w:basedOn w:val="Standard"/>
    <w:next w:val="Standard"/>
    <w:qFormat/>
    <w:pPr>
      <w:spacing w:before="0" w:after="100"/>
    </w:pPr>
    <w:rPr>
      <w:rFonts w:ascii="Arno Pro" w:hAnsi="Arno Pro" w:eastAsia="Arno Pro" w:cs="Arno Pro"/>
      <w:sz w:val="18"/>
    </w:rPr>
  </w:style>
  <w:style w:type="paragraph" w:styleId="TableContents">
    <w:name w:val="Table Contents"/>
    <w:basedOn w:val="Standard"/>
    <w:qFormat/>
    <w:pPr>
      <w:suppressLineNumbers/>
    </w:pPr>
    <w:rPr/>
  </w:style>
  <w:style w:type="paragraph" w:styleId="TableHeading">
    <w:name w:val="Table Heading"/>
    <w:basedOn w:val="TableContents"/>
    <w:qFormat/>
    <w:pPr>
      <w:jc w:val="center"/>
    </w:pPr>
    <w:rPr>
      <w:b/>
      <w:bCs/>
    </w:rPr>
  </w:style>
  <w:style w:type="paragraph" w:styleId="NormalWeb">
    <w:name w:val="Normal (Web)"/>
    <w:basedOn w:val="Normal"/>
    <w:qFormat/>
    <w:pPr/>
    <w:rPr>
      <w:rFonts w:ascii="Times New Roman" w:hAnsi="Times New Roman" w:cs="Times New Roman"/>
      <w:sz w:val="24"/>
      <w:szCs w:val="24"/>
    </w:rPr>
  </w:style>
  <w:style w:type="paragraph" w:styleId="Chapter">
    <w:name w:val="Chapter"/>
    <w:basedOn w:val="Standard"/>
    <w:link w:val="ChapterChar"/>
    <w:qFormat/>
    <w:pPr>
      <w:pageBreakBefore/>
    </w:pPr>
    <w:rPr>
      <w:rFonts w:ascii="Times New Roman" w:hAnsi="Times New Roman" w:cs="Times New Roman"/>
      <w:b/>
      <w:bCs/>
      <w:sz w:val="28"/>
      <w:szCs w:val="28"/>
    </w:rPr>
  </w:style>
  <w:style w:type="paragraph" w:styleId="Contents1">
    <w:name w:val="TOC 1"/>
    <w:basedOn w:val="Normal"/>
    <w:next w:val="Normal"/>
    <w:autoRedefine/>
    <w:pPr>
      <w:tabs>
        <w:tab w:val="clear" w:pos="720"/>
        <w:tab w:val="right" w:pos="9350" w:leader="dot"/>
      </w:tabs>
      <w:spacing w:before="0" w:after="100"/>
    </w:pPr>
    <w:rPr/>
  </w:style>
  <w:style w:type="paragraph" w:styleId="IndexHeading">
    <w:name w:val="Index Heading"/>
    <w:basedOn w:val="Heading"/>
    <w:pPr/>
    <w:rPr/>
  </w:style>
  <w:style w:type="paragraph" w:styleId="ContentsHeading">
    <w:name w:val="TOC Heading"/>
    <w:basedOn w:val="Heading1"/>
    <w:next w:val="Normal"/>
    <w:pPr>
      <w:widowControl/>
      <w:suppressAutoHyphens w:val="false"/>
      <w:spacing w:lineRule="auto" w:line="259"/>
      <w:textAlignment w:val="auto"/>
      <w:outlineLvl w:val="9"/>
    </w:pPr>
    <w:rPr/>
  </w:style>
  <w:style w:type="paragraph" w:styleId="Contents2">
    <w:name w:val="TOC 2"/>
    <w:basedOn w:val="Normal"/>
    <w:next w:val="Normal"/>
    <w:autoRedefine/>
    <w:pPr>
      <w:spacing w:before="0" w:after="100"/>
      <w:ind w:left="220" w:right="0" w:hanging="0"/>
    </w:pPr>
    <w:rPr/>
  </w:style>
  <w:style w:type="paragraph" w:styleId="VDTableTitle">
    <w:name w:val="VD_Table_Title"/>
    <w:basedOn w:val="Normal"/>
    <w:next w:val="Normal"/>
    <w:qFormat/>
    <w:pPr>
      <w:widowControl/>
      <w:suppressAutoHyphens w:val="false"/>
      <w:textAlignment w:val="auto"/>
    </w:pPr>
    <w:rPr>
      <w:rFonts w:ascii="Arno Pro" w:hAnsi="Arno Pro" w:eastAsia="Arno Pro" w:cs="Arno Pro"/>
      <w:b/>
      <w:kern w:val="2"/>
      <w:sz w:val="16"/>
      <w:szCs w:val="16"/>
      <w:lang w:eastAsia="zh-CN" w:bidi="hi-IN"/>
    </w:rPr>
  </w:style>
  <w:style w:type="paragraph" w:styleId="Style11">
    <w:name w:val="Style1"/>
    <w:basedOn w:val="Standard"/>
    <w:link w:val="Style1Char"/>
    <w:qFormat/>
    <w:pPr/>
    <w:rPr/>
  </w:style>
  <w:style w:type="paragraph" w:styleId="Contents3">
    <w:name w:val="TOC 3"/>
    <w:basedOn w:val="Normal"/>
    <w:next w:val="Normal"/>
    <w:autoRedefine/>
    <w:pPr>
      <w:tabs>
        <w:tab w:val="clear" w:pos="720"/>
        <w:tab w:val="right" w:pos="9350" w:leader="dot"/>
      </w:tabs>
      <w:spacing w:before="0" w:after="100"/>
      <w:ind w:left="440" w:right="0" w:hanging="0"/>
    </w:pPr>
    <w:rPr/>
  </w:style>
  <w:style w:type="paragraph" w:styleId="Revision">
    <w:name w:val="Revision"/>
    <w:qFormat/>
    <w:pPr>
      <w:widowControl/>
      <w:suppressAutoHyphens w:val="false"/>
      <w:overflowPunct w:val="true"/>
      <w:bidi w:val="0"/>
      <w:spacing w:before="0" w:after="0"/>
      <w:jc w:val="left"/>
      <w:textAlignment w:val="auto"/>
    </w:pPr>
    <w:rPr>
      <w:rFonts w:ascii="Arial" w:hAnsi="Arial" w:eastAsia="Calibri" w:cs="DejaVu Sans"/>
      <w:color w:val="auto"/>
      <w:kern w:val="0"/>
      <w:sz w:val="20"/>
      <w:szCs w:val="22"/>
      <w:lang w:val="en-US" w:eastAsia="en-US" w:bidi="ar-SA"/>
    </w:rPr>
  </w:style>
  <w:style w:type="numbering" w:styleId="NoList">
    <w:name w:val="No List"/>
    <w:qFormat/>
  </w:style>
  <w:style w:type="numbering" w:styleId="NoList1">
    <w:name w:val="No List_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emf"/><Relationship Id="rId7" Type="http://schemas.openxmlformats.org/officeDocument/2006/relationships/image" Target="media/image6.wmf"/><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footer" Target="footer6.xml"/><Relationship Id="rId14" Type="http://schemas.openxmlformats.org/officeDocument/2006/relationships/hyperlink" Target="https://doi.org/10.1093/nar/gkz019" TargetMode="External"/><Relationship Id="rId15" Type="http://schemas.openxmlformats.org/officeDocument/2006/relationships/footer" Target="footer7.xml"/><Relationship Id="rId16" Type="http://schemas.openxmlformats.org/officeDocument/2006/relationships/comments" Target="comment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1150</TotalTime>
  <Application>LibreOffice/7.3.6.2$Linux_X86_64 LibreOffice_project/30$Build-2</Application>
  <AppVersion>15.0000</AppVersion>
  <Pages>18</Pages>
  <Words>4452</Words>
  <Characters>24202</Characters>
  <CharactersWithSpaces>27821</CharactersWithSpaces>
  <Paragraphs>1032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2022-08-15T22:19:00Z</dcterms:created>
  <dc:creator>Sieg, Jacob Philip</dc:creator>
  <dc:description/>
  <dc:language>en-US</dc:language>
  <cp:lastModifiedBy/>
  <cp:lastPrinted>2022-08-18T13:13:00Z</cp:lastPrinted>
  <dcterms:modified xsi:type="dcterms:W3CDTF">2022-10-26T16:28:12Z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PREF_1">
    <vt:lpwstr>&lt;data data-version="3" zotero-version="6.0.12"&gt;&lt;session id="lx5fe08I"/&gt;&lt;style id="http://www.zotero.org/styles/american-chemical-society" hasBibliography="1" bibliographyStyleHasBeenSet="1"/&gt;&lt;prefs&gt;&lt;pref name="fieldType" value="Field"/&gt;&lt;pref name="automat</vt:lpwstr>
  </property>
  <property fmtid="{D5CDD505-2E9C-101B-9397-08002B2CF9AE}" pid="7" name="ZOTERO_PREF_2">
    <vt:lpwstr>icJournalAbbreviations" value="true"/&gt;&lt;pref name="dontAskDelayCitationUpdates" value="true"/&gt;&lt;/prefs&gt;&lt;/data&gt;</vt:lpwstr>
  </property>
</Properties>
</file>