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0"/>
        <w:jc w:val="center"/>
      </w:pPr>
      <w:r>
        <w:drawing>
          <wp:inline xmlns:a="http://schemas.openxmlformats.org/drawingml/2006/main" xmlns:pic="http://schemas.openxmlformats.org/drawingml/2006/picture">
            <wp:extent cx="1554480" cy="648632"/>
            <wp:docPr id="1" name="Picture 1" descr="Logotipo Online Teste" title="Online Tes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648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F6F73"/>
          <w:sz w:val="20"/>
        </w:rPr>
        <w:t>PROPOSTA TÉCNICA E COMERCIAL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26373A"/>
          <w:sz w:val="56"/>
        </w:rPr>
        <w:t>Gravação e auditoria</w:t>
        <w:br/>
        <w:t>de testes online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64777A"/>
          <w:sz w:val="28"/>
        </w:rPr>
        <w:t>Comparativo entre implantação gratuita e infraestrutura profissional paga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6F73"/>
          <w:left w:val="single" w:sz="8" w:color="0F6F73"/>
          <w:bottom w:val="single" w:sz="8" w:color="0F6F73"/>
          <w:right w:val="single" w:sz="8" w:color="0F6F73"/>
          <w:insideH w:val="single" w:sz="8" w:color="0F6F73"/>
          <w:insideV w:val="single" w:sz="8" w:color="0F6F7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B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6F73"/>
                <w:sz w:val="22"/>
              </w:rPr>
              <w:t xml:space="preserve">OBJETIVO </w:t>
            </w:r>
            <w:r>
              <w:rPr>
                <w:rFonts w:ascii="Calibri" w:hAnsi="Calibri"/>
                <w:b w:val="0"/>
                <w:i w:val="0"/>
                <w:color w:val="26373A"/>
                <w:sz w:val="22"/>
              </w:rPr>
              <w:t>Apresentar caminhos viáveis para registrar câmera, microfone e tela do participante, permitindo auditoria das aplicações sem comprometer a evolução futura da plataforma.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7D8"/>
          <w:left w:val="single" w:sz="4" w:color="C9D7D8"/>
          <w:bottom w:val="single" w:sz="4" w:color="C9D7D8"/>
          <w:right w:val="single" w:sz="4" w:color="C9D7D8"/>
          <w:insideH w:val="single" w:sz="4" w:color="C9D7D8"/>
          <w:insideV w:val="single" w:sz="4" w:color="C9D7D8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r>
              <w:rPr>
                <w:rFonts w:ascii="Calibri" w:hAnsi="Calibri"/>
                <w:b/>
                <w:i w:val="0"/>
                <w:color w:val="0F6F73"/>
                <w:sz w:val="19"/>
              </w:rPr>
              <w:t>Projeto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Online Teste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r>
              <w:rPr>
                <w:rFonts w:ascii="Calibri" w:hAnsi="Calibri"/>
                <w:b/>
                <w:i w:val="0"/>
                <w:color w:val="0F6F73"/>
                <w:sz w:val="19"/>
              </w:rPr>
              <w:t>Documento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Análise de opções de gravação e fiscalização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r>
              <w:rPr>
                <w:rFonts w:ascii="Calibri" w:hAnsi="Calibri"/>
                <w:b/>
                <w:i w:val="0"/>
                <w:color w:val="0F6F73"/>
                <w:sz w:val="19"/>
              </w:rPr>
              <w:t>Data-base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Julho de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Resumo executivo</w:t>
      </w:r>
    </w:p>
    <w:p>
      <w:r>
        <w:rPr>
          <w:rFonts w:ascii="Calibri" w:hAnsi="Calibri"/>
          <w:b w:val="0"/>
          <w:i w:val="0"/>
          <w:color w:val="26373A"/>
          <w:sz w:val="22"/>
        </w:rPr>
        <w:t>A plataforma pode iniciar com uma modalidade sem nova mensalidade, utilizando gravação pelo navegador e armazenamento gratuito limitado. Essa alternativa é adequada para validação comercial e baixo volume, mas possui menor robustez de auditoria.</w:t>
      </w:r>
    </w:p>
    <w:p>
      <w:r>
        <w:rPr>
          <w:rFonts w:ascii="Calibri" w:hAnsi="Calibri"/>
          <w:b w:val="0"/>
          <w:i w:val="0"/>
          <w:color w:val="26373A"/>
          <w:sz w:val="22"/>
        </w:rPr>
        <w:t>Para uma operação profissional, a recomendação é transmitir a mídia para um serviço de gravação no servidor e armazenar os arquivos em ambiente imutável. Essa estrutura reduz o risco de perda ou manipulação, permite fiscalização ao vivo e suporta crescimento.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6F73"/>
          <w:left w:val="single" w:sz="8" w:color="0F6F73"/>
          <w:bottom w:val="single" w:sz="8" w:color="0F6F73"/>
          <w:right w:val="single" w:sz="8" w:color="0F6F73"/>
          <w:insideH w:val="single" w:sz="8" w:color="0F6F73"/>
          <w:insideV w:val="single" w:sz="8" w:color="0F6F7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6F73"/>
                <w:sz w:val="22"/>
              </w:rPr>
              <w:t xml:space="preserve">RECOMENDAÇÃO </w:t>
            </w:r>
            <w:r>
              <w:rPr>
                <w:rFonts w:ascii="Calibri" w:hAnsi="Calibri"/>
                <w:b w:val="0"/>
                <w:i w:val="0"/>
                <w:color w:val="26373A"/>
                <w:sz w:val="22"/>
              </w:rPr>
              <w:t>Começar pela opção gratuita, porém desenvolver desde o início uma camada substituível de gravação e armazenamento. Quando houver clientes pagantes, a plataforma migra para a estrutura profissional sem reconstruir as telas e regras de negócio.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Comparativo das opções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D8"/>
          <w:left w:val="single" w:sz="6" w:color="C9D7D8"/>
          <w:bottom w:val="single" w:sz="6" w:color="C9D7D8"/>
          <w:right w:val="single" w:sz="6" w:color="C9D7D8"/>
          <w:insideH w:val="single" w:sz="6" w:color="C9D7D8"/>
          <w:insideV w:val="single" w:sz="6" w:color="C9D7D8"/>
        </w:tblBorders>
      </w:tblPr>
      <w:tblGrid>
        <w:gridCol w:w="1900"/>
        <w:gridCol w:w="3450"/>
        <w:gridCol w:w="40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Critério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Opção gratuita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Opção paga profissional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Custo recorrente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R$ 0 dentro das franquias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 partir de cerca de R$ 300/mês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Captura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Navegador do participante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Transmissão e gravação no servidor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Armazenamento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10 a 20 GB gratuitos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Escalável e com retenção configurável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Risco de perda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Pode perder o último bloco em falha brusca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Muito menor; gravação ocorre fora do computador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Integridade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Hashes e registros demonstram alterações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Pode usar armazenamento imutável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Acompanhamento ao vivo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Não incluído inicialmente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Disponível no mesmo fluxo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Escala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Baixo volume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Múltiplas aplicações simultâneas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Indicação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Piloto e validação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Operação comercial e auditoria formal</w:t>
            </w:r>
          </w:p>
        </w:tc>
      </w:tr>
    </w:tbl>
    <w:p>
      <w:pPr>
        <w:pStyle w:val="Heading1"/>
        <w:keepNext/>
      </w:pPr>
      <w:r>
        <w:t>3. Opção gratuita: piloto operacional</w:t>
      </w:r>
    </w:p>
    <w:p>
      <w:r>
        <w:rPr>
          <w:rFonts w:ascii="Calibri" w:hAnsi="Calibri"/>
          <w:b w:val="0"/>
          <w:i w:val="0"/>
          <w:color w:val="26373A"/>
          <w:sz w:val="22"/>
        </w:rPr>
        <w:t>Nesta modalidade, o navegador grava a câmera com o áudio e, separadamente, a tela inteira. Os dados são enviados continuamente ao servidor e arquivados em uma franquia gratuita de nuvem.</w:t>
      </w:r>
    </w:p>
    <w:p>
      <w:pPr>
        <w:pStyle w:val="Heading2"/>
        <w:keepNext/>
      </w:pPr>
      <w:r>
        <w:t>Como funciona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O participante envia documento e selfie e autoriza câmera, microfone e compartilhamento da tela inteira.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A gravação é dividida em fragmentos contínuos de aproximadamente cinco segundos.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Cada fragmento recebe número sequencial, horário e hash SHA-256.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O navegador mantém cópia temporária até receber a confirmação do servidor.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Interromper câmera, áudio, tela ou sair do ambiente seguro encerra a prova.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Ao concluir, o servidor consolida os fragmentos e envia os vídeos ao armazenamento escolhido.</w:t>
      </w:r>
    </w:p>
    <w:p>
      <w:pPr>
        <w:pStyle w:val="Heading2"/>
        <w:keepNext/>
      </w:pPr>
      <w:r>
        <w:t>Pontos positivos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Permite iniciar sem contratar uma nova mensalidade.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Valida o comportamento dos participantes e o volume real de gravações.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A estrutura de hashes e eventos melhora a rastreabilidade.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Pode migrar futuramente para outro provedor sem mudar a experiência do usuário.</w:t>
      </w:r>
    </w:p>
    <w:p>
      <w:pPr>
        <w:pStyle w:val="Heading2"/>
        <w:keepNext/>
      </w:pPr>
      <w:r>
        <w:t>Limitações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As franquias gratuitas comportam apenas poucas dezenas de horas de vídeo.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Uma falha brusca pode causar a perda do fragmento ainda não entregue.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Os arquivos não têm a mesma proteção contra exclusão de um armazenamento imutável.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A fiscalização ao vivo exige infraestrutura adicional.</w:t>
      </w:r>
    </w:p>
    <w:p>
      <w:r>
        <w:br w:type="page"/>
      </w:r>
    </w:p>
    <w:p>
      <w:pPr>
        <w:pStyle w:val="Heading1"/>
        <w:keepNext/>
      </w:pPr>
      <w:r>
        <w:t>4. Segurança dos fragmentos de gravação</w:t>
      </w:r>
    </w:p>
    <w:p>
      <w:r>
        <w:rPr>
          <w:rFonts w:ascii="Calibri" w:hAnsi="Calibri"/>
          <w:b w:val="0"/>
          <w:i w:val="0"/>
          <w:color w:val="26373A"/>
          <w:sz w:val="22"/>
        </w:rPr>
        <w:t>A divisão em fragmentos não cria lacunas quando existe uma única sessão contínua do MediaRecorder. O intervalo solicitado ao navegador, entretanto, não é um relógio exato e pode atrasar em determinadas condições.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66A00"/>
          <w:left w:val="single" w:sz="8" w:color="A66A00"/>
          <w:bottom w:val="single" w:sz="8" w:color="A66A00"/>
          <w:right w:val="single" w:sz="8" w:color="A66A00"/>
          <w:insideH w:val="single" w:sz="8" w:color="A66A00"/>
          <w:insideV w:val="single" w:sz="8" w:color="A66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A66A00"/>
                <w:sz w:val="22"/>
              </w:rPr>
              <w:t xml:space="preserve">RISCO RESIDUAL </w:t>
            </w:r>
            <w:r>
              <w:rPr>
                <w:rFonts w:ascii="Calibri" w:hAnsi="Calibri"/>
                <w:b w:val="0"/>
                <w:i w:val="0"/>
                <w:color w:val="26373A"/>
                <w:sz w:val="22"/>
              </w:rPr>
              <w:t>Em desligamento, travamento ou encerramento forçado, pode ser perdido o fragmento que ainda estava apenas na memória. Com fragmentos de cinco segundos, a exposição normalmente se limita aos segundos finais, embora atrasos do navegador possam ampliar esse período.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Controles necessários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D8"/>
          <w:left w:val="single" w:sz="6" w:color="C9D7D8"/>
          <w:bottom w:val="single" w:sz="6" w:color="C9D7D8"/>
          <w:right w:val="single" w:sz="6" w:color="C9D7D8"/>
          <w:insideH w:val="single" w:sz="6" w:color="C9D7D8"/>
          <w:insideV w:val="single" w:sz="6" w:color="C9D7D8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Controle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Aplicação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Sequência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O servidor rejeita duplicidades e identifica números ausentes.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Confirmação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O navegador só remove o fragmento local após confirmação do servidor.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Fila offline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Fragmentos pendentes ficam no IndexedDB e são reenviados quando a conexão retorna.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Integridade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Cada fragmento e o arquivo final recebem hash SHA-256.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Finalização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 prova só é concluída após o envio e a confirmação do último fragmento.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Consolidação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O servidor usa FFmpeg para remontar os arquivos na ordem correta.</w:t>
            </w:r>
          </w:p>
        </w:tc>
      </w:tr>
    </w:tbl>
    <w:p>
      <w:pPr>
        <w:pStyle w:val="Heading1"/>
        <w:keepNext/>
      </w:pPr>
      <w:r>
        <w:t>5. Armazenamento gratuito e econômico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D8"/>
          <w:left w:val="single" w:sz="6" w:color="C9D7D8"/>
          <w:bottom w:val="single" w:sz="6" w:color="C9D7D8"/>
          <w:right w:val="single" w:sz="6" w:color="C9D7D8"/>
          <w:insideH w:val="single" w:sz="6" w:color="C9D7D8"/>
          <w:insideV w:val="single" w:sz="6" w:color="C9D7D8"/>
        </w:tblBorders>
      </w:tblPr>
      <w:tblGrid>
        <w:gridCol w:w="1450"/>
        <w:gridCol w:w="1350"/>
        <w:gridCol w:w="2440"/>
        <w:gridCol w:w="4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Serviço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Franquia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Uso recomendado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Observação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MEGA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20 GB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Piloto muito pequeno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Maior espaço gratuito, mas integração de auditoria menos conveniente.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Backblaze B2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10 GB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Melhor opção econômica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Após a franquia: cerca de US$ 0,00695 por GB/mês.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Cloudflare R2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10 GB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Vídeos acessados com frequência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Sem cobrança de saída; cerca de US$ 0,015 por GB/mês.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Google Drive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Conforme a conta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Aproveitar espaço já contratado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API padrão sem custo adicional dentro das quotas atuais.</w:t>
            </w:r>
          </w:p>
        </w:tc>
      </w:tr>
    </w:tbl>
    <w:p>
      <w:r>
        <w:rPr>
          <w:rFonts w:ascii="Calibri" w:hAnsi="Calibri"/>
          <w:b w:val="0"/>
          <w:i w:val="0"/>
          <w:color w:val="26373A"/>
          <w:sz w:val="22"/>
        </w:rPr>
        <w:t>Com gravações estimadas entre 1 e 1,5 GB por hora, 20 GB armazenam aproximadamente 13 a 20 horas. Por isso, a opção gratuita exige retenção curta e exclusão automática.</w:t>
      </w:r>
    </w:p>
    <w:p>
      <w:r>
        <w:br w:type="page"/>
      </w:r>
    </w:p>
    <w:p>
      <w:pPr>
        <w:pStyle w:val="Heading1"/>
        <w:keepNext/>
      </w:pPr>
      <w:r>
        <w:t>6. Opção paga: auditoria profissional</w:t>
      </w:r>
    </w:p>
    <w:p>
      <w:r>
        <w:rPr>
          <w:rFonts w:ascii="Calibri" w:hAnsi="Calibri"/>
          <w:b w:val="0"/>
          <w:i w:val="0"/>
          <w:color w:val="26373A"/>
          <w:sz w:val="22"/>
        </w:rPr>
        <w:t>Na modalidade profissional, câmera, microfone e tela são enviados por WebRTC para um serviço de mídia. A gravação ocorre no servidor, independentemente do arquivo local do participante.</w:t>
      </w:r>
    </w:p>
    <w:p>
      <w:pPr>
        <w:pStyle w:val="Heading2"/>
        <w:keepNext/>
      </w:pPr>
      <w:r>
        <w:t>Arquitetura sugerida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6F73"/>
          <w:left w:val="single" w:sz="8" w:color="0F6F73"/>
          <w:bottom w:val="single" w:sz="8" w:color="0F6F73"/>
          <w:right w:val="single" w:sz="8" w:color="0F6F73"/>
          <w:insideH w:val="single" w:sz="8" w:color="0F6F73"/>
          <w:insideV w:val="single" w:sz="8" w:color="0F6F73"/>
        </w:tblBorders>
      </w:tblPr>
      <w:tblGrid>
        <w:gridCol w:w="1740"/>
        <w:gridCol w:w="1500"/>
        <w:gridCol w:w="1800"/>
        <w:gridCol w:w="2200"/>
        <w:gridCol w:w="2120"/>
      </w:tblGrid>
      <w:tr>
        <w:trPr>
          <w:tblHeader w:val="true"/>
        </w:trP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Participante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WebRTC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LiveKit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Armazenamento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Auditoria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Câmera, áudio e tela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Transmissão segura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Gravação no servidor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S3 Object Lock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Player e eventos</w:t>
            </w:r>
          </w:p>
        </w:tc>
      </w:tr>
    </w:tbl>
    <w:p>
      <w:pPr>
        <w:pStyle w:val="Heading2"/>
        <w:keepNext/>
      </w:pPr>
      <w:r>
        <w:t>Benefícios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Menor risco de perda e manipulação das gravações.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Acompanhamento ao vivo opcional sem controle remoto do computador.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Armazenamento com retenção e bloqueio contra alteração ou exclusão.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Escalabilidade para múltiplos participantes e empresas.</w:t>
      </w:r>
    </w:p>
    <w:p>
      <w:pPr>
        <w:spacing w:after="80" w:line="29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26373A"/>
          <w:sz w:val="22"/>
        </w:rPr>
        <w:t>Registro de visualizações, downloads, alertas e decisões do fiscal.</w:t>
      </w:r>
    </w:p>
    <w:p>
      <w:pPr>
        <w:pStyle w:val="Heading2"/>
        <w:keepNext/>
      </w:pPr>
      <w:r>
        <w:t>Estimativa de custos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D8"/>
          <w:left w:val="single" w:sz="6" w:color="C9D7D8"/>
          <w:bottom w:val="single" w:sz="6" w:color="C9D7D8"/>
          <w:right w:val="single" w:sz="6" w:color="C9D7D8"/>
          <w:insideH w:val="single" w:sz="6" w:color="C9D7D8"/>
          <w:insideV w:val="single" w:sz="6" w:color="C9D7D8"/>
        </w:tblBorders>
      </w:tblPr>
      <w:tblGrid>
        <w:gridCol w:w="2700"/>
        <w:gridCol w:w="2600"/>
        <w:gridCol w:w="40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Componente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Referência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Estimativa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LiveKit Build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Desenvolvimento e testes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US$ 0/mês, com franquias reduzidas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LiveKit Ship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Produção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US$ 50/mês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Vídeo transcodificado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Após a franquia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US$ 0,02 por minuto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Faixa original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Após a franquia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US$ 0,001 por faixa/minuto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Produção de baixo volume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LiveKit + armazenamento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Aproximadamente R$ 300 a R$ 600/mês</w:t>
            </w:r>
          </w:p>
        </w:tc>
      </w:tr>
    </w:tbl>
    <w:p>
      <w:r>
        <w:rPr>
          <w:rFonts w:ascii="Calibri" w:hAnsi="Calibri"/>
          <w:b w:val="0"/>
          <w:i w:val="0"/>
          <w:color w:val="26373A"/>
          <w:sz w:val="22"/>
        </w:rPr>
        <w:t>Os valores são estimativas de planejamento, considerando câmbio próximo de R$ 5,15 por dólar. Impostos, câmbio, volume, resolução, downloads e retenção podem alterar o total.</w:t>
      </w:r>
    </w:p>
    <w:p>
      <w:pPr>
        <w:pStyle w:val="Heading1"/>
        <w:keepNext/>
      </w:pPr>
      <w:r>
        <w:t>7. Recomendação de implantação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6815E"/>
          <w:left w:val="single" w:sz="8" w:color="16815E"/>
          <w:bottom w:val="single" w:sz="8" w:color="16815E"/>
          <w:right w:val="single" w:sz="8" w:color="16815E"/>
          <w:insideH w:val="single" w:sz="8" w:color="16815E"/>
          <w:insideV w:val="single" w:sz="8" w:color="16815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815E"/>
                <w:sz w:val="22"/>
              </w:rPr>
              <w:t xml:space="preserve">DECISÃO SUGERIDA </w:t>
            </w:r>
            <w:r>
              <w:rPr>
                <w:rFonts w:ascii="Calibri" w:hAnsi="Calibri"/>
                <w:b w:val="0"/>
                <w:i w:val="0"/>
                <w:color w:val="26373A"/>
                <w:sz w:val="22"/>
              </w:rPr>
              <w:t>Aprovar a implantação gratuita como piloto, com gravação em fragmentos, hashes, fila offline e armazenamento substituível. A opção profissional deve permanecer prevista para ativação quando houver clientes pagantes ou exigência contratual de auditoria formal.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D8"/>
          <w:left w:val="single" w:sz="6" w:color="C9D7D8"/>
          <w:bottom w:val="single" w:sz="6" w:color="C9D7D8"/>
          <w:right w:val="single" w:sz="6" w:color="C9D7D8"/>
          <w:insideH w:val="single" w:sz="6" w:color="C9D7D8"/>
          <w:insideV w:val="single" w:sz="6" w:color="C9D7D8"/>
        </w:tblBorders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Etapa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Entrega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6373A"/>
                <w:sz w:val="19"/>
              </w:rPr>
              <w:t>Condição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1. Piloto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Gravação local, fragmentos e nuvem gratuita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Sem nova mensalidade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2. Validação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Player de auditoria, retenção e relatórios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Primeiros clientes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3. Profissional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LiveKit, gravação no servidor e S3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Receita recorrente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4. Ao vivo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Painel de fiscais e alertas em tempo real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6373A"/>
                <w:sz w:val="19"/>
              </w:rPr>
              <w:t>Demanda comercial comprovada</w:t>
            </w:r>
          </w:p>
        </w:tc>
      </w:tr>
    </w:tbl>
    <w:p>
      <w:pPr>
        <w:pStyle w:val="Heading1"/>
        <w:keepNext/>
      </w:pPr>
      <w:r>
        <w:t>8. Texto resumido para apresentação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6F73"/>
          <w:left w:val="single" w:sz="8" w:color="0F6F73"/>
          <w:bottom w:val="single" w:sz="8" w:color="0F6F73"/>
          <w:right w:val="single" w:sz="8" w:color="0F6F73"/>
          <w:insideH w:val="single" w:sz="8" w:color="0F6F73"/>
          <w:insideV w:val="single" w:sz="8" w:color="0F6F7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B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6F73"/>
                <w:sz w:val="22"/>
              </w:rPr>
              <w:t xml:space="preserve">MENSAGEM </w:t>
            </w:r>
            <w:r>
              <w:rPr>
                <w:rFonts w:ascii="Calibri" w:hAnsi="Calibri"/>
                <w:b w:val="0"/>
                <w:i w:val="0"/>
                <w:color w:val="26373A"/>
                <w:sz w:val="22"/>
              </w:rPr>
              <w:t>Podemos iniciar sem custo adicional, utilizando gravação em fragmentos e armazenamento gratuito. Essa modalidade atende à validação inicial, mas possui limites de espaço e menor força de auditoria. Quando o volume ou a exigência de segurança aumentar, a mesma plataforma poderá migrar para gravação no servidor, armazenamento imutável e acompanhamento ao vivo, com custo estimado a partir de R$ 300 mensais.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Fontes consultadas</w:t>
      </w:r>
    </w:p>
    <w:p>
      <w:pPr>
        <w:spacing w:after="60"/>
      </w:pPr>
      <w:r>
        <w:rPr>
          <w:rFonts w:ascii="Calibri" w:hAnsi="Calibri"/>
          <w:b/>
          <w:i w:val="0"/>
          <w:color w:val="26373A"/>
          <w:sz w:val="18"/>
        </w:rPr>
        <w:t xml:space="preserve">LiveKit - preços: </w:t>
      </w:r>
      <w:hyperlink r:id="rId12">
        <w:r>
          <w:rPr>
            <w:color w:val="0F6F73"/>
            <w:u w:val="single"/>
          </w:rPr>
          <w:t>Acessar fonte</w:t>
        </w:r>
      </w:hyperlink>
    </w:p>
    <w:p>
      <w:pPr>
        <w:spacing w:after="60"/>
      </w:pPr>
      <w:r>
        <w:rPr>
          <w:rFonts w:ascii="Calibri" w:hAnsi="Calibri"/>
          <w:b/>
          <w:i w:val="0"/>
          <w:color w:val="26373A"/>
          <w:sz w:val="18"/>
        </w:rPr>
        <w:t xml:space="preserve">Amazon S3 - Object Lock: </w:t>
      </w:r>
      <w:hyperlink r:id="rId13">
        <w:r>
          <w:rPr>
            <w:color w:val="0F6F73"/>
            <w:u w:val="single"/>
          </w:rPr>
          <w:t>Acessar fonte</w:t>
        </w:r>
      </w:hyperlink>
    </w:p>
    <w:p>
      <w:pPr>
        <w:spacing w:after="60"/>
      </w:pPr>
      <w:r>
        <w:rPr>
          <w:rFonts w:ascii="Calibri" w:hAnsi="Calibri"/>
          <w:b/>
          <w:i w:val="0"/>
          <w:color w:val="26373A"/>
          <w:sz w:val="18"/>
        </w:rPr>
        <w:t xml:space="preserve">Backblaze B2 - preços: </w:t>
      </w:r>
      <w:hyperlink r:id="rId14">
        <w:r>
          <w:rPr>
            <w:color w:val="0F6F73"/>
            <w:u w:val="single"/>
          </w:rPr>
          <w:t>Acessar fonte</w:t>
        </w:r>
      </w:hyperlink>
    </w:p>
    <w:p>
      <w:pPr>
        <w:spacing w:after="60"/>
      </w:pPr>
      <w:r>
        <w:rPr>
          <w:rFonts w:ascii="Calibri" w:hAnsi="Calibri"/>
          <w:b/>
          <w:i w:val="0"/>
          <w:color w:val="26373A"/>
          <w:sz w:val="18"/>
        </w:rPr>
        <w:t xml:space="preserve">Cloudflare R2 - preços: </w:t>
      </w:r>
      <w:hyperlink r:id="rId15">
        <w:r>
          <w:rPr>
            <w:color w:val="0F6F73"/>
            <w:u w:val="single"/>
          </w:rPr>
          <w:t>Acessar fonte</w:t>
        </w:r>
      </w:hyperlink>
    </w:p>
    <w:p>
      <w:pPr>
        <w:spacing w:after="60"/>
      </w:pPr>
      <w:r>
        <w:rPr>
          <w:rFonts w:ascii="Calibri" w:hAnsi="Calibri"/>
          <w:b/>
          <w:i w:val="0"/>
          <w:color w:val="26373A"/>
          <w:sz w:val="18"/>
        </w:rPr>
        <w:t xml:space="preserve">Google Drive API - limites: </w:t>
      </w:r>
      <w:hyperlink r:id="rId16">
        <w:r>
          <w:rPr>
            <w:color w:val="0F6F73"/>
            <w:u w:val="single"/>
          </w:rPr>
          <w:t>Acessar fonte</w:t>
        </w:r>
      </w:hyperlink>
    </w:p>
    <w:p>
      <w:pPr>
        <w:spacing w:after="60"/>
      </w:pPr>
      <w:r>
        <w:rPr>
          <w:rFonts w:ascii="Calibri" w:hAnsi="Calibri"/>
          <w:b/>
          <w:i w:val="0"/>
          <w:color w:val="26373A"/>
          <w:sz w:val="18"/>
        </w:rPr>
        <w:t xml:space="preserve">MDN - MediaRecorder: </w:t>
      </w:r>
      <w:hyperlink r:id="rId17">
        <w:r>
          <w:rPr>
            <w:color w:val="0F6F73"/>
            <w:u w:val="single"/>
          </w:rPr>
          <w:t>Acessar fonte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77A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77A"/>
        <w:sz w:val="17"/>
      </w:rPr>
      <w:t>ONLINE TESTE  |  PROPOSTA DE GRAVAÇÃO E AUDITORIA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2637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6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ivekit.com/pricing" TargetMode="External"/><Relationship Id="rId13" Type="http://schemas.openxmlformats.org/officeDocument/2006/relationships/hyperlink" Target="https://docs.aws.amazon.com/AmazonS3/latest/userguide/object-lock.html" TargetMode="External"/><Relationship Id="rId14" Type="http://schemas.openxmlformats.org/officeDocument/2006/relationships/hyperlink" Target="https://www.backblaze.com/cloud-storage/transaction-pricing" TargetMode="External"/><Relationship Id="rId15" Type="http://schemas.openxmlformats.org/officeDocument/2006/relationships/hyperlink" Target="https://developers.cloudflare.com/r2/pricing/" TargetMode="External"/><Relationship Id="rId16" Type="http://schemas.openxmlformats.org/officeDocument/2006/relationships/hyperlink" Target="https://developers.google.com/workspace/drive/api/guides/limits" TargetMode="External"/><Relationship Id="rId17" Type="http://schemas.openxmlformats.org/officeDocument/2006/relationships/hyperlink" Target="https://developer.mozilla.org/en-US/docs/Web/API/MediaRecorder/dataavailable_ev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gravação e auditoria de testes online</dc:title>
  <dc:subject>Comparativo entre implantação gratuita e opção profissional paga</dc:subject>
  <dc:creator>Online Teste</dc:creator>
  <cp:keywords>gravação, auditoria, testes online, LiveKit, armazenamento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