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360"/>
        <w:jc w:val="center"/>
      </w:pPr>
      <w:r>
        <w:rPr>
          <w:rFonts w:ascii="Calibri" w:hAnsi="Calibri"/>
          <w:b/>
          <w:i w:val="0"/>
          <w:color w:val="2E74B5"/>
          <w:sz w:val="20"/>
        </w:rPr>
        <w:t>PREPRINT • ORIGINAL RESEARCH</w:t>
      </w:r>
    </w:p>
    <w:p>
      <w:pPr>
        <w:spacing w:after="280"/>
        <w:jc w:val="center"/>
      </w:pPr>
      <w:r>
        <w:rPr>
          <w:rFonts w:ascii="Calibri" w:hAnsi="Calibri"/>
          <w:b/>
          <w:i w:val="0"/>
          <w:color w:val="1F4D78"/>
          <w:sz w:val="50"/>
        </w:rPr>
        <w:t>Reduced DDX24 expression in CD8 T cells in axial spondyloarthritis</w:t>
      </w:r>
    </w:p>
    <w:p>
      <w:pPr>
        <w:spacing w:after="560"/>
        <w:jc w:val="center"/>
      </w:pPr>
      <w:r>
        <w:rPr>
          <w:rFonts w:ascii="Calibri" w:hAnsi="Calibri"/>
          <w:b w:val="0"/>
          <w:i/>
          <w:color w:val="5A626C"/>
          <w:sz w:val="26"/>
        </w:rPr>
        <w:t>A participant-level meta-analysis with cross-context transcriptomic assessment</w:t>
      </w:r>
    </w:p>
    <w:p>
      <w:pPr>
        <w:spacing w:after="100"/>
        <w:jc w:val="center"/>
      </w:pPr>
      <w:r>
        <w:rPr>
          <w:rFonts w:ascii="Calibri" w:hAnsi="Calibri"/>
          <w:b/>
          <w:i w:val="0"/>
          <w:sz w:val="26"/>
        </w:rPr>
        <w:t>João Pais  •  Diana Koshman</w:t>
      </w:r>
    </w:p>
    <w:p>
      <w:pPr>
        <w:spacing w:after="1360"/>
        <w:jc w:val="center"/>
      </w:pPr>
      <w:r>
        <w:rPr>
          <w:rFonts w:ascii="Calibri" w:hAnsi="Calibri"/>
          <w:b w:val="0"/>
          <w:i/>
          <w:color w:val="5A626C"/>
          <w:sz w:val="21"/>
        </w:rPr>
        <w:t>No institutional affiliation</w:t>
      </w:r>
    </w:p>
    <w:p>
      <w:pPr>
        <w:jc w:val="center"/>
      </w:pPr>
      <w:r>
        <w:rPr>
          <w:rFonts w:ascii="Calibri" w:hAnsi="Calibri"/>
          <w:b w:val="0"/>
          <w:i w:val="0"/>
          <w:color w:val="5A626C"/>
          <w:sz w:val="20"/>
        </w:rPr>
        <w:t>Primary synthesis: 2 CD8 cohorts, 47 participants • 5 additional contextual blood cohorts</w:t>
      </w:r>
    </w:p>
    <w:p>
      <w:r>
        <w:br w:type="page"/>
      </w:r>
    </w:p>
    <w:p>
      <w:pPr>
        <w:pStyle w:val="Heading1"/>
      </w:pPr>
      <w:r>
        <w:t>Abstract</w:t>
      </w:r>
    </w:p>
    <w:p>
      <w:pPr>
        <w:pStyle w:val="Heading2"/>
      </w:pPr>
      <w:r>
        <w:t>Background</w:t>
      </w:r>
    </w:p>
    <w:p>
      <w:pPr>
        <w:widowControl/>
      </w:pPr>
      <w:r>
        <w:rPr>
          <w:rFonts w:ascii="Calibri" w:hAnsi="Calibri"/>
          <w:b w:val="0"/>
          <w:i w:val="0"/>
          <w:sz w:val="22"/>
        </w:rPr>
        <w:t>Ankylosing spondylitis is an immune-mediated disease with heterogeneous blood transcriptomic findings. We evaluated whether DDX24 shows reproducible, cell-contextual expression differences that justify independent functional testing.</w:t>
      </w:r>
    </w:p>
    <w:p>
      <w:pPr>
        <w:pStyle w:val="Heading2"/>
      </w:pPr>
      <w:r>
        <w:t>Methods</w:t>
      </w:r>
    </w:p>
    <w:p>
      <w:pPr>
        <w:widowControl/>
      </w:pPr>
      <w:r>
        <w:rPr>
          <w:rFonts w:ascii="Calibri" w:hAnsi="Calibri"/>
          <w:b w:val="0"/>
          <w:i w:val="0"/>
          <w:sz w:val="22"/>
        </w:rPr>
        <w:t>We performed a reproducible secondary integration of seven independent human case-control cohorts. Donors, never cells, were the statistical units. Compatible effects were pooled only within two predeclared strata: donor-pseudobulk CD8 single-cell RNA sequencing and normalized peripheral-blood microarrays. Incompatible whole-blood RNA-sequencing scales were summarized directionally. Batch adjustment, leave-one-participant-out sensitivity and cross-context concordance were assessed. ADA was retained as a contextual comparison target.</w:t>
      </w:r>
    </w:p>
    <w:p>
      <w:pPr>
        <w:pStyle w:val="Heading2"/>
      </w:pPr>
      <w:r>
        <w:t>Results</w:t>
      </w:r>
    </w:p>
    <w:p>
      <w:pPr>
        <w:widowControl/>
      </w:pPr>
      <w:r>
        <w:rPr>
          <w:rFonts w:ascii="Calibri" w:hAnsi="Calibri"/>
          <w:b w:val="0"/>
          <w:i w:val="0"/>
          <w:sz w:val="22"/>
        </w:rPr>
        <w:t>The analysis included 7 independent cohorts and 213 participants. DDX24 was lower in cases in 6 of 7 cohorts. Across two independent CD8 cohorts (47 participants), the pooled effect was -0.148 log2-CPM (p=0.0193). Three peripheral-blood microarray cohorts (146 participants) were directionally concordant, although the random-effects result was imprecise (effect=-0.267, p=0.109) and heterogeneous. Two whole-blood RNA-sequencing cohorts were directionally mixed. ADA was mixed across contexts (4 of 7 cohorts lower).</w:t>
      </w:r>
    </w:p>
    <w:p>
      <w:pPr>
        <w:pStyle w:val="Heading2"/>
      </w:pPr>
      <w:r>
        <w:t>Conclusions</w:t>
      </w:r>
    </w:p>
    <w:p>
      <w:pPr>
        <w:widowControl/>
      </w:pPr>
      <w:r>
        <w:rPr>
          <w:rFonts w:ascii="Calibri" w:hAnsi="Calibri"/>
          <w:b w:val="0"/>
          <w:i w:val="0"/>
          <w:sz w:val="22"/>
        </w:rPr>
        <w:t>DDX24 shows a recurrent, within-CD8 reduction in ankylosing spondylitis and broader directional support across blood cohorts. The evidence supports a falsification-focused laboratory study but does not establish causality, druggability or therapeutic efficacy.</w:t>
      </w:r>
    </w:p>
    <w:p>
      <w:pPr>
        <w:pStyle w:val="Heading1"/>
      </w:pPr>
      <w:r>
        <w:t>Introduction</w:t>
      </w:r>
    </w:p>
    <w:p>
      <w:pPr>
        <w:widowControl/>
      </w:pPr>
      <w:r>
        <w:rPr>
          <w:rFonts w:ascii="Calibri" w:hAnsi="Calibri"/>
          <w:b w:val="0"/>
          <w:i w:val="0"/>
          <w:sz w:val="22"/>
        </w:rPr>
        <w:t>Blood transcriptomic studies of ankylosing spondylitis vary in participant selection, cellular composition and assay technology. Pooling all such effects into one estimate can obscure genuine cell-state specificity. DDX24 emerged from the AXIS discovery workflow as a recurrent candidate and is biologically relevant to innate RNA-sensing pathways. The present study asked a narrower question: is reduced DDX24 expression reproducible within human peripheral CD8 T-cell populations, and is its direction supported in independent blood cohorts? [1]</w:t>
      </w:r>
    </w:p>
    <w:p>
      <w:pPr>
        <w:pStyle w:val="Heading1"/>
      </w:pPr>
      <w:r>
        <w:t>Methods</w:t>
      </w:r>
    </w:p>
    <w:p>
      <w:pPr>
        <w:pStyle w:val="Heading2"/>
      </w:pPr>
      <w:r>
        <w:t>Design and eligibility</w:t>
      </w:r>
    </w:p>
    <w:p>
      <w:pPr>
        <w:widowControl/>
      </w:pPr>
      <w:r>
        <w:rPr>
          <w:rFonts w:ascii="Calibri" w:hAnsi="Calibri"/>
          <w:b w:val="0"/>
          <w:i w:val="0"/>
          <w:sz w:val="22"/>
        </w:rPr>
        <w:t>Public human case-control transcriptomic cohorts were eligible when disease and control groups could be separated at participant level. Repeated assays, technical libraries and cells were not counted as independent observations. Studies without healthy controls, pooled participants without donor resolution, or non-expression assays were excluded from inferential synthesis.</w:t>
      </w:r>
    </w:p>
    <w:p>
      <w:pPr>
        <w:pStyle w:val="Heading2"/>
      </w:pPr>
      <w:r>
        <w:t>Target and outcomes</w:t>
      </w:r>
    </w:p>
    <w:p>
      <w:pPr>
        <w:widowControl/>
      </w:pPr>
      <w:r>
        <w:rPr>
          <w:rFonts w:ascii="Calibri" w:hAnsi="Calibri"/>
          <w:b w:val="0"/>
          <w:i w:val="0"/>
          <w:sz w:val="22"/>
        </w:rPr>
        <w:t>DDX24 and its expected lower-in-case direction were frozen before the next dataset. The primary outcome was case-minus-control DDX24 expression in memory/effector CD8 cells. ADA was analysed identically as a comparison target.</w:t>
      </w:r>
    </w:p>
    <w:p>
      <w:pPr>
        <w:pStyle w:val="Heading2"/>
      </w:pPr>
      <w:r>
        <w:t>Statistical synthesis</w:t>
      </w:r>
    </w:p>
    <w:p>
      <w:pPr>
        <w:widowControl/>
      </w:pPr>
      <w:r>
        <w:rPr>
          <w:rFonts w:ascii="Calibri" w:hAnsi="Calibri"/>
          <w:b w:val="0"/>
          <w:i w:val="0"/>
          <w:sz w:val="22"/>
        </w:rPr>
        <w:t>Within compatible strata, inverse-variance random-effects models were used. CD8 effects were derived from donor pseudobulk log2-CPM. Microarray effects were case-minus-control normalized log expression. Whole-blood FPKM and long-read TPM studies were reported directionally and were not pooled with CD8 or microarray effects. No global cross-platform effect or p-value was estimated.</w:t>
      </w:r>
    </w:p>
    <w:p>
      <w:pPr>
        <w:pStyle w:val="Heading2"/>
      </w:pPr>
      <w:r>
        <w:t>Robustness and confounding</w:t>
      </w:r>
    </w:p>
    <w:p>
      <w:pPr>
        <w:widowControl/>
      </w:pPr>
      <w:r>
        <w:rPr>
          <w:rFonts w:ascii="Calibri" w:hAnsi="Calibri"/>
          <w:b w:val="0"/>
          <w:i w:val="0"/>
          <w:sz w:val="22"/>
        </w:rPr>
        <w:t>GSE194315 was adjusted using available processing-batch principal components and analysed separately by cell type. Each participant was omitted in turn. GSE288581 was similarly evaluated by leave-one-donor-out analysis. Age, sex, medication and disease activity were unavailable in the principal single-cell deposit and were retained as unresolved limitations. [2] [3]</w:t>
      </w:r>
    </w:p>
    <w:p>
      <w:pPr>
        <w:pStyle w:val="Heading1"/>
      </w:pPr>
      <w:r>
        <w:t>Results</w:t>
      </w:r>
    </w:p>
    <w:p>
      <w:pPr>
        <w:pStyle w:val="Heading2"/>
      </w:pPr>
      <w:r>
        <w:t>CD8-specific evidence</w:t>
      </w:r>
    </w:p>
    <w:p>
      <w:pPr>
        <w:widowControl/>
      </w:pPr>
      <w:r>
        <w:rPr>
          <w:rFonts w:ascii="Calibri" w:hAnsi="Calibri"/>
          <w:b w:val="0"/>
          <w:i w:val="0"/>
          <w:sz w:val="22"/>
        </w:rPr>
        <w:t>Both CD8 cohorts showed lower DDX24 expression in cases. The pooled CD8 estimate excluded zero, and every donor omission in the external cohort preserved the direction. In GSE194315, CD8 TEM and CD8 Naive directions also persisted after processing-batch adjustment and participant omission. [2]</w:t>
      </w:r>
    </w:p>
    <w:p>
      <w:pPr>
        <w:pStyle w:val="Heading2"/>
      </w:pPr>
      <w:r>
        <w:t>Evidence across blood contexts</w:t>
      </w:r>
    </w:p>
    <w:p>
      <w:pPr>
        <w:widowControl/>
      </w:pPr>
      <w:r>
        <w:rPr>
          <w:rFonts w:ascii="Calibri" w:hAnsi="Calibri"/>
          <w:b w:val="0"/>
          <w:i w:val="0"/>
          <w:sz w:val="22"/>
        </w:rPr>
        <w:t>All three microarray cohorts showed lower DDX24 expression, but magnitude varied substantially and the random-effects confidence interval included zero. The whole-blood RNA-sequencing stratum was mixed (1 lower and 1 higher). Consequently, the evidence is best interpreted as a robust CD8 association with broader but heterogeneous blood support.</w:t>
      </w:r>
    </w:p>
    <w:p>
      <w:pPr>
        <w:pStyle w:val="Heading2"/>
      </w:pPr>
      <w:r>
        <w:t>Comparison target</w:t>
      </w:r>
    </w:p>
    <w:p>
      <w:pPr>
        <w:widowControl/>
      </w:pPr>
      <w:r>
        <w:rPr>
          <w:rFonts w:ascii="Calibri" w:hAnsi="Calibri"/>
          <w:b w:val="0"/>
          <w:i w:val="0"/>
          <w:sz w:val="22"/>
        </w:rPr>
        <w:t>ADA did not reproduce the same cross-context pattern. Its direction differed between CD8 and microarray strata, supporting the interpretation that the DDX24 result is not merely a universal consequence of combining all blood datasets.</w:t>
      </w:r>
    </w:p>
    <w:p>
      <w:pPr>
        <w:pStyle w:val="Heading1"/>
      </w:pPr>
      <w:r>
        <w:t>Discussion</w:t>
      </w:r>
    </w:p>
    <w:p>
      <w:pPr>
        <w:widowControl/>
      </w:pPr>
      <w:r>
        <w:rPr>
          <w:rFonts w:ascii="Calibri" w:hAnsi="Calibri"/>
          <w:b w:val="0"/>
          <w:i w:val="0"/>
          <w:sz w:val="22"/>
        </w:rPr>
        <w:t>The main contribution is not a new global transcriptomic signature, but a carefully bounded observation: DDX24 is repeatedly lower within CD8 populations from people with ankylosing spondylitis. Participant-level analyses reduce the risk of cell-level pseudoreplication, while the independent sorted-CD8 cohort reduces reliance on one atlas. Nevertheless, residual clinical confounding, small external cohorts and cross-platform heterogeneity remain.</w:t>
      </w:r>
    </w:p>
    <w:p>
      <w:pPr>
        <w:widowControl/>
      </w:pPr>
      <w:r>
        <w:rPr>
          <w:rFonts w:ascii="Calibri" w:hAnsi="Calibri"/>
          <w:b w:val="0"/>
          <w:i w:val="0"/>
          <w:sz w:val="22"/>
        </w:rPr>
        <w:t>The result should be used to design a falsification experiment. An initial RT-qPCR study in isolated CD8 cells can test whether the direction survives prospective matching and clinical metadata collection. Functional restoration experiments should proceed only after expression replication and must include fitness and nonspecific RNA-processing safety endpoints.</w:t>
      </w:r>
    </w:p>
    <w:p>
      <w:pPr>
        <w:pStyle w:val="Heading1"/>
      </w:pPr>
      <w:r>
        <w:t>Limitations</w:t>
      </w:r>
    </w:p>
    <w:p>
      <w:pPr>
        <w:widowControl/>
      </w:pPr>
      <w:r>
        <w:rPr>
          <w:rFonts w:ascii="Calibri" w:hAnsi="Calibri"/>
          <w:b w:val="0"/>
          <w:i w:val="0"/>
          <w:sz w:val="22"/>
        </w:rPr>
        <w:t>Age, sex, medication and disease activity could not be adjusted consistently. The CD8 meta-analysis contains only two independent cohorts. Whole-blood RNA-sequencing studies disagree directionally. No human genetic association currently establishes DDX24 causality, and no perturbation result establishes therapeutic direction.</w:t>
      </w:r>
    </w:p>
    <w:p>
      <w:pPr>
        <w:pStyle w:val="Heading1"/>
      </w:pPr>
      <w:r>
        <w:t>Data and code availability</w:t>
      </w:r>
    </w:p>
    <w:p>
      <w:pPr>
        <w:widowControl/>
      </w:pPr>
      <w:r>
        <w:rPr>
          <w:rFonts w:ascii="Calibri" w:hAnsi="Calibri"/>
          <w:b w:val="0"/>
          <w:i w:val="0"/>
          <w:sz w:val="22"/>
        </w:rPr>
        <w:t xml:space="preserve">Public source accessions, eligibility decisions, checksums and reconstruction code are preserved by AXIS. Participant-derived frozen working files are not redistributed. AXIS version 0.2.0 is archived at https://doi.org/10.5281/zenodo.21762169 and the software is installable from PyPI as </w:t>
      </w:r>
      <w:r>
        <w:rPr>
          <w:rFonts w:ascii="Calibri" w:hAnsi="Calibri"/>
          <w:b w:val="0"/>
          <w:i/>
          <w:sz w:val="21"/>
        </w:rPr>
        <w:t>axis-bio</w:t>
      </w:r>
      <w:r>
        <w:rPr>
          <w:rFonts w:ascii="Calibri" w:hAnsi="Calibri"/>
          <w:b w:val="0"/>
          <w:i w:val="0"/>
          <w:sz w:val="22"/>
        </w:rPr>
        <w:t>.</w:t>
      </w:r>
    </w:p>
    <w:p>
      <w:pPr>
        <w:pStyle w:val="Heading1"/>
      </w:pPr>
      <w:r>
        <w:t>Declarations</w:t>
      </w:r>
    </w:p>
    <w:p>
      <w:pPr>
        <w:spacing w:after="120"/>
      </w:pPr>
      <w:r>
        <w:rPr>
          <w:rFonts w:ascii="Calibri" w:hAnsi="Calibri"/>
          <w:b/>
          <w:i w:val="0"/>
          <w:sz w:val="21"/>
        </w:rPr>
        <w:t xml:space="preserve">Ethics. </w:t>
      </w:r>
      <w:r>
        <w:rPr>
          <w:rFonts w:ascii="Calibri" w:hAnsi="Calibri"/>
          <w:b w:val="0"/>
          <w:i w:val="0"/>
          <w:sz w:val="21"/>
        </w:rPr>
        <w:t>This study reanalysed previously published, publicly accessible, de-identified datasets and involved no new participant recruitment or intervention. The ethical and consent conditions of each source study remain applicable.</w:t>
      </w:r>
    </w:p>
    <w:p>
      <w:pPr>
        <w:spacing w:after="120"/>
      </w:pPr>
      <w:r>
        <w:rPr>
          <w:rFonts w:ascii="Calibri" w:hAnsi="Calibri"/>
          <w:b/>
          <w:i w:val="0"/>
          <w:sz w:val="21"/>
        </w:rPr>
        <w:t xml:space="preserve">Data and code availability. </w:t>
      </w:r>
      <w:r>
        <w:rPr>
          <w:rFonts w:ascii="Calibri" w:hAnsi="Calibri"/>
          <w:b w:val="0"/>
          <w:i w:val="0"/>
          <w:sz w:val="21"/>
        </w:rPr>
        <w:t>Source datasets are available from the public accessions listed in Table 1. AXIS source code is available at https://github.com/JPais7/AXIS under Apache-2.0. AXIS version 0.2.0 is archived at https://doi.org/10.5281/zenodo.21762169 and installable as axis-bio from PyPI. Participant-derived frozen working files are not redistributed; accessions, checksums, eligibility rules and reconstruction code preserve the audit trail.</w:t>
      </w:r>
    </w:p>
    <w:p>
      <w:pPr>
        <w:spacing w:after="120"/>
      </w:pPr>
      <w:r>
        <w:rPr>
          <w:rFonts w:ascii="Calibri" w:hAnsi="Calibri"/>
          <w:b/>
          <w:i w:val="0"/>
          <w:sz w:val="21"/>
        </w:rPr>
        <w:t xml:space="preserve">Funding. </w:t>
      </w:r>
      <w:r>
        <w:rPr>
          <w:rFonts w:ascii="Calibri" w:hAnsi="Calibri"/>
          <w:b w:val="0"/>
          <w:i w:val="0"/>
          <w:sz w:val="21"/>
        </w:rPr>
        <w:t>No specific funding was reported during drafting; both authors must confirm this statement before posting.</w:t>
      </w:r>
    </w:p>
    <w:p>
      <w:pPr>
        <w:spacing w:after="120"/>
      </w:pPr>
      <w:r>
        <w:rPr>
          <w:rFonts w:ascii="Calibri" w:hAnsi="Calibri"/>
          <w:b/>
          <w:i w:val="0"/>
          <w:sz w:val="21"/>
        </w:rPr>
        <w:t xml:space="preserve">Competing interests. </w:t>
      </w:r>
      <w:r>
        <w:rPr>
          <w:rFonts w:ascii="Calibri" w:hAnsi="Calibri"/>
          <w:b w:val="0"/>
          <w:i w:val="0"/>
          <w:sz w:val="21"/>
        </w:rPr>
        <w:t>The final declaration must be confirmed by both authors before posting.</w:t>
      </w:r>
    </w:p>
    <w:p>
      <w:pPr>
        <w:spacing w:after="120"/>
      </w:pPr>
      <w:r>
        <w:rPr>
          <w:rFonts w:ascii="Calibri" w:hAnsi="Calibri"/>
          <w:b/>
          <w:i w:val="0"/>
          <w:sz w:val="21"/>
        </w:rPr>
        <w:t xml:space="preserve">Author contributions. </w:t>
      </w:r>
      <w:r>
        <w:rPr>
          <w:rFonts w:ascii="Calibri" w:hAnsi="Calibri"/>
          <w:b w:val="0"/>
          <w:i w:val="0"/>
          <w:sz w:val="21"/>
        </w:rPr>
        <w:t>João Pais: conceptualization, software, formal analysis, data curation, visualization and writing-original draft. Diana Koshman: methodology, validation, interpretation and writing-review and editing. This proposed contribution statement and the complete manuscript require approval by both authors before circulation.</w:t>
      </w:r>
    </w:p>
    <w:p>
      <w:pPr>
        <w:spacing w:after="120"/>
      </w:pPr>
      <w:r>
        <w:rPr>
          <w:rFonts w:ascii="Calibri" w:hAnsi="Calibri"/>
          <w:b/>
          <w:i w:val="0"/>
          <w:sz w:val="21"/>
        </w:rPr>
        <w:t xml:space="preserve">Use of artificial intelligence. </w:t>
      </w:r>
      <w:r>
        <w:rPr>
          <w:rFonts w:ascii="Calibri" w:hAnsi="Calibri"/>
          <w:b w:val="0"/>
          <w:i w:val="0"/>
          <w:sz w:val="21"/>
        </w:rPr>
        <w:t>AI-assisted tools supported software development, document structuring and language editing. Scientific inclusion decisions, interpretation, numerical verification and authorship responsibility remained with the authors.</w:t>
      </w:r>
    </w:p>
    <w:p>
      <w:pPr>
        <w:spacing w:after="120"/>
      </w:pPr>
      <w:r>
        <w:rPr>
          <w:rFonts w:ascii="Calibri" w:hAnsi="Calibri"/>
          <w:b/>
          <w:i w:val="0"/>
          <w:sz w:val="21"/>
        </w:rPr>
        <w:t xml:space="preserve">Version and correspondence. </w:t>
      </w:r>
      <w:r>
        <w:rPr>
          <w:rFonts w:ascii="Calibri" w:hAnsi="Calibri"/>
          <w:b w:val="0"/>
          <w:i w:val="0"/>
          <w:sz w:val="21"/>
        </w:rPr>
        <w:t>Preprint draft 1, 2 August 2026. Correspondence: joaopais2000@hotmail.com.</w:t>
      </w:r>
    </w:p>
    <w:p>
      <w:r>
        <w:br w:type="page"/>
      </w:r>
    </w:p>
    <w:p>
      <w:pPr>
        <w:pStyle w:val="Heading1"/>
      </w:pPr>
      <w:r>
        <w:t>Figures</w:t>
      </w:r>
    </w:p>
    <w:p>
      <w:pPr>
        <w:keepNext/>
        <w:jc w:val="center"/>
      </w:pPr>
      <w:r>
        <w:drawing>
          <wp:inline xmlns:a="http://schemas.openxmlformats.org/drawingml/2006/main" xmlns:pic="http://schemas.openxmlformats.org/drawingml/2006/picture">
            <wp:extent cx="5806440" cy="2157820"/>
            <wp:docPr id="1" name="Picture 1" descr="Figure 1. DDX24 case-minus-control effects in seven independent cohorts, separated into compatible assay contexts. Negative values indicate lower expression in cases. Effects are not pooled across panels because assay scales differ." title="Figure 1"/>
            <wp:cNvGraphicFramePr>
              <a:graphicFrameLocks noChangeAspect="1"/>
            </wp:cNvGraphicFramePr>
            <a:graphic>
              <a:graphicData uri="http://schemas.openxmlformats.org/drawingml/2006/picture">
                <pic:pic>
                  <pic:nvPicPr>
                    <pic:cNvPr id="0" name="figure-1-cohort-effects.png"/>
                    <pic:cNvPicPr/>
                  </pic:nvPicPr>
                  <pic:blipFill>
                    <a:blip r:embed="rId11"/>
                    <a:stretch>
                      <a:fillRect/>
                    </a:stretch>
                  </pic:blipFill>
                  <pic:spPr>
                    <a:xfrm>
                      <a:off x="0" y="0"/>
                      <a:ext cx="5806440" cy="2157820"/>
                    </a:xfrm>
                    <a:prstGeom prst="rect"/>
                  </pic:spPr>
                </pic:pic>
              </a:graphicData>
            </a:graphic>
          </wp:inline>
        </w:drawing>
      </w:r>
    </w:p>
    <w:p>
      <w:pPr>
        <w:spacing w:after="280"/>
        <w:jc w:val="left"/>
      </w:pPr>
      <w:r>
        <w:rPr>
          <w:rFonts w:ascii="Calibri" w:hAnsi="Calibri"/>
          <w:b w:val="0"/>
          <w:i/>
          <w:color w:val="5A626C"/>
          <w:sz w:val="19"/>
        </w:rPr>
        <w:t>Figure 1. DDX24 case-minus-control effects in seven independent cohorts, separated into compatible assay contexts. Negative values indicate lower expression in cases. Effects are not pooled across panels because assay scales differ.</w:t>
      </w:r>
    </w:p>
    <w:p>
      <w:pPr>
        <w:keepNext/>
        <w:jc w:val="center"/>
      </w:pPr>
      <w:r>
        <w:drawing>
          <wp:inline xmlns:a="http://schemas.openxmlformats.org/drawingml/2006/main" xmlns:pic="http://schemas.openxmlformats.org/drawingml/2006/picture">
            <wp:extent cx="5806440" cy="2502951"/>
            <wp:docPr id="2" name="Picture 2" descr="Figure 2. Directional concordance for DDX24 and ADA. Values show the fraction of independent cohorts within each context whose case-minus-control effect was below zero." title="Figure 2"/>
            <wp:cNvGraphicFramePr>
              <a:graphicFrameLocks noChangeAspect="1"/>
            </wp:cNvGraphicFramePr>
            <a:graphic>
              <a:graphicData uri="http://schemas.openxmlformats.org/drawingml/2006/picture">
                <pic:pic>
                  <pic:nvPicPr>
                    <pic:cNvPr id="0" name="figure-2-context-concordance.png"/>
                    <pic:cNvPicPr/>
                  </pic:nvPicPr>
                  <pic:blipFill>
                    <a:blip r:embed="rId12"/>
                    <a:stretch>
                      <a:fillRect/>
                    </a:stretch>
                  </pic:blipFill>
                  <pic:spPr>
                    <a:xfrm>
                      <a:off x="0" y="0"/>
                      <a:ext cx="5806440" cy="2502951"/>
                    </a:xfrm>
                    <a:prstGeom prst="rect"/>
                  </pic:spPr>
                </pic:pic>
              </a:graphicData>
            </a:graphic>
          </wp:inline>
        </w:drawing>
      </w:r>
    </w:p>
    <w:p>
      <w:pPr>
        <w:spacing w:after="280"/>
        <w:jc w:val="left"/>
      </w:pPr>
      <w:r>
        <w:rPr>
          <w:rFonts w:ascii="Calibri" w:hAnsi="Calibri"/>
          <w:b w:val="0"/>
          <w:i/>
          <w:color w:val="5A626C"/>
          <w:sz w:val="19"/>
        </w:rPr>
        <w:t>Figure 2. Directional concordance for DDX24 and ADA. Values show the fraction of independent cohorts within each context whose case-minus-control effect was below zero.</w:t>
      </w:r>
    </w:p>
    <w:p>
      <w:r>
        <w:br w:type="page"/>
      </w:r>
    </w:p>
    <w:p>
      <w:pPr>
        <w:pStyle w:val="Heading1"/>
      </w:pPr>
      <w:r>
        <w:t>Table 1. Included cohorts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trPr>
        <w:tc>
          <w:tcPr>
            <w:tcW w:type="dxa" w:w="1350"/>
            <w:shd w:fill="E8EEF5"/>
            <w:vAlign w:val="center"/>
          </w:tcPr>
          <w:p>
            <w:pPr>
              <w:jc w:val="center"/>
            </w:pPr>
            <w:r>
              <w:rPr>
                <w:rFonts w:ascii="Calibri" w:hAnsi="Calibri"/>
                <w:b/>
                <w:i w:val="0"/>
                <w:color w:val="1F4D78"/>
                <w:sz w:val="18"/>
              </w:rPr>
              <w:t>Cohort</w:t>
            </w:r>
          </w:p>
        </w:tc>
        <w:tc>
          <w:tcPr>
            <w:tcW w:type="dxa" w:w="3000"/>
            <w:shd w:fill="E8EEF5"/>
            <w:vAlign w:val="center"/>
          </w:tcPr>
          <w:p>
            <w:pPr>
              <w:jc w:val="center"/>
            </w:pPr>
            <w:r>
              <w:rPr>
                <w:rFonts w:ascii="Calibri" w:hAnsi="Calibri"/>
                <w:b/>
                <w:i w:val="0"/>
                <w:color w:val="1F4D78"/>
                <w:sz w:val="18"/>
              </w:rPr>
              <w:t>Context</w:t>
            </w:r>
          </w:p>
        </w:tc>
        <w:tc>
          <w:tcPr>
            <w:tcW w:type="dxa" w:w="900"/>
            <w:shd w:fill="E8EEF5"/>
            <w:vAlign w:val="center"/>
          </w:tcPr>
          <w:p>
            <w:pPr>
              <w:jc w:val="center"/>
            </w:pPr>
            <w:r>
              <w:rPr>
                <w:rFonts w:ascii="Calibri" w:hAnsi="Calibri"/>
                <w:b/>
                <w:i w:val="0"/>
                <w:color w:val="1F4D78"/>
                <w:sz w:val="18"/>
              </w:rPr>
              <w:t>Cases</w:t>
            </w:r>
          </w:p>
        </w:tc>
        <w:tc>
          <w:tcPr>
            <w:tcW w:type="dxa" w:w="900"/>
            <w:shd w:fill="E8EEF5"/>
            <w:vAlign w:val="center"/>
          </w:tcPr>
          <w:p>
            <w:pPr>
              <w:jc w:val="center"/>
            </w:pPr>
            <w:r>
              <w:rPr>
                <w:rFonts w:ascii="Calibri" w:hAnsi="Calibri"/>
                <w:b/>
                <w:i w:val="0"/>
                <w:color w:val="1F4D78"/>
                <w:sz w:val="18"/>
              </w:rPr>
              <w:t>Controls</w:t>
            </w:r>
          </w:p>
        </w:tc>
        <w:tc>
          <w:tcPr>
            <w:tcW w:type="dxa" w:w="1100"/>
            <w:shd w:fill="E8EEF5"/>
            <w:vAlign w:val="center"/>
          </w:tcPr>
          <w:p>
            <w:pPr>
              <w:jc w:val="center"/>
            </w:pPr>
            <w:r>
              <w:rPr>
                <w:rFonts w:ascii="Calibri" w:hAnsi="Calibri"/>
                <w:b/>
                <w:i w:val="0"/>
                <w:color w:val="1F4D78"/>
                <w:sz w:val="18"/>
              </w:rPr>
              <w:t>Effect</w:t>
            </w:r>
          </w:p>
        </w:tc>
        <w:tc>
          <w:tcPr>
            <w:tcW w:type="dxa" w:w="2110"/>
            <w:shd w:fill="E8EEF5"/>
            <w:vAlign w:val="center"/>
          </w:tcPr>
          <w:p>
            <w:pPr>
              <w:jc w:val="center"/>
            </w:pPr>
            <w:r>
              <w:rPr>
                <w:rFonts w:ascii="Calibri" w:hAnsi="Calibri"/>
                <w:b/>
                <w:i w:val="0"/>
                <w:color w:val="1F4D78"/>
                <w:sz w:val="18"/>
              </w:rPr>
              <w:t>Direction</w:t>
            </w:r>
          </w:p>
        </w:tc>
      </w:tr>
      <w:tr>
        <w:trPr>
          <w:cantSplit/>
        </w:trPr>
        <w:tc>
          <w:tcPr>
            <w:tcW w:type="dxa" w:w="1350"/>
            <w:vAlign w:val="center"/>
          </w:tcPr>
          <w:p>
            <w:pPr>
              <w:jc w:val="center"/>
            </w:pPr>
            <w:r>
              <w:rPr>
                <w:rFonts w:ascii="Calibri" w:hAnsi="Calibri"/>
                <w:b w:val="0"/>
                <w:i w:val="0"/>
                <w:sz w:val="17"/>
              </w:rPr>
              <w:t>GSE194315</w:t>
            </w:r>
          </w:p>
        </w:tc>
        <w:tc>
          <w:tcPr>
            <w:tcW w:type="dxa" w:w="3000"/>
            <w:vAlign w:val="center"/>
          </w:tcPr>
          <w:p>
            <w:pPr>
              <w:jc w:val="center"/>
            </w:pPr>
            <w:r>
              <w:rPr>
                <w:rFonts w:ascii="Calibri" w:hAnsi="Calibri"/>
                <w:b w:val="0"/>
                <w:i w:val="0"/>
                <w:sz w:val="17"/>
              </w:rPr>
              <w:t>CD8 single cell</w:t>
            </w:r>
          </w:p>
        </w:tc>
        <w:tc>
          <w:tcPr>
            <w:tcW w:type="dxa" w:w="900"/>
            <w:vAlign w:val="center"/>
          </w:tcPr>
          <w:p>
            <w:pPr>
              <w:jc w:val="center"/>
            </w:pPr>
            <w:r>
              <w:rPr>
                <w:rFonts w:ascii="Calibri" w:hAnsi="Calibri"/>
                <w:b w:val="0"/>
                <w:i w:val="0"/>
                <w:sz w:val="17"/>
              </w:rPr>
              <w:t>10</w:t>
            </w:r>
          </w:p>
        </w:tc>
        <w:tc>
          <w:tcPr>
            <w:tcW w:type="dxa" w:w="900"/>
            <w:vAlign w:val="center"/>
          </w:tcPr>
          <w:p>
            <w:pPr>
              <w:jc w:val="center"/>
            </w:pPr>
            <w:r>
              <w:rPr>
                <w:rFonts w:ascii="Calibri" w:hAnsi="Calibri"/>
                <w:b w:val="0"/>
                <w:i w:val="0"/>
                <w:sz w:val="17"/>
              </w:rPr>
              <w:t>29</w:t>
            </w:r>
          </w:p>
        </w:tc>
        <w:tc>
          <w:tcPr>
            <w:tcW w:type="dxa" w:w="1100"/>
            <w:vAlign w:val="center"/>
          </w:tcPr>
          <w:p>
            <w:pPr>
              <w:jc w:val="center"/>
            </w:pPr>
            <w:r>
              <w:rPr>
                <w:rFonts w:ascii="Calibri" w:hAnsi="Calibri"/>
                <w:b w:val="0"/>
                <w:i w:val="0"/>
                <w:sz w:val="17"/>
              </w:rPr>
              <w:t>-0.230</w:t>
            </w:r>
          </w:p>
        </w:tc>
        <w:tc>
          <w:tcPr>
            <w:tcW w:type="dxa" w:w="2110"/>
            <w:vAlign w:val="center"/>
          </w:tcPr>
          <w:p>
            <w:pPr>
              <w:jc w:val="center"/>
            </w:pPr>
            <w:r>
              <w:rPr>
                <w:rFonts w:ascii="Calibri" w:hAnsi="Calibri"/>
                <w:b w:val="0"/>
                <w:i w:val="0"/>
                <w:sz w:val="17"/>
              </w:rPr>
              <w:t>lower in case</w:t>
            </w:r>
          </w:p>
        </w:tc>
      </w:tr>
      <w:tr>
        <w:trPr>
          <w:cantSplit/>
        </w:trPr>
        <w:tc>
          <w:tcPr>
            <w:tcW w:type="dxa" w:w="1350"/>
            <w:vAlign w:val="center"/>
          </w:tcPr>
          <w:p>
            <w:pPr>
              <w:jc w:val="center"/>
            </w:pPr>
            <w:r>
              <w:rPr>
                <w:rFonts w:ascii="Calibri" w:hAnsi="Calibri"/>
                <w:b w:val="0"/>
                <w:i w:val="0"/>
                <w:sz w:val="17"/>
              </w:rPr>
              <w:t>GSE288581</w:t>
            </w:r>
          </w:p>
        </w:tc>
        <w:tc>
          <w:tcPr>
            <w:tcW w:type="dxa" w:w="3000"/>
            <w:vAlign w:val="center"/>
          </w:tcPr>
          <w:p>
            <w:pPr>
              <w:jc w:val="center"/>
            </w:pPr>
            <w:r>
              <w:rPr>
                <w:rFonts w:ascii="Calibri" w:hAnsi="Calibri"/>
                <w:b w:val="0"/>
                <w:i w:val="0"/>
                <w:sz w:val="17"/>
              </w:rPr>
              <w:t>CD8 single cell</w:t>
            </w:r>
          </w:p>
        </w:tc>
        <w:tc>
          <w:tcPr>
            <w:tcW w:type="dxa" w:w="900"/>
            <w:vAlign w:val="center"/>
          </w:tcPr>
          <w:p>
            <w:pPr>
              <w:jc w:val="center"/>
            </w:pPr>
            <w:r>
              <w:rPr>
                <w:rFonts w:ascii="Calibri" w:hAnsi="Calibri"/>
                <w:b w:val="0"/>
                <w:i w:val="0"/>
                <w:sz w:val="17"/>
              </w:rPr>
              <w:t>4</w:t>
            </w:r>
          </w:p>
        </w:tc>
        <w:tc>
          <w:tcPr>
            <w:tcW w:type="dxa" w:w="900"/>
            <w:vAlign w:val="center"/>
          </w:tcPr>
          <w:p>
            <w:pPr>
              <w:jc w:val="center"/>
            </w:pPr>
            <w:r>
              <w:rPr>
                <w:rFonts w:ascii="Calibri" w:hAnsi="Calibri"/>
                <w:b w:val="0"/>
                <w:i w:val="0"/>
                <w:sz w:val="17"/>
              </w:rPr>
              <w:t>4</w:t>
            </w:r>
          </w:p>
        </w:tc>
        <w:tc>
          <w:tcPr>
            <w:tcW w:type="dxa" w:w="1100"/>
            <w:vAlign w:val="center"/>
          </w:tcPr>
          <w:p>
            <w:pPr>
              <w:jc w:val="center"/>
            </w:pPr>
            <w:r>
              <w:rPr>
                <w:rFonts w:ascii="Calibri" w:hAnsi="Calibri"/>
                <w:b w:val="0"/>
                <w:i w:val="0"/>
                <w:sz w:val="17"/>
              </w:rPr>
              <w:t>-0.099</w:t>
            </w:r>
          </w:p>
        </w:tc>
        <w:tc>
          <w:tcPr>
            <w:tcW w:type="dxa" w:w="2110"/>
            <w:vAlign w:val="center"/>
          </w:tcPr>
          <w:p>
            <w:pPr>
              <w:jc w:val="center"/>
            </w:pPr>
            <w:r>
              <w:rPr>
                <w:rFonts w:ascii="Calibri" w:hAnsi="Calibri"/>
                <w:b w:val="0"/>
                <w:i w:val="0"/>
                <w:sz w:val="17"/>
              </w:rPr>
              <w:t>lower in case</w:t>
            </w:r>
          </w:p>
        </w:tc>
      </w:tr>
      <w:tr>
        <w:trPr>
          <w:cantSplit/>
        </w:trPr>
        <w:tc>
          <w:tcPr>
            <w:tcW w:type="dxa" w:w="1350"/>
            <w:vAlign w:val="center"/>
          </w:tcPr>
          <w:p>
            <w:pPr>
              <w:jc w:val="center"/>
            </w:pPr>
            <w:r>
              <w:rPr>
                <w:rFonts w:ascii="Calibri" w:hAnsi="Calibri"/>
                <w:b w:val="0"/>
                <w:i w:val="0"/>
                <w:sz w:val="17"/>
              </w:rPr>
              <w:t>GSE25101</w:t>
            </w:r>
          </w:p>
        </w:tc>
        <w:tc>
          <w:tcPr>
            <w:tcW w:type="dxa" w:w="3000"/>
            <w:vAlign w:val="center"/>
          </w:tcPr>
          <w:p>
            <w:pPr>
              <w:jc w:val="center"/>
            </w:pPr>
            <w:r>
              <w:rPr>
                <w:rFonts w:ascii="Calibri" w:hAnsi="Calibri"/>
                <w:b w:val="0"/>
                <w:i w:val="0"/>
                <w:sz w:val="17"/>
              </w:rPr>
              <w:t>peripheral blood microarray</w:t>
            </w:r>
          </w:p>
        </w:tc>
        <w:tc>
          <w:tcPr>
            <w:tcW w:type="dxa" w:w="900"/>
            <w:vAlign w:val="center"/>
          </w:tcPr>
          <w:p>
            <w:pPr>
              <w:jc w:val="center"/>
            </w:pPr>
            <w:r>
              <w:rPr>
                <w:rFonts w:ascii="Calibri" w:hAnsi="Calibri"/>
                <w:b w:val="0"/>
                <w:i w:val="0"/>
                <w:sz w:val="17"/>
              </w:rPr>
              <w:t>16</w:t>
            </w:r>
          </w:p>
        </w:tc>
        <w:tc>
          <w:tcPr>
            <w:tcW w:type="dxa" w:w="900"/>
            <w:vAlign w:val="center"/>
          </w:tcPr>
          <w:p>
            <w:pPr>
              <w:jc w:val="center"/>
            </w:pPr>
            <w:r>
              <w:rPr>
                <w:rFonts w:ascii="Calibri" w:hAnsi="Calibri"/>
                <w:b w:val="0"/>
                <w:i w:val="0"/>
                <w:sz w:val="17"/>
              </w:rPr>
              <w:t>16</w:t>
            </w:r>
          </w:p>
        </w:tc>
        <w:tc>
          <w:tcPr>
            <w:tcW w:type="dxa" w:w="1100"/>
            <w:vAlign w:val="center"/>
          </w:tcPr>
          <w:p>
            <w:pPr>
              <w:jc w:val="center"/>
            </w:pPr>
            <w:r>
              <w:rPr>
                <w:rFonts w:ascii="Calibri" w:hAnsi="Calibri"/>
                <w:b w:val="0"/>
                <w:i w:val="0"/>
                <w:sz w:val="17"/>
              </w:rPr>
              <w:t>-0.435</w:t>
            </w:r>
          </w:p>
        </w:tc>
        <w:tc>
          <w:tcPr>
            <w:tcW w:type="dxa" w:w="2110"/>
            <w:vAlign w:val="center"/>
          </w:tcPr>
          <w:p>
            <w:pPr>
              <w:jc w:val="center"/>
            </w:pPr>
            <w:r>
              <w:rPr>
                <w:rFonts w:ascii="Calibri" w:hAnsi="Calibri"/>
                <w:b w:val="0"/>
                <w:i w:val="0"/>
                <w:sz w:val="17"/>
              </w:rPr>
              <w:t>lower in case</w:t>
            </w:r>
          </w:p>
        </w:tc>
      </w:tr>
      <w:tr>
        <w:trPr>
          <w:cantSplit/>
        </w:trPr>
        <w:tc>
          <w:tcPr>
            <w:tcW w:type="dxa" w:w="1350"/>
            <w:vAlign w:val="center"/>
          </w:tcPr>
          <w:p>
            <w:pPr>
              <w:jc w:val="center"/>
            </w:pPr>
            <w:r>
              <w:rPr>
                <w:rFonts w:ascii="Calibri" w:hAnsi="Calibri"/>
                <w:b w:val="0"/>
                <w:i w:val="0"/>
                <w:sz w:val="17"/>
              </w:rPr>
              <w:t>GSE18781</w:t>
            </w:r>
          </w:p>
        </w:tc>
        <w:tc>
          <w:tcPr>
            <w:tcW w:type="dxa" w:w="3000"/>
            <w:vAlign w:val="center"/>
          </w:tcPr>
          <w:p>
            <w:pPr>
              <w:jc w:val="center"/>
            </w:pPr>
            <w:r>
              <w:rPr>
                <w:rFonts w:ascii="Calibri" w:hAnsi="Calibri"/>
                <w:b w:val="0"/>
                <w:i w:val="0"/>
                <w:sz w:val="17"/>
              </w:rPr>
              <w:t>peripheral blood microarray</w:t>
            </w:r>
          </w:p>
        </w:tc>
        <w:tc>
          <w:tcPr>
            <w:tcW w:type="dxa" w:w="900"/>
            <w:vAlign w:val="center"/>
          </w:tcPr>
          <w:p>
            <w:pPr>
              <w:jc w:val="center"/>
            </w:pPr>
            <w:r>
              <w:rPr>
                <w:rFonts w:ascii="Calibri" w:hAnsi="Calibri"/>
                <w:b w:val="0"/>
                <w:i w:val="0"/>
                <w:sz w:val="17"/>
              </w:rPr>
              <w:t>18</w:t>
            </w:r>
          </w:p>
        </w:tc>
        <w:tc>
          <w:tcPr>
            <w:tcW w:type="dxa" w:w="900"/>
            <w:vAlign w:val="center"/>
          </w:tcPr>
          <w:p>
            <w:pPr>
              <w:jc w:val="center"/>
            </w:pPr>
            <w:r>
              <w:rPr>
                <w:rFonts w:ascii="Calibri" w:hAnsi="Calibri"/>
                <w:b w:val="0"/>
                <w:i w:val="0"/>
                <w:sz w:val="17"/>
              </w:rPr>
              <w:t>25</w:t>
            </w:r>
          </w:p>
        </w:tc>
        <w:tc>
          <w:tcPr>
            <w:tcW w:type="dxa" w:w="1100"/>
            <w:vAlign w:val="center"/>
          </w:tcPr>
          <w:p>
            <w:pPr>
              <w:jc w:val="center"/>
            </w:pPr>
            <w:r>
              <w:rPr>
                <w:rFonts w:ascii="Calibri" w:hAnsi="Calibri"/>
                <w:b w:val="0"/>
                <w:i w:val="0"/>
                <w:sz w:val="17"/>
              </w:rPr>
              <w:t>-0.413</w:t>
            </w:r>
          </w:p>
        </w:tc>
        <w:tc>
          <w:tcPr>
            <w:tcW w:type="dxa" w:w="2110"/>
            <w:vAlign w:val="center"/>
          </w:tcPr>
          <w:p>
            <w:pPr>
              <w:jc w:val="center"/>
            </w:pPr>
            <w:r>
              <w:rPr>
                <w:rFonts w:ascii="Calibri" w:hAnsi="Calibri"/>
                <w:b w:val="0"/>
                <w:i w:val="0"/>
                <w:sz w:val="17"/>
              </w:rPr>
              <w:t>lower in case</w:t>
            </w:r>
          </w:p>
        </w:tc>
      </w:tr>
      <w:tr>
        <w:trPr>
          <w:cantSplit/>
        </w:trPr>
        <w:tc>
          <w:tcPr>
            <w:tcW w:type="dxa" w:w="1350"/>
            <w:vAlign w:val="center"/>
          </w:tcPr>
          <w:p>
            <w:pPr>
              <w:jc w:val="center"/>
            </w:pPr>
            <w:r>
              <w:rPr>
                <w:rFonts w:ascii="Calibri" w:hAnsi="Calibri"/>
                <w:b w:val="0"/>
                <w:i w:val="0"/>
                <w:sz w:val="17"/>
              </w:rPr>
              <w:t>GSE73754</w:t>
            </w:r>
          </w:p>
        </w:tc>
        <w:tc>
          <w:tcPr>
            <w:tcW w:type="dxa" w:w="3000"/>
            <w:vAlign w:val="center"/>
          </w:tcPr>
          <w:p>
            <w:pPr>
              <w:jc w:val="center"/>
            </w:pPr>
            <w:r>
              <w:rPr>
                <w:rFonts w:ascii="Calibri" w:hAnsi="Calibri"/>
                <w:b w:val="0"/>
                <w:i w:val="0"/>
                <w:sz w:val="17"/>
              </w:rPr>
              <w:t>peripheral blood microarray</w:t>
            </w:r>
          </w:p>
        </w:tc>
        <w:tc>
          <w:tcPr>
            <w:tcW w:type="dxa" w:w="900"/>
            <w:vAlign w:val="center"/>
          </w:tcPr>
          <w:p>
            <w:pPr>
              <w:jc w:val="center"/>
            </w:pPr>
            <w:r>
              <w:rPr>
                <w:rFonts w:ascii="Calibri" w:hAnsi="Calibri"/>
                <w:b w:val="0"/>
                <w:i w:val="0"/>
                <w:sz w:val="17"/>
              </w:rPr>
              <w:t>51</w:t>
            </w:r>
          </w:p>
        </w:tc>
        <w:tc>
          <w:tcPr>
            <w:tcW w:type="dxa" w:w="900"/>
            <w:vAlign w:val="center"/>
          </w:tcPr>
          <w:p>
            <w:pPr>
              <w:jc w:val="center"/>
            </w:pPr>
            <w:r>
              <w:rPr>
                <w:rFonts w:ascii="Calibri" w:hAnsi="Calibri"/>
                <w:b w:val="0"/>
                <w:i w:val="0"/>
                <w:sz w:val="17"/>
              </w:rPr>
              <w:t>20</w:t>
            </w:r>
          </w:p>
        </w:tc>
        <w:tc>
          <w:tcPr>
            <w:tcW w:type="dxa" w:w="1100"/>
            <w:vAlign w:val="center"/>
          </w:tcPr>
          <w:p>
            <w:pPr>
              <w:jc w:val="center"/>
            </w:pPr>
            <w:r>
              <w:rPr>
                <w:rFonts w:ascii="Calibri" w:hAnsi="Calibri"/>
                <w:b w:val="0"/>
                <w:i w:val="0"/>
                <w:sz w:val="17"/>
              </w:rPr>
              <w:t>-0.005</w:t>
            </w:r>
          </w:p>
        </w:tc>
        <w:tc>
          <w:tcPr>
            <w:tcW w:type="dxa" w:w="2110"/>
            <w:vAlign w:val="center"/>
          </w:tcPr>
          <w:p>
            <w:pPr>
              <w:jc w:val="center"/>
            </w:pPr>
            <w:r>
              <w:rPr>
                <w:rFonts w:ascii="Calibri" w:hAnsi="Calibri"/>
                <w:b w:val="0"/>
                <w:i w:val="0"/>
                <w:sz w:val="17"/>
              </w:rPr>
              <w:t>lower in case</w:t>
            </w:r>
          </w:p>
        </w:tc>
      </w:tr>
      <w:tr>
        <w:trPr>
          <w:cantSplit/>
        </w:trPr>
        <w:tc>
          <w:tcPr>
            <w:tcW w:type="dxa" w:w="1350"/>
            <w:vAlign w:val="center"/>
          </w:tcPr>
          <w:p>
            <w:pPr>
              <w:jc w:val="center"/>
            </w:pPr>
            <w:r>
              <w:rPr>
                <w:rFonts w:ascii="Calibri" w:hAnsi="Calibri"/>
                <w:b w:val="0"/>
                <w:i w:val="0"/>
                <w:sz w:val="17"/>
              </w:rPr>
              <w:t>GSE181364</w:t>
            </w:r>
          </w:p>
        </w:tc>
        <w:tc>
          <w:tcPr>
            <w:tcW w:type="dxa" w:w="3000"/>
            <w:vAlign w:val="center"/>
          </w:tcPr>
          <w:p>
            <w:pPr>
              <w:jc w:val="center"/>
            </w:pPr>
            <w:r>
              <w:rPr>
                <w:rFonts w:ascii="Calibri" w:hAnsi="Calibri"/>
                <w:b w:val="0"/>
                <w:i w:val="0"/>
                <w:sz w:val="17"/>
              </w:rPr>
              <w:t>whole blood RNA sequencing</w:t>
            </w:r>
          </w:p>
        </w:tc>
        <w:tc>
          <w:tcPr>
            <w:tcW w:type="dxa" w:w="900"/>
            <w:vAlign w:val="center"/>
          </w:tcPr>
          <w:p>
            <w:pPr>
              <w:jc w:val="center"/>
            </w:pPr>
            <w:r>
              <w:rPr>
                <w:rFonts w:ascii="Calibri" w:hAnsi="Calibri"/>
                <w:b w:val="0"/>
                <w:i w:val="0"/>
                <w:sz w:val="17"/>
              </w:rPr>
              <w:t>5</w:t>
            </w:r>
          </w:p>
        </w:tc>
        <w:tc>
          <w:tcPr>
            <w:tcW w:type="dxa" w:w="900"/>
            <w:vAlign w:val="center"/>
          </w:tcPr>
          <w:p>
            <w:pPr>
              <w:jc w:val="center"/>
            </w:pPr>
            <w:r>
              <w:rPr>
                <w:rFonts w:ascii="Calibri" w:hAnsi="Calibri"/>
                <w:b w:val="0"/>
                <w:i w:val="0"/>
                <w:sz w:val="17"/>
              </w:rPr>
              <w:t>3</w:t>
            </w:r>
          </w:p>
        </w:tc>
        <w:tc>
          <w:tcPr>
            <w:tcW w:type="dxa" w:w="1100"/>
            <w:vAlign w:val="center"/>
          </w:tcPr>
          <w:p>
            <w:pPr>
              <w:jc w:val="center"/>
            </w:pPr>
            <w:r>
              <w:rPr>
                <w:rFonts w:ascii="Calibri" w:hAnsi="Calibri"/>
                <w:b w:val="0"/>
                <w:i w:val="0"/>
                <w:sz w:val="17"/>
              </w:rPr>
              <w:t>0.233</w:t>
            </w:r>
          </w:p>
        </w:tc>
        <w:tc>
          <w:tcPr>
            <w:tcW w:type="dxa" w:w="2110"/>
            <w:vAlign w:val="center"/>
          </w:tcPr>
          <w:p>
            <w:pPr>
              <w:jc w:val="center"/>
            </w:pPr>
            <w:r>
              <w:rPr>
                <w:rFonts w:ascii="Calibri" w:hAnsi="Calibri"/>
                <w:b w:val="0"/>
                <w:i w:val="0"/>
                <w:sz w:val="17"/>
              </w:rPr>
              <w:t>higher in case</w:t>
            </w:r>
          </w:p>
        </w:tc>
      </w:tr>
      <w:tr>
        <w:trPr>
          <w:cantSplit/>
        </w:trPr>
        <w:tc>
          <w:tcPr>
            <w:tcW w:type="dxa" w:w="1350"/>
            <w:vAlign w:val="center"/>
          </w:tcPr>
          <w:p>
            <w:pPr>
              <w:jc w:val="center"/>
            </w:pPr>
            <w:r>
              <w:rPr>
                <w:rFonts w:ascii="Calibri" w:hAnsi="Calibri"/>
                <w:b w:val="0"/>
                <w:i w:val="0"/>
                <w:sz w:val="17"/>
              </w:rPr>
              <w:t>GSE299639</w:t>
            </w:r>
          </w:p>
        </w:tc>
        <w:tc>
          <w:tcPr>
            <w:tcW w:type="dxa" w:w="3000"/>
            <w:vAlign w:val="center"/>
          </w:tcPr>
          <w:p>
            <w:pPr>
              <w:jc w:val="center"/>
            </w:pPr>
            <w:r>
              <w:rPr>
                <w:rFonts w:ascii="Calibri" w:hAnsi="Calibri"/>
                <w:b w:val="0"/>
                <w:i w:val="0"/>
                <w:sz w:val="17"/>
              </w:rPr>
              <w:t>whole blood RNA sequencing</w:t>
            </w:r>
          </w:p>
        </w:tc>
        <w:tc>
          <w:tcPr>
            <w:tcW w:type="dxa" w:w="900"/>
            <w:vAlign w:val="center"/>
          </w:tcPr>
          <w:p>
            <w:pPr>
              <w:jc w:val="center"/>
            </w:pPr>
            <w:r>
              <w:rPr>
                <w:rFonts w:ascii="Calibri" w:hAnsi="Calibri"/>
                <w:b w:val="0"/>
                <w:i w:val="0"/>
                <w:sz w:val="17"/>
              </w:rPr>
              <w:t>6</w:t>
            </w:r>
          </w:p>
        </w:tc>
        <w:tc>
          <w:tcPr>
            <w:tcW w:type="dxa" w:w="900"/>
            <w:vAlign w:val="center"/>
          </w:tcPr>
          <w:p>
            <w:pPr>
              <w:jc w:val="center"/>
            </w:pPr>
            <w:r>
              <w:rPr>
                <w:rFonts w:ascii="Calibri" w:hAnsi="Calibri"/>
                <w:b w:val="0"/>
                <w:i w:val="0"/>
                <w:sz w:val="17"/>
              </w:rPr>
              <w:t>6</w:t>
            </w:r>
          </w:p>
        </w:tc>
        <w:tc>
          <w:tcPr>
            <w:tcW w:type="dxa" w:w="1100"/>
            <w:vAlign w:val="center"/>
          </w:tcPr>
          <w:p>
            <w:pPr>
              <w:jc w:val="center"/>
            </w:pPr>
            <w:r>
              <w:rPr>
                <w:rFonts w:ascii="Calibri" w:hAnsi="Calibri"/>
                <w:b w:val="0"/>
                <w:i w:val="0"/>
                <w:sz w:val="17"/>
              </w:rPr>
              <w:t>-0.331</w:t>
            </w:r>
          </w:p>
        </w:tc>
        <w:tc>
          <w:tcPr>
            <w:tcW w:type="dxa" w:w="2110"/>
            <w:vAlign w:val="center"/>
          </w:tcPr>
          <w:p>
            <w:pPr>
              <w:jc w:val="center"/>
            </w:pPr>
            <w:r>
              <w:rPr>
                <w:rFonts w:ascii="Calibri" w:hAnsi="Calibri"/>
                <w:b w:val="0"/>
                <w:i w:val="0"/>
                <w:sz w:val="17"/>
              </w:rPr>
              <w:t>lower in case</w:t>
            </w:r>
          </w:p>
        </w:tc>
      </w:tr>
    </w:tbl>
    <w:p>
      <w:pPr>
        <w:spacing w:before="80" w:after="200"/>
      </w:pPr>
      <w:r>
        <w:rPr>
          <w:rFonts w:ascii="Calibri" w:hAnsi="Calibri"/>
          <w:b w:val="0"/>
          <w:i/>
          <w:color w:val="5A626C"/>
          <w:sz w:val="18"/>
        </w:rPr>
        <w:t>Note: Effects are comparable only within their prespecified assay context. A global cross-platform effect was not estimated.</w:t>
      </w:r>
    </w:p>
    <w:p>
      <w:r>
        <w:br w:type="page"/>
      </w:r>
    </w:p>
    <w:p>
      <w:pPr>
        <w:pStyle w:val="Heading1"/>
      </w:pPr>
      <w:r>
        <w:t>References</w:t>
      </w:r>
    </w:p>
    <w:p>
      <w:pPr>
        <w:pStyle w:val="ListNumber"/>
        <w:spacing w:after="120"/>
        <w:ind w:left="403" w:hanging="259"/>
      </w:pPr>
      <w:r>
        <w:rPr>
          <w:rFonts w:ascii="Calibri" w:hAnsi="Calibri"/>
          <w:b w:val="0"/>
          <w:i w:val="0"/>
          <w:sz w:val="20"/>
        </w:rPr>
        <w:t>Ma Z, et al. DDX24 negatively regulates cytosolic RNA-mediated innate immune signaling. PLoS Pathogens. 2013;9. PMID: 24204270.</w:t>
      </w:r>
    </w:p>
    <w:p>
      <w:pPr>
        <w:pStyle w:val="ListNumber"/>
        <w:spacing w:after="120"/>
        <w:ind w:left="403" w:hanging="259"/>
      </w:pPr>
      <w:r>
        <w:rPr>
          <w:rFonts w:ascii="Calibri" w:hAnsi="Calibri"/>
          <w:b w:val="0"/>
          <w:i w:val="0"/>
          <w:sz w:val="20"/>
        </w:rPr>
        <w:t>Alber S, et al. Single cell transcriptome and surface epitope analysis of ankylosing spondylitis facilitates disease classification by machine learning. Front Immunol. 2022;13:838636. doi:10.3389/fimmu.2022.838636.</w:t>
      </w:r>
    </w:p>
    <w:p>
      <w:pPr>
        <w:pStyle w:val="ListNumber"/>
        <w:spacing w:after="120"/>
        <w:ind w:left="403" w:hanging="259"/>
      </w:pPr>
      <w:r>
        <w:rPr>
          <w:rFonts w:ascii="Calibri" w:hAnsi="Calibri"/>
          <w:b w:val="0"/>
          <w:i w:val="0"/>
          <w:sz w:val="20"/>
        </w:rPr>
        <w:t>Tang M, Qaiyum Z, Lim M, Inman RD. Single cell immune profiling in ankylosing spondylitis reveals resistance of CD8+ T cells to immune exhaustion. iScience. 2025;28:112715. doi:10.1016/j.isci.2025.112715.</w:t>
      </w:r>
    </w:p>
    <w:p>
      <w:pPr>
        <w:pStyle w:val="ListNumber"/>
        <w:spacing w:after="120"/>
        <w:ind w:left="403" w:hanging="259"/>
      </w:pPr>
      <w:r>
        <w:rPr>
          <w:rFonts w:ascii="Calibri" w:hAnsi="Calibri"/>
          <w:b w:val="0"/>
          <w:i w:val="0"/>
          <w:sz w:val="20"/>
        </w:rPr>
        <w:t>Mauro D, et al. Ankylosing spondylitis: an autoimmune or autoinflammatory disease? Nat Rev Rheumatol. 2021;17:387-404. doi:10.1038/s41584-021-00625-y.</w:t>
      </w:r>
    </w:p>
    <w:p>
      <w:pPr>
        <w:pStyle w:val="ListNumber"/>
        <w:spacing w:after="120"/>
        <w:ind w:left="403" w:hanging="259"/>
      </w:pPr>
      <w:r>
        <w:rPr>
          <w:rFonts w:ascii="Calibri" w:hAnsi="Calibri"/>
          <w:b w:val="0"/>
          <w:i w:val="0"/>
          <w:sz w:val="20"/>
        </w:rPr>
        <w:t>Page MJ, et al. The PRISMA 2020 statement: an updated guideline for reporting systematic reviews. BMJ. 2021;372:n71. doi:10.1136/bmj.n71.</w:t>
      </w:r>
    </w:p>
    <w:p>
      <w:pPr>
        <w:pStyle w:val="ListNumber"/>
        <w:spacing w:after="120"/>
        <w:ind w:left="403" w:hanging="259"/>
      </w:pPr>
      <w:r>
        <w:rPr>
          <w:rFonts w:ascii="Calibri" w:hAnsi="Calibri"/>
          <w:b w:val="0"/>
          <w:i w:val="0"/>
          <w:sz w:val="20"/>
        </w:rPr>
        <w:t>NCBI Gene Expression Omnibus. GSE194315: RNA and surface epitope sequencing of single cells involved in spondyloarthritis.</w:t>
      </w:r>
    </w:p>
    <w:p>
      <w:pPr>
        <w:pStyle w:val="ListNumber"/>
        <w:spacing w:after="120"/>
        <w:ind w:left="403" w:hanging="259"/>
      </w:pPr>
      <w:r>
        <w:rPr>
          <w:rFonts w:ascii="Calibri" w:hAnsi="Calibri"/>
          <w:b w:val="0"/>
          <w:i w:val="0"/>
          <w:sz w:val="20"/>
        </w:rPr>
        <w:t>NCBI Gene Expression Omnibus. GSE288581: Single Cell Immune Profiling in Ankylosing Spondylitis.</w:t>
      </w:r>
    </w:p>
    <w:p>
      <w:pPr>
        <w:pStyle w:val="ListNumber"/>
        <w:spacing w:after="120"/>
        <w:ind w:left="403" w:hanging="259"/>
      </w:pPr>
      <w:r>
        <w:rPr>
          <w:rFonts w:ascii="Calibri" w:hAnsi="Calibri"/>
          <w:b w:val="0"/>
          <w:i w:val="0"/>
          <w:sz w:val="20"/>
        </w:rPr>
        <w:t>Pais J, Koshman D. AXIS: auditable molecular evidence synthesis and therapeutic hypothesis generation. Version 0.2.0. Zenodo. 2026. doi:10.5281/zenodo.21762169.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626C"/>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5A626C"/>
        <w:sz w:val="18"/>
      </w:rPr>
      <w:t>DDX24 in axial spondyloarthritis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4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Reduced DDX24 expression in CD8 T cells in axial spondyloarthritis</dc:title>
  <dc:subject>Computational transcriptomic integration</dc:subject>
  <dc:creator>João Pais; Diana Koshman</dc:creator>
  <cp:keywords/>
  <dc:description>generated by python-docx</dc:description>
  <cp:lastModifiedBy/>
  <cp:revision>1</cp:revision>
  <dcterms:created xsi:type="dcterms:W3CDTF">2013-12-23T23:15:00Z</dcterms:created>
  <dcterms:modified xsi:type="dcterms:W3CDTF">2013-12-23T23:15:00Z</dcterms:modified>
  <cp:category/>
</cp:coreProperties>
</file>