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7F796B82" w:rsidR="005A146C" w:rsidRDefault="005A146C" w:rsidP="002153FF">
      <w:pPr>
        <w:pStyle w:val="Subtitle"/>
      </w:pPr>
      <w:r>
        <w:t>Kaitlin Palmer</w:t>
      </w:r>
      <w:r w:rsidR="00B21182">
        <w:t>, Fabio Frazo</w:t>
      </w:r>
      <w:r w:rsidR="00033D9F">
        <w:t xml:space="preserve">, </w:t>
      </w:r>
      <w:r w:rsidR="00033D9F">
        <w:t>Jenn Waldichuck,</w:t>
      </w:r>
      <w:r w:rsidR="00033D9F">
        <w:t xml:space="preserve"> April Howling</w:t>
      </w:r>
      <w:r w:rsidR="00B21182">
        <w:t xml:space="preserve">, </w:t>
      </w:r>
      <w:r>
        <w:t xml:space="preserve">James Pilkington, Harald Yerk, Holger Klinck, </w:t>
      </w:r>
      <w:r w:rsidR="00B21182">
        <w:t xml:space="preserve">Lucy Quale, </w:t>
      </w:r>
      <w:r>
        <w:t>Holly LeBlond, Scott Viers, Val Viers, Jasper Kanes, Thomas Doniol-Valcroze</w:t>
      </w:r>
      <w:r w:rsidR="00A318A1">
        <w:t xml:space="preserve"> (listed on DFO data?)</w:t>
      </w:r>
      <w:r>
        <w:t xml:space="preserve">, </w:t>
      </w:r>
      <w:r w:rsidR="0021250F">
        <w:t>Lauren Laturnus</w:t>
      </w:r>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r w:rsidR="00BA2B9F" w:rsidRPr="00BA2B9F">
        <w:t>Amalis Riera Vuibert</w:t>
      </w:r>
      <w:r w:rsidR="00BA2B9F">
        <w:t xml:space="preserve">, </w:t>
      </w:r>
      <w:r w:rsidR="00B31247">
        <w:t xml:space="preserve">Alex Harris,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lastRenderedPageBreak/>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khz.</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14088BED" w14:textId="26ECC8C8" w:rsidR="00E57C88" w:rsidRDefault="00E57C88" w:rsidP="002153FF"/>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w:t>
      </w:r>
      <w:r>
        <w:t xml:space="preserve">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lastRenderedPageBreak/>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02F16FC2" w14:textId="77777777" w:rsidR="00D8081B" w:rsidRDefault="00D8081B" w:rsidP="00D8081B">
      <w:pPr>
        <w:pStyle w:val="Heading2"/>
      </w:pPr>
      <w:r>
        <w:t>Technical Validation</w:t>
      </w:r>
    </w:p>
    <w:p w14:paraId="03592458" w14:textId="77777777" w:rsidR="00D8081B" w:rsidRDefault="00D8081B" w:rsidP="00D8081B"/>
    <w:p w14:paraId="0DD406A9" w14:textId="77777777" w:rsidR="00D8081B" w:rsidRPr="00681A55" w:rsidRDefault="00D8081B" w:rsidP="00D8081B">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15CCFF7C" w14:textId="77777777" w:rsidR="00D8081B" w:rsidRDefault="00D8081B" w:rsidP="00D8081B">
      <w:pPr>
        <w:pStyle w:val="Heading2"/>
      </w:pPr>
      <w:r>
        <w:t>Data Records</w:t>
      </w:r>
    </w:p>
    <w:p w14:paraId="7471FE54" w14:textId="77777777" w:rsidR="00D8081B" w:rsidRPr="002E6980" w:rsidRDefault="00D8081B" w:rsidP="00D8081B">
      <w:pPr>
        <w:rPr>
          <w:i/>
          <w:iCs/>
        </w:rPr>
      </w:pPr>
    </w:p>
    <w:p w14:paraId="5436C4E4" w14:textId="77777777" w:rsidR="00D8081B" w:rsidRPr="002E6980" w:rsidRDefault="00D8081B" w:rsidP="00D8081B">
      <w:r>
        <w:t xml:space="preserve">An annotation file is provided as a CSV that includes links to audio files. The following describes each column in the annotation file. </w:t>
      </w:r>
    </w:p>
    <w:p w14:paraId="542C39B7" w14:textId="77777777" w:rsidR="00D8081B" w:rsidRPr="002E6980" w:rsidRDefault="00D8081B" w:rsidP="00D8081B">
      <w:pPr>
        <w:rPr>
          <w:b/>
          <w:bCs/>
        </w:rPr>
      </w:pPr>
      <w:r w:rsidRPr="002E6980">
        <w:rPr>
          <w:b/>
          <w:bCs/>
        </w:rPr>
        <w:t>Annotations Labels</w:t>
      </w:r>
    </w:p>
    <w:p w14:paraId="3FAF07FC" w14:textId="77777777" w:rsidR="00D8081B" w:rsidRDefault="00D8081B" w:rsidP="00D8081B">
      <w:r w:rsidRPr="002E6980">
        <w:rPr>
          <w:b/>
          <w:bCs/>
        </w:rPr>
        <w:t>SoundFile</w:t>
      </w:r>
      <w:r>
        <w:t xml:space="preserve"> – audio file from which the annotation was derived</w:t>
      </w:r>
    </w:p>
    <w:p w14:paraId="38D2149B" w14:textId="77777777" w:rsidR="00D8081B" w:rsidRDefault="00D8081B" w:rsidP="00D8081B">
      <w:r w:rsidRPr="002E6980">
        <w:rPr>
          <w:b/>
          <w:bCs/>
        </w:rPr>
        <w:t>StartTime</w:t>
      </w:r>
      <w:r>
        <w:t xml:space="preserve"> – seconds into the SoundFile representing the beginning of the annotation</w:t>
      </w:r>
    </w:p>
    <w:p w14:paraId="6E6D51C7" w14:textId="77777777" w:rsidR="00D8081B" w:rsidRDefault="00D8081B" w:rsidP="00D8081B">
      <w:r w:rsidRPr="002E6980">
        <w:rPr>
          <w:b/>
          <w:bCs/>
        </w:rPr>
        <w:t>EndTime</w:t>
      </w:r>
      <w:r>
        <w:t xml:space="preserve"> – Seconds into the SoundFile representing the end of the call annotation</w:t>
      </w:r>
    </w:p>
    <w:p w14:paraId="72E72677" w14:textId="77777777" w:rsidR="00D8081B" w:rsidRDefault="00D8081B" w:rsidP="00D8081B">
      <w:r w:rsidRPr="002E6980">
        <w:rPr>
          <w:b/>
          <w:bCs/>
        </w:rPr>
        <w:t>Low Frequency</w:t>
      </w:r>
      <w:r>
        <w:t xml:space="preserve"> – low frequency bound of the annotation, in Hz</w:t>
      </w:r>
    </w:p>
    <w:p w14:paraId="28BBA815" w14:textId="77777777" w:rsidR="00D8081B" w:rsidRDefault="00D8081B" w:rsidP="00D8081B">
      <w:r w:rsidRPr="002E6980">
        <w:rPr>
          <w:b/>
          <w:bCs/>
        </w:rPr>
        <w:t xml:space="preserve">High Frequency </w:t>
      </w:r>
      <w:r>
        <w:t>– high frequency bound of the annotation, in Hz</w:t>
      </w:r>
    </w:p>
    <w:p w14:paraId="422BE30E" w14:textId="77777777" w:rsidR="00D8081B" w:rsidRDefault="00D8081B" w:rsidP="00D8081B">
      <w:r w:rsidRPr="002E6980">
        <w:rPr>
          <w:b/>
          <w:bCs/>
        </w:rPr>
        <w:t>UTC</w:t>
      </w:r>
      <w:r>
        <w:t xml:space="preserve"> – UTC time at the beginning of each annotation (StartTime)</w:t>
      </w:r>
    </w:p>
    <w:p w14:paraId="28B2571F" w14:textId="20E48C86" w:rsidR="00D8081B" w:rsidRDefault="00D8081B" w:rsidP="00D8081B">
      <w:r w:rsidRPr="002E6980">
        <w:rPr>
          <w:b/>
          <w:bCs/>
        </w:rPr>
        <w:t>ClassSpecies</w:t>
      </w:r>
      <w:r>
        <w:t>- Character string with four options, Killer Whale (KW), Humback Whale (HW), Abiotic (AB), and Undetermined Biological sound (UndBio).</w:t>
      </w:r>
    </w:p>
    <w:p w14:paraId="7AEFAC65" w14:textId="4415C826" w:rsidR="00D8081B" w:rsidRPr="00D8081B" w:rsidRDefault="00D8081B" w:rsidP="00D8081B">
      <w:pPr>
        <w:rPr>
          <w:b/>
          <w:bCs/>
        </w:rPr>
      </w:pPr>
      <w:r>
        <w:rPr>
          <w:b/>
          <w:bCs/>
        </w:rPr>
        <w:t xml:space="preserve">AnnotationLevel: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5CC4FB3B" w14:textId="77777777" w:rsidR="00D8081B" w:rsidRDefault="00D8081B" w:rsidP="00D8081B">
      <w:r w:rsidRPr="002E6980">
        <w:rPr>
          <w:b/>
          <w:bCs/>
        </w:rPr>
        <w:t>KW</w:t>
      </w:r>
      <w:r>
        <w:t>- bool indicating whether or not the annotate denotated that the annotation represented a killer whale call</w:t>
      </w:r>
    </w:p>
    <w:p w14:paraId="0BE6DE67" w14:textId="77777777" w:rsidR="00D8081B" w:rsidRDefault="00D8081B" w:rsidP="00D8081B">
      <w:r w:rsidRPr="002E6980">
        <w:rPr>
          <w:b/>
          <w:bCs/>
        </w:rPr>
        <w:t>KW_certain</w:t>
      </w:r>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32EED256" w14:textId="77777777" w:rsidR="00D8081B" w:rsidRDefault="00D8081B" w:rsidP="00D8081B">
      <w:r w:rsidRPr="002E6980">
        <w:rPr>
          <w:b/>
          <w:bCs/>
        </w:rPr>
        <w:t>Ecotype</w:t>
      </w:r>
      <w:r>
        <w:t xml:space="preserve"> – Ecotype of the killer whale annotation. SRKW- Southern Resident Killer Whale, BKW- Biggs killer whale, NRKW- Northern Resident Killer Whale, or OKW- Offshore Killer Whale  </w:t>
      </w:r>
    </w:p>
    <w:p w14:paraId="0F07FA92" w14:textId="77777777" w:rsidR="00D8081B" w:rsidRDefault="00D8081B" w:rsidP="00D8081B">
      <w:r w:rsidRPr="002E6980">
        <w:rPr>
          <w:b/>
          <w:bCs/>
        </w:rPr>
        <w:t>Data Provider</w:t>
      </w:r>
      <w:r>
        <w:t>- Character indicating the data provider</w:t>
      </w:r>
    </w:p>
    <w:p w14:paraId="402477E6" w14:textId="77777777" w:rsidR="00D8081B" w:rsidRDefault="00D8081B" w:rsidP="00D8081B">
      <w:r w:rsidRPr="002E6980">
        <w:rPr>
          <w:b/>
          <w:bCs/>
        </w:rPr>
        <w:lastRenderedPageBreak/>
        <w:t>Dep</w:t>
      </w:r>
      <w:r>
        <w:t>- Character, deployment location</w:t>
      </w:r>
    </w:p>
    <w:p w14:paraId="459CFFBA" w14:textId="77777777" w:rsidR="00D8081B" w:rsidRPr="002153FF" w:rsidRDefault="00D8081B" w:rsidP="00D8081B"/>
    <w:p w14:paraId="2EA46D79" w14:textId="6378EA8E" w:rsidR="006D74B9" w:rsidRDefault="002E6980" w:rsidP="006D74B9">
      <w:pPr>
        <w:pStyle w:val="Heading2"/>
      </w:pPr>
      <w:r>
        <w:t>Individual Datasets</w:t>
      </w:r>
    </w:p>
    <w:p w14:paraId="7508935F" w14:textId="77777777" w:rsidR="006D74B9" w:rsidRDefault="006D74B9" w:rsidP="006D74B9"/>
    <w:p w14:paraId="650A8A3D" w14:textId="717C5BA5"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r w:rsidR="00693F59">
        <w:t xml:space="preserve">OrcaSound,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IClistens, and Ocean Instruments soundtrap recorders in depths ranging from 18-253m.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61182AB7" w14:textId="77777777" w:rsidR="006D74B9" w:rsidRPr="00395AFA" w:rsidRDefault="006D74B9" w:rsidP="006D74B9"/>
    <w:p w14:paraId="44621BE9" w14:textId="77777777" w:rsidR="00CC57DD" w:rsidRDefault="00CC57DD" w:rsidP="00CC57DD">
      <w:pPr>
        <w:pStyle w:val="Heading3"/>
      </w:pPr>
      <w:r>
        <w:t>OrcaSound</w:t>
      </w:r>
    </w:p>
    <w:p w14:paraId="02D5A1CD" w14:textId="77777777" w:rsidR="00CC57DD" w:rsidRDefault="00CC57DD" w:rsidP="00CC57DD"/>
    <w:p w14:paraId="58ACD504" w14:textId="77777777" w:rsidR="00CC57DD" w:rsidRDefault="00CC57DD" w:rsidP="00CC57DD">
      <w:r>
        <w:t xml:space="preserve">Orcasound has been collecting and annotating audio data as part of google summer of code challenges as well as </w:t>
      </w:r>
    </w:p>
    <w:p w14:paraId="14B5EAC2" w14:textId="77777777" w:rsidR="00CC57DD" w:rsidRDefault="00CC57DD" w:rsidP="00CC57DD"/>
    <w:p w14:paraId="21FBC2DC" w14:textId="77777777" w:rsidR="00CC57DD" w:rsidRPr="00E03AEF" w:rsidRDefault="00CC57DD" w:rsidP="00CC57DD">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00D80C90" w14:textId="77777777" w:rsidR="00CC57DD" w:rsidRPr="002D0523" w:rsidRDefault="00CC57DD" w:rsidP="00CC57DD">
      <w:r>
        <w:t>Data were collected at a 32kh sample rate but a strong 12khz low-pass filter was applied rendering an effective sample rate of 24khz.</w:t>
      </w:r>
    </w:p>
    <w:p w14:paraId="7B669D6B" w14:textId="77777777" w:rsidR="00CC57DD" w:rsidRPr="00E03AEF" w:rsidRDefault="00CC57DD" w:rsidP="00CC57DD">
      <w:pPr>
        <w:rPr>
          <w:b/>
          <w:bCs/>
        </w:rPr>
      </w:pPr>
      <w:r>
        <w:rPr>
          <w:b/>
          <w:bCs/>
        </w:rPr>
        <w:t>Annotation</w:t>
      </w:r>
    </w:p>
    <w:p w14:paraId="2AB1F90D" w14:textId="5F255595" w:rsidR="00CC57DD" w:rsidRPr="002D0523" w:rsidRDefault="00D8081B" w:rsidP="00CC57DD">
      <w:r>
        <w:t xml:space="preserve">Annotations were provided on two levels depending on the class. For killer whale calls, the start and end time were noted. For files without killer whale detections, the file was retained as a ‘false positive’. </w:t>
      </w:r>
      <w:r w:rsidR="00CC57DD">
        <w:t>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SpeciesClasss column.</w:t>
      </w:r>
    </w:p>
    <w:p w14:paraId="7BD236BD" w14:textId="32FDF613" w:rsidR="002153FF" w:rsidRDefault="002153FF" w:rsidP="002E6980">
      <w:pPr>
        <w:pStyle w:val="Heading3"/>
      </w:pPr>
      <w:r>
        <w:lastRenderedPageBreak/>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w:t>
      </w:r>
      <w:r>
        <w:t xml:space="preserve"> Data were evaluated for the presence of killer whales and other species in</w:t>
      </w:r>
      <w:r>
        <w:t xml:space="preserve"> three separate efforts with </w:t>
      </w:r>
      <w:r>
        <w:t>varying protocols for each. All manual validation was done</w:t>
      </w:r>
      <w:r w:rsidR="00C33C76">
        <w:t xml:space="preserve"> initially done</w:t>
      </w:r>
      <w:r>
        <w:t xml:space="preserve"> using JASCO Applied Science’s PAMLab software</w:t>
      </w:r>
      <w:r w:rsidR="006854AD">
        <w:t xml:space="preserve">. </w:t>
      </w:r>
      <w:r w:rsidR="006854AD">
        <w:t>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55010D1F" w:rsidR="004831F0" w:rsidRDefault="004831F0" w:rsidP="00D33996">
      <w:r>
        <w:t>Pulsed Calls</w:t>
      </w:r>
      <w:ins w:id="0" w:author="Kaitlin Palmer" w:date="2024-01-21T17:15:00Z">
        <w:r w:rsidR="0072202B">
          <w:t xml:space="preserve"> only</w:t>
        </w:r>
      </w:ins>
      <w:r w:rsidR="00BA2B9F">
        <w:t>- Also Jenn and Anali</w:t>
      </w:r>
    </w:p>
    <w:p w14:paraId="4C8C5478" w14:textId="161984B9" w:rsidR="006854AD" w:rsidRDefault="006854AD" w:rsidP="00B21182">
      <w:r>
        <w:t xml:space="preserve">In the first annotation effort, every second file for each of the first four days of the month were reviewed for the presence of marine mammal signals. If a marine mammal call or signal was found, the signal was annotated.  For killer whales, all pulsed signals within the file were annotated if present. Some whistles were annotated but echolocation clicks were not annotated. As no detectors were used in this analysis, each element in the annotation table represents an individual call.  Other species presence was noted only on a file basis, e.g. only one whistle of a common dolphin encounter was annotated. </w:t>
      </w:r>
    </w:p>
    <w:p w14:paraId="34106D19" w14:textId="7778F20D" w:rsidR="006854AD" w:rsidRDefault="006854AD" w:rsidP="00B21182">
      <w: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w:t>
      </w:r>
      <w:r>
        <w:lastRenderedPageBreak/>
        <w:t xml:space="preserve">used. Files within the supplied file list </w:t>
      </w:r>
      <w:r>
        <w:t>not associated with an annotation</w:t>
      </w:r>
      <w:r>
        <w:t xml:space="preserve">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0C90ED9F" w14:textId="3E815BBF" w:rsidR="00D33996" w:rsidRDefault="00D33996" w:rsidP="00D33996">
      <w:r>
        <w:t xml:space="preserve">may be assumed to have no marine mammal sounds, though it is worth noting that these files have not been reviewed and it is possible some sounds were missed. </w:t>
      </w:r>
      <w:r>
        <w:br/>
      </w:r>
      <w:r>
        <w:br/>
        <w: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t>
      </w:r>
      <w:r>
        <w:br/>
      </w:r>
      <w:r>
        <w:br/>
        <w:t xml:space="preserve">The third effort added one annotation per orca call for every file flagged as containing orcas in the previously-made weak-label annotations for the full 2013 to 2015 Barkley Canyon deployment period </w:t>
      </w:r>
      <w:r w:rsidR="002D7169">
        <w:t>of Ocean</w:t>
      </w:r>
      <w:r>
        <w:t xml:space="preserve"> Sonics hydrophone icListen HF 1251, as orcas were uncommon during the annotated time periods.</w:t>
      </w:r>
      <w:r>
        <w:br/>
      </w:r>
    </w:p>
    <w:p w14:paraId="58248862" w14:textId="2EF8B452" w:rsidR="00D33996" w:rsidRDefault="00D33996" w:rsidP="00D33996">
      <w:r>
        <w:t xml:space="preserve">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w:t>
      </w:r>
      <w:r>
        <w:t>between Risso’s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30362CE" w:rsidR="00616812" w:rsidRPr="00616812" w:rsidRDefault="00616812">
      <w:r>
        <w:t>Two groups within DFO provided datasets to the challenge, the Yerk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lastRenderedPageBreak/>
        <w:t>The Pilkingon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PAMGuard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PAMGuard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these calls were validated to ecotype we assume that KW class is certain and the question mark is removed. </w:t>
        </w:r>
      </w:ins>
    </w:p>
    <w:p w14:paraId="35AF84A0" w14:textId="77777777" w:rsidR="00324695" w:rsidRDefault="00324695">
      <w:r>
        <w:lastRenderedPageBreak/>
        <w:t>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0C99D083" w:rsidR="00324695" w:rsidRDefault="00324695" w:rsidP="001D2641">
      <w:pPr>
        <w:pStyle w:val="Heading4"/>
      </w:pPr>
      <w:r>
        <w:t>Yerk</w:t>
      </w:r>
    </w:p>
    <w:p w14:paraId="35E8DC61" w14:textId="54EBAC50" w:rsidR="00616812" w:rsidRDefault="00616812" w:rsidP="00616812">
      <w:r>
        <w:t xml:space="preserve">The Yerk lab provided data from four deployment locations, </w:t>
      </w:r>
      <w:r w:rsidRPr="00616812">
        <w:t xml:space="preserve">Carmanah,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Four locations were chosen for the study area. Carmanah Point, Swanson Channel and the Northern and Southern Ends of the Strait of Georgia. Exact locations are not disclosed. A soundtrap (www.oceaninstruments.co.nz) was used for the carmanah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khz for the SoundTrap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r w:rsidRPr="008A7A81">
              <w:rPr>
                <w:rFonts w:cstheme="minorHAnsi"/>
              </w:rPr>
              <w:t>Carmanah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lastRenderedPageBreak/>
        <w:t xml:space="preserve">Audio recordings were processed with the PAMGuard </w:t>
      </w:r>
      <w:r w:rsidR="00216FED">
        <w:t>(Gillespie et al. 2013)</w:t>
      </w:r>
      <w:r w:rsidR="00216FED">
        <w:t xml:space="preserve"> </w:t>
      </w:r>
      <w:r>
        <w:t xml:space="preserve">whistle and moan detector (v. </w:t>
      </w:r>
      <w:r w:rsidRPr="00C32EDE">
        <w:t>2.02.03</w:t>
      </w:r>
      <w:r>
        <w:t xml:space="preserve">) for the presence of potential killer whale calls. </w:t>
      </w:r>
      <w:r w:rsidR="00216FED">
        <w:t xml:space="preserve">Data were downsampled within Pamguard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SoundTrap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Because the whistle and moan detector partitions calls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6 locations in and around Haro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42B4DC49" w:rsidR="002D7169" w:rsidRDefault="002D7169" w:rsidP="002D7169">
      <w:pPr>
        <w:rPr>
          <w:b/>
          <w:bCs/>
        </w:rPr>
      </w:pPr>
      <w:r w:rsidRPr="00324695">
        <w:rPr>
          <w:b/>
          <w:bCs/>
        </w:rPr>
        <w:t>Processing</w:t>
      </w:r>
    </w:p>
    <w:p w14:paraId="04EB5BD0" w14:textId="75481568" w:rsidR="007F65A0" w:rsidRPr="00D8081B" w:rsidRDefault="007F65A0" w:rsidP="007F65A0">
      <w:r>
        <w:t xml:space="preserve">Audio data were initially processed for the presence of killer whales using a propriety </w:t>
      </w:r>
      <w:r w:rsidR="001F48CE">
        <w:t>detection algorithim</w:t>
      </w:r>
      <w:r>
        <w:t xml:space="preserve">? </w:t>
      </w:r>
      <w:r w:rsidR="001F48CE">
        <w:t xml:space="preserve">Unlike the PAMGuard whistle moan classifier, the JASCO algorithm produces approximately call level detections. This results in few overlapping detections for the same call.   </w:t>
      </w:r>
    </w:p>
    <w:p w14:paraId="2F73B4C9" w14:textId="77777777" w:rsidR="007F65A0" w:rsidRPr="00324695" w:rsidRDefault="007F65A0" w:rsidP="002D7169">
      <w:pPr>
        <w:rPr>
          <w:b/>
          <w:bCs/>
        </w:rPr>
      </w:pP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lastRenderedPageBreak/>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12AC2E07" w:rsidR="00E03AEF" w:rsidRDefault="00E03AEF" w:rsidP="00E03AEF">
      <w:pPr>
        <w:rPr>
          <w:b/>
          <w:bCs/>
        </w:rPr>
      </w:pPr>
      <w:r>
        <w:rPr>
          <w:b/>
          <w:bCs/>
        </w:rPr>
        <w:t>Processing</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w:t>
      </w:r>
      <w:r>
        <w:t>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F6C21"/>
    <w:rsid w:val="00142210"/>
    <w:rsid w:val="001D2641"/>
    <w:rsid w:val="001E1CBC"/>
    <w:rsid w:val="001F48CE"/>
    <w:rsid w:val="0021250F"/>
    <w:rsid w:val="002153FF"/>
    <w:rsid w:val="00216FED"/>
    <w:rsid w:val="00250EBC"/>
    <w:rsid w:val="0026530B"/>
    <w:rsid w:val="002D0523"/>
    <w:rsid w:val="002D7169"/>
    <w:rsid w:val="002E6980"/>
    <w:rsid w:val="00324695"/>
    <w:rsid w:val="00334EDA"/>
    <w:rsid w:val="00361A3F"/>
    <w:rsid w:val="00401DDD"/>
    <w:rsid w:val="00454892"/>
    <w:rsid w:val="004831F0"/>
    <w:rsid w:val="004D5CF7"/>
    <w:rsid w:val="00537042"/>
    <w:rsid w:val="00592003"/>
    <w:rsid w:val="005A146C"/>
    <w:rsid w:val="005C02A9"/>
    <w:rsid w:val="00616812"/>
    <w:rsid w:val="00631AF0"/>
    <w:rsid w:val="00681A55"/>
    <w:rsid w:val="006854AD"/>
    <w:rsid w:val="00693F59"/>
    <w:rsid w:val="006D74B9"/>
    <w:rsid w:val="006E0F3F"/>
    <w:rsid w:val="0072202B"/>
    <w:rsid w:val="007D1BF6"/>
    <w:rsid w:val="007F5D00"/>
    <w:rsid w:val="007F65A0"/>
    <w:rsid w:val="008406B2"/>
    <w:rsid w:val="0087540A"/>
    <w:rsid w:val="00882451"/>
    <w:rsid w:val="008A7A81"/>
    <w:rsid w:val="008D52DD"/>
    <w:rsid w:val="0091471D"/>
    <w:rsid w:val="009647C9"/>
    <w:rsid w:val="009F45DD"/>
    <w:rsid w:val="00A16315"/>
    <w:rsid w:val="00A318A1"/>
    <w:rsid w:val="00B21182"/>
    <w:rsid w:val="00B31247"/>
    <w:rsid w:val="00B811B6"/>
    <w:rsid w:val="00BA2B9F"/>
    <w:rsid w:val="00C02C15"/>
    <w:rsid w:val="00C12469"/>
    <w:rsid w:val="00C32EDE"/>
    <w:rsid w:val="00C33C76"/>
    <w:rsid w:val="00CC57DD"/>
    <w:rsid w:val="00D33328"/>
    <w:rsid w:val="00D33996"/>
    <w:rsid w:val="00D33CE4"/>
    <w:rsid w:val="00D8081B"/>
    <w:rsid w:val="00E03AEF"/>
    <w:rsid w:val="00E17060"/>
    <w:rsid w:val="00E405C9"/>
    <w:rsid w:val="00E57C88"/>
    <w:rsid w:val="00EC15A0"/>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13827</TotalTime>
  <Pages>11</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18</cp:revision>
  <dcterms:created xsi:type="dcterms:W3CDTF">2024-01-08T04:18:00Z</dcterms:created>
  <dcterms:modified xsi:type="dcterms:W3CDTF">2024-01-30T20:35:00Z</dcterms:modified>
</cp:coreProperties>
</file>