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Teniendo en cuenta  las(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Necesidades Identificadas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y el análisis de oportunidades de intervención, se establecen los siguientes requerimientos y especificaciones de producto orientados al diseño de una plataforma didáctica de arquitectura abierta (analizador de seguridad eléctrica Nexus 601) dirigida a estudiantes y docentes de Ingeniería Biomédica.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ln86r2cdt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1. Requerimientos de Producto y Clasificación</w:t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6945"/>
        <w:gridCol w:w="1500"/>
        <w:tblGridChange w:id="0">
          <w:tblGrid>
            <w:gridCol w:w="660"/>
            <w:gridCol w:w="6945"/>
            <w:gridCol w:w="1500"/>
          </w:tblGrid>
        </w:tblGridChange>
      </w:tblGrid>
      <w:tr>
        <w:trPr>
          <w:cantSplit w:val="0"/>
          <w:trHeight w:val="425.9252929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muestra visualmente en tiempo real la ruta física de la corriente y la conmutación del circuito.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cuenta con un modo semi-guiado para validar las conexiones de prueba de forma preventiva antes de energizar.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facilita su replicación en el laboratorio mediante una arquitectura de diseño abierto y bajo costo.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genera reportes que exigen correlacionar el dato metrológico medido con los límites normativos.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separa y diferencia claramente en su menú principal las metodologías de la norma IEC 60601-1 y la IEC 62353.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equipo protege al usuario y la infraestructura universitaria ante posibles cortocircuitos o fallas en la conexión.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automatiza la captura de mediciones y exporta la información en un formato digital estructurado.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software del sistema grafica el comportamiento de la corriente y el voltaje a lo largo del tiempo de prueba.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panel físico brinda una guía visual e intuitiva para agrupar y conectar correctamente las partes aplicadas (B, BF, CF).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prototipo integra un módulo de inyección de fallas eléctricas controladas y administrables por el docente.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diseño integra diagramas visibles de la red de medición (MD) que permiten la verificación de sus componentes internos.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metadatos e historiales de los ensayos para analizar el desgaste y aplicar mantenimiento predictivo.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27tf5i9dc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5gsnqej371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640"/>
        <w:gridCol w:w="5505"/>
        <w:tblGridChange w:id="0">
          <w:tblGrid>
            <w:gridCol w:w="660"/>
            <w:gridCol w:w="2640"/>
            <w:gridCol w:w="550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(Funcional / No funcional)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Especificaciones Técnicas orientadas al Diseño (Bocetos/CAD/Software)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muestra visualmente en tiempo real la ruta física de la corriente.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Hardware:</w:t>
            </w:r>
            <w:r w:rsidDel="00000000" w:rsidR="00000000" w:rsidRPr="00000000">
              <w:rPr>
                <w:rtl w:val="0"/>
              </w:rPr>
              <w:t xml:space="preserve"> Cubierta superior acrílica o translúcida ("caja de cristal"). Panel frontal con un diagrama de bloques serigrafiado que incluya pistas de LEDs integradas, las cuales se iluminan secuencialmente mostrando la ruta de la corriente.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cuenta con un modo semi-guiado para validar las conexiones.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Software/Hardware:</w:t>
            </w:r>
            <w:r w:rsidDel="00000000" w:rsidR="00000000" w:rsidRPr="00000000">
              <w:rPr>
                <w:rtl w:val="0"/>
              </w:rPr>
              <w:t xml:space="preserve"> Pantalla táctil que muestra ilustraciones del cableado paso a paso. Un botón físico de "START" (LED rojo/verde) en el chasis que permanece apagado y bloqueado hasta que el estudiante confirme las conexiones en pantalla.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facilita su replicación mediante arquitectura abierta y bajo costo.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Hardware:</w:t>
            </w:r>
            <w:r w:rsidDel="00000000" w:rsidR="00000000" w:rsidRPr="00000000">
              <w:rPr>
                <w:rtl w:val="0"/>
              </w:rPr>
              <w:t xml:space="preserve"> Diseño de carcasa optimizado para manufactura aditiva (impresión 3D) con anclajes estandarizados internos. Las tarjetas PCB deben ser modulares y de fácil acceso abriendo la tapa superior sin soldaduras complejas.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exige correlacionar el dato medido con los límites normativos.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Software:</w:t>
            </w:r>
            <w:r w:rsidDel="00000000" w:rsidR="00000000" w:rsidRPr="00000000">
              <w:rPr>
                <w:rtl w:val="0"/>
              </w:rPr>
              <w:t xml:space="preserve"> Interfaz de usuario con "pantalla dividida": mitad izquierda con el valor medido grande, mitad derecha con la tabla de la norma. Botones en pantalla de "Justificar Aprobación" o "Justificar Rechazo".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dispositivo separa claramente la norma IEC 60601-1 de la IEC 62353.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Software:</w:t>
            </w:r>
            <w:r w:rsidDel="00000000" w:rsidR="00000000" w:rsidRPr="00000000">
              <w:rPr>
                <w:rtl w:val="0"/>
              </w:rPr>
              <w:t xml:space="preserve"> Pantalla de inicio con dos grandes bloques/botones de distinto color: uno etiquetado "Ensayo de Homologación (60601-1)" y otro "Ensayo de Mantenimiento (62353)".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equipo protege al usuario ante posibles cortocircuitos o fallas en la conexión.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Sistema/Hardware:</w:t>
            </w:r>
            <w:r w:rsidDel="00000000" w:rsidR="00000000" w:rsidRPr="00000000">
              <w:rPr>
                <w:rtl w:val="0"/>
              </w:rPr>
              <w:t xml:space="preserve"> Integración de un sistema de aislamiento eléctrico de alta seguridad que separe físicamente la interfaz del usuario de la etapa de potencia a 120 VAC. Adicionalmente, debe incorporar un botón físico de Parada de Emergencia (E-Stop) en la carcasa para el corte inmediato del suministro.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automatiza la captura y exporta la información estructurada.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Hardware/Software:</w:t>
            </w:r>
            <w:r w:rsidDel="00000000" w:rsidR="00000000" w:rsidRPr="00000000">
              <w:rPr>
                <w:rtl w:val="0"/>
              </w:rPr>
              <w:t xml:space="preserve"> Panel lateral con una ranura visible para memoria micro-SD y un puerto USB-C. Botón en la interfaz gráfica con el ícono de "Exportar a PDF/CSV".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software grafica el comportamiento de la corriente y voltaje en el tiempo.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Software:</w:t>
            </w:r>
            <w:r w:rsidDel="00000000" w:rsidR="00000000" w:rsidRPr="00000000">
              <w:rPr>
                <w:rtl w:val="0"/>
              </w:rPr>
              <w:t xml:space="preserve"> La interfaz debe destinar al menos el 60% del espacio visual de la pantalla a un plano cartesiano (tipo osciloscopio) que trace las curvas en tiempo real durante el ensayo.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panel brinda una guía visual para conectar partes aplicadas (B, BF, CF).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Hardware:</w:t>
            </w:r>
            <w:r w:rsidDel="00000000" w:rsidR="00000000" w:rsidRPr="00000000">
              <w:rPr>
                <w:rtl w:val="0"/>
              </w:rPr>
              <w:t xml:space="preserve"> Conectores tipo banana de 4 mm agrupados geométricamente en el panel frontal. Cada grupo debe estar enmarcado por colores distintos y tener el símbolo normativo del corazón (B, BF, CF) grabado en el chasis.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prototipo integra un módulo de inyección de fallas eléctricas controladas.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Software/Hardware:</w:t>
            </w:r>
            <w:r w:rsidDel="00000000" w:rsidR="00000000" w:rsidRPr="00000000">
              <w:rPr>
                <w:rtl w:val="0"/>
              </w:rPr>
              <w:t xml:space="preserve"> Un menú oculto protegido por contraseña ("Modo Docente") en la pantalla, o una compuerta física abatible en el equipo con interruptores (switch) para cortar neutro o invertir fase manualmente.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diseño integra diagramas visibles de la red de medición (MD).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Hardware:</w:t>
            </w:r>
            <w:r w:rsidDel="00000000" w:rsidR="00000000" w:rsidRPr="00000000">
              <w:rPr>
                <w:rtl w:val="0"/>
              </w:rPr>
              <w:t xml:space="preserve"> Puntos de prueba metálicos (Test Points) expuestos en la carcasa exterior, conectados a la red equivalente principal (resistencia de 1 kohm), para que el estudiante pueda medirlos directamente con su multímetro y verificar la impedancia del sistema.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historiales para aplicar mantenimiento predictivo.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Software:</w:t>
            </w:r>
            <w:r w:rsidDel="00000000" w:rsidR="00000000" w:rsidRPr="00000000">
              <w:rPr>
                <w:rtl w:val="0"/>
              </w:rPr>
              <w:t xml:space="preserve"> Interfaz con un teclado alfanumérico para registrar la etiqueta del equipo biomédico. Al buscar un equipo previo, la pantalla debe graficar una línea de tendencia histórica de desgaste.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RKxT2LYcmueLegzw7dYRJb0-vBqHHQQ_6qIN7KH1rU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