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rPr>
      </w:pPr>
      <w:r w:rsidDel="00000000" w:rsidR="00000000" w:rsidRPr="00000000">
        <w:rPr>
          <w:b w:val="1"/>
          <w:bCs w:val="1"/>
          <w:i w:val="1"/>
          <w:iCs w:val="1"/>
          <w:rtl w:val="0"/>
        </w:rPr>
        <w:t xml:space="preserve">ESTADO DEL ARTE</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El desarrollo de analizadores de seguridad eléctrica para equipos electromédicos se ha orientado principalmente a verificar continuidad de tierra, resistencia de aislamiento y corrientes de fuga durante actividades de mantenimiento, inspección y reparación. La norma IEC 60601-1 establece requisitos de seguridad básica y desempeño esencial desde la etapa de diseño del equipo, mientras que IEC 62353 orienta los ensayos recurrentes y posteriores a reparación. Por ello, los instrumentos disponibles en el mercado se enfocan en facilitar procedimientos de servicio técnico y documentar resultados, pero no necesariamente en explicar al usuario cómo se producen o interpretan las mediciones (International Electrotechnical Commission [IEC], 2014, 2020).</w:t>
        <w:br w:type="textWrapping"/>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Uno de los antecedentes técnicos más directos es el trabajo de Jiju et al. (2011), quienes desarrollaron un analizador de seguridad eléctrica para evaluar parámetros como continuidad de tierra, aislamiento y corrientes de fuga. Este trabajo demuestra que es viable integrar varias pruebas de seguridad en un mismo instrumento; sin embargo, su enfoque se concentra en la construcción funcional del analizador y no en el aprendizaje universitario, la documentación abierta ni la simulación pedagógica de fallas. De manera complementaria, Zennaro et al. (2015) propusieron un modelo de equipo médico para estimar corrientes de fuga mediante circuitos equivalentes. Su aporte resulta valioso porque permite comprender cómo una falla de aislamiento, conexión o alimentación puede modificar las corrientes medidas, aunque no desarrolla una plataforma educativa ni un prototipo abierto.</w:t>
        <w:br w:type="textWrapping"/>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En el ámbito de la propiedad industrial también existen antecedentes relevantes. El modelo de utilidad alemán DE 20 2013 001 949 U1 describe un equipo para pruebas bajo normas VDE, EN 62353 y EN 60601, con funciones de alta tensión, múltiples puertos conmutables y medición de corrientes de fuga de paciente. Este documento confirma que las funciones convencionales de continuidad, aislamiento, alta tensión y medición de fugas forman parte del estado de la técnica (Albrecht, 2013). Por otra parte, la patente estadounidense US 10,255,788 B2 protege un analizador con carcasa iluminada por LED, indicación de pasa/falla, comunicación inalámbrica y mecanismos de seguridad asociados a la detección de caídas del equipo (Alkire et al., 2019). Estos antecedentes muestran que la innovación no puede centrarse únicamente en construir un analizador o añadir indicadores visuales, sino en proponer una combinación técnica y pedagógica claramente diferenciada.</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La evolución reciente del sector ha desplazado el interés desde la prueba aislada hacia la gestión integral del ciclo de vida de los dispositivos médicos. Iadanza et al. (2019) plantean que el mantenimiento de equipos médicos debe fundamentarse en evidencia, historial de fallas y datos técnicos. Asimismo, do Nascimento y Costa-Felix (2021) destacan que la evaluación poscomercialización debe integrar regulación, mantenimiento y trazabilidad de resultados. Badnjević et al. (2022) y Badnjević (2023) coinciden en que la vigilancia posmercado y el mantenimiento basado en evidencia requieren procedimientos estandarizados, instrumentos confiables y personal competente. Esto evidencia que la formación de futuros ingenieros biomédicos no debe limitarse a operar un instrumento, sino que debe desarrollar la capacidad de interpretar resultados, documentar hallazgos y tomar decisiones seguras.</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La vigencia de IEC 62353 en entornos clínicos se refleja en trabajos recientes. Nunes et al. (2025) abordan la planificación e implementación de ABNT NBR IEC 62353:2019 en un hospital de gran tamaño, mientras que Frías et al. (2025) proponen optimizar procedimientos de prueba en equipos cardiodesfibriladores. Estos estudios muestran que las pruebas eléctricas siguen siendo necesarias en equipos críticos y que su ejecución debe adaptarse al tipo de dispositivo, al contexto hospitalario y a los protocolos de mantenimiento. Sin embargo, estas publicaciones se concentran en la aplicación clínica y operativa de las normas, no en la creación de recursos didácticos abiertos para estudiantes.</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En paralelo, el hardware abierto ha adquirido importancia como estrategia para facilitar la reproducción, adaptación y comprensión de tecnologías aplicadas a la salud. Bonvoisin et al. (2020) señalan que un proyecto de hardware abierto requiere esquemáticos, lista de materiales, documentación técnica, licencias y control de versiones; por tanto, no basta con divulgar un circuito. Maia Chagas et al. (2020) destacan que el hardware abierto puede ampliar el acceso a tecnologías para salud, siempre que exista control de calidad y validación. Payne et al. (2024) demostraron que un dispositivo médico de bajo costo y arquitectura abierta puede ser sometido a pruebas de banco con referencia a una norma IEC, aunque aclaran que dicho resultado no equivale al cumplimiento integral de la norma. Esta evidencia respalda el uso de arquitectura abierta en la tesis, pero obliga a definir el prototipo como una herramienta didáctica y no como un analizador certificado para liberar equipos clínicos.</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Respecto a la educación universitaria, Singh et al. (2019) evidenciaron que la simulación clínica en ingeniería biomédica favorece la formación práctica en ambientes controlados, repetibles e interdisciplinarios. Guo et al. (2020) indican que el aprendizaje basado en proyectos fortalece resultados académicos cuando incorpora objetivos claros, productos verificables y evaluación estructurada. Young et al. (2021) destacan que, en bioingeniería e ingeniería biomédica, los proyectos prácticos permiten integrar electrónica, programación, documentación, resolución de problemas y trabajo colaborativo. No obstante, la literatura revisada no evidencia una plataforma que integre simultáneamente un analizador de seguridad eléctrica, arquitectura abierta, simulación controlada de fallas y aprendizaje de IEC 60601-1 e IEC 62353.</w:t>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315"/>
        <w:gridCol w:w="2940"/>
        <w:tblGridChange w:id="0">
          <w:tblGrid>
            <w:gridCol w:w="2640"/>
            <w:gridCol w:w="3315"/>
            <w:gridCol w:w="2940"/>
          </w:tblGrid>
        </w:tblGridChange>
      </w:tblGrid>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2">
            <w:pPr>
              <w:spacing w:after="240" w:lineRule="auto"/>
              <w:jc w:val="center"/>
              <w:rPr>
                <w:color w:val="1f2328"/>
                <w:sz w:val="24"/>
                <w:szCs w:val="24"/>
              </w:rPr>
            </w:pPr>
            <w:r w:rsidDel="00000000" w:rsidR="00000000" w:rsidRPr="00000000">
              <w:rPr>
                <w:color w:val="1f2328"/>
                <w:sz w:val="24"/>
                <w:szCs w:val="24"/>
                <w:rtl w:val="0"/>
              </w:rPr>
              <w:t xml:space="preserve">Antecedente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3">
            <w:pPr>
              <w:spacing w:after="240" w:lineRule="auto"/>
              <w:jc w:val="center"/>
              <w:rPr>
                <w:color w:val="1f2328"/>
                <w:sz w:val="24"/>
                <w:szCs w:val="24"/>
              </w:rPr>
            </w:pPr>
            <w:r w:rsidDel="00000000" w:rsidR="00000000" w:rsidRPr="00000000">
              <w:rPr>
                <w:color w:val="1f2328"/>
                <w:sz w:val="24"/>
                <w:szCs w:val="24"/>
                <w:rtl w:val="0"/>
              </w:rPr>
              <w:t xml:space="preserve">Aporte principal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4">
            <w:pPr>
              <w:spacing w:after="240" w:lineRule="auto"/>
              <w:jc w:val="center"/>
              <w:rPr>
                <w:color w:val="1f2328"/>
                <w:sz w:val="24"/>
                <w:szCs w:val="24"/>
              </w:rPr>
            </w:pPr>
            <w:r w:rsidDel="00000000" w:rsidR="00000000" w:rsidRPr="00000000">
              <w:rPr>
                <w:color w:val="1f2328"/>
                <w:sz w:val="24"/>
                <w:szCs w:val="24"/>
                <w:rtl w:val="0"/>
              </w:rPr>
              <w:t xml:space="preserve">Limitación frente al proyecto</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5">
            <w:pPr>
              <w:spacing w:after="240" w:lineRule="auto"/>
              <w:rPr>
                <w:color w:val="1f2328"/>
                <w:sz w:val="24"/>
                <w:szCs w:val="24"/>
              </w:rPr>
            </w:pPr>
            <w:r w:rsidDel="00000000" w:rsidR="00000000" w:rsidRPr="00000000">
              <w:rPr>
                <w:color w:val="1f2328"/>
                <w:sz w:val="24"/>
                <w:szCs w:val="24"/>
                <w:rtl w:val="0"/>
              </w:rPr>
              <w:t xml:space="preserve">Jiju et al. (2011)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6">
            <w:pPr>
              <w:spacing w:after="240" w:lineRule="auto"/>
              <w:rPr>
                <w:color w:val="1f2328"/>
                <w:sz w:val="24"/>
                <w:szCs w:val="24"/>
              </w:rPr>
            </w:pPr>
            <w:r w:rsidDel="00000000" w:rsidR="00000000" w:rsidRPr="00000000">
              <w:rPr>
                <w:color w:val="1f2328"/>
                <w:sz w:val="24"/>
                <w:szCs w:val="24"/>
                <w:rtl w:val="0"/>
              </w:rPr>
              <w:t xml:space="preserve">Analizador para continuidad, aislamiento y fugas.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7">
            <w:pPr>
              <w:spacing w:after="240" w:lineRule="auto"/>
              <w:rPr>
                <w:color w:val="1f2328"/>
                <w:sz w:val="24"/>
                <w:szCs w:val="24"/>
              </w:rPr>
            </w:pPr>
            <w:r w:rsidDel="00000000" w:rsidR="00000000" w:rsidRPr="00000000">
              <w:rPr>
                <w:color w:val="1f2328"/>
                <w:sz w:val="24"/>
                <w:szCs w:val="24"/>
                <w:rtl w:val="0"/>
              </w:rPr>
              <w:t xml:space="preserve">No se orienta a educación ni arquitectura abierta.</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8">
            <w:pPr>
              <w:spacing w:after="240" w:lineRule="auto"/>
              <w:rPr>
                <w:color w:val="1f2328"/>
                <w:sz w:val="24"/>
                <w:szCs w:val="24"/>
              </w:rPr>
            </w:pPr>
            <w:r w:rsidDel="00000000" w:rsidR="00000000" w:rsidRPr="00000000">
              <w:rPr>
                <w:color w:val="1f2328"/>
                <w:sz w:val="24"/>
                <w:szCs w:val="24"/>
                <w:rtl w:val="0"/>
              </w:rPr>
              <w:t xml:space="preserve">Zennaro et al. (2015)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9">
            <w:pPr>
              <w:spacing w:after="240" w:lineRule="auto"/>
              <w:rPr>
                <w:color w:val="1f2328"/>
                <w:sz w:val="24"/>
                <w:szCs w:val="24"/>
              </w:rPr>
            </w:pPr>
            <w:r w:rsidDel="00000000" w:rsidR="00000000" w:rsidRPr="00000000">
              <w:rPr>
                <w:color w:val="1f2328"/>
                <w:sz w:val="24"/>
                <w:szCs w:val="24"/>
                <w:rtl w:val="0"/>
              </w:rPr>
              <w:t xml:space="preserve">Modelo de corrientes de fuga en equipos médicos.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A">
            <w:pPr>
              <w:spacing w:after="240" w:lineRule="auto"/>
              <w:rPr>
                <w:color w:val="1f2328"/>
                <w:sz w:val="24"/>
                <w:szCs w:val="24"/>
              </w:rPr>
            </w:pPr>
            <w:r w:rsidDel="00000000" w:rsidR="00000000" w:rsidRPr="00000000">
              <w:rPr>
                <w:color w:val="1f2328"/>
                <w:sz w:val="24"/>
                <w:szCs w:val="24"/>
                <w:rtl w:val="0"/>
              </w:rPr>
              <w:t xml:space="preserve">No desarrolla una plataforma de aprendizaje.</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B">
            <w:pPr>
              <w:spacing w:after="240" w:lineRule="auto"/>
              <w:rPr>
                <w:color w:val="1f2328"/>
                <w:sz w:val="24"/>
                <w:szCs w:val="24"/>
              </w:rPr>
            </w:pPr>
            <w:r w:rsidDel="00000000" w:rsidR="00000000" w:rsidRPr="00000000">
              <w:rPr>
                <w:color w:val="1f2328"/>
                <w:sz w:val="24"/>
                <w:szCs w:val="24"/>
                <w:rtl w:val="0"/>
              </w:rPr>
              <w:t xml:space="preserve">Albrecht (2013)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C">
            <w:pPr>
              <w:spacing w:after="240" w:lineRule="auto"/>
              <w:rPr>
                <w:color w:val="1f2328"/>
                <w:sz w:val="24"/>
                <w:szCs w:val="24"/>
              </w:rPr>
            </w:pPr>
            <w:r w:rsidDel="00000000" w:rsidR="00000000" w:rsidRPr="00000000">
              <w:rPr>
                <w:color w:val="1f2328"/>
                <w:sz w:val="24"/>
                <w:szCs w:val="24"/>
                <w:rtl w:val="0"/>
              </w:rPr>
              <w:t xml:space="preserve">Equipo para pruebas VDE, EN 62353 y EN 60601.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D">
            <w:pPr>
              <w:spacing w:after="240" w:lineRule="auto"/>
              <w:rPr>
                <w:color w:val="1f2328"/>
                <w:sz w:val="24"/>
                <w:szCs w:val="24"/>
              </w:rPr>
            </w:pPr>
            <w:r w:rsidDel="00000000" w:rsidR="00000000" w:rsidRPr="00000000">
              <w:rPr>
                <w:color w:val="1f2328"/>
                <w:sz w:val="24"/>
                <w:szCs w:val="24"/>
                <w:rtl w:val="0"/>
              </w:rPr>
              <w:t xml:space="preserve">No incorpora un enfoque didáctico ni hardware abierto.</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E">
            <w:pPr>
              <w:spacing w:after="240" w:lineRule="auto"/>
              <w:rPr>
                <w:color w:val="1f2328"/>
                <w:sz w:val="24"/>
                <w:szCs w:val="24"/>
              </w:rPr>
            </w:pPr>
            <w:r w:rsidDel="00000000" w:rsidR="00000000" w:rsidRPr="00000000">
              <w:rPr>
                <w:color w:val="1f2328"/>
                <w:sz w:val="24"/>
                <w:szCs w:val="24"/>
                <w:rtl w:val="0"/>
              </w:rPr>
              <w:t xml:space="preserve">Alkire et al. (2019)</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F">
            <w:pPr>
              <w:spacing w:after="240" w:lineRule="auto"/>
              <w:rPr>
                <w:color w:val="1f2328"/>
                <w:sz w:val="24"/>
                <w:szCs w:val="24"/>
              </w:rPr>
            </w:pPr>
            <w:r w:rsidDel="00000000" w:rsidR="00000000" w:rsidRPr="00000000">
              <w:rPr>
                <w:color w:val="1f2328"/>
                <w:sz w:val="24"/>
                <w:szCs w:val="24"/>
                <w:rtl w:val="0"/>
              </w:rPr>
              <w:t xml:space="preserve">Indicadores LED, conectividad y alertas de pasa/falla.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0">
            <w:pPr>
              <w:spacing w:after="240" w:lineRule="auto"/>
              <w:rPr>
                <w:color w:val="1f2328"/>
                <w:sz w:val="24"/>
                <w:szCs w:val="24"/>
              </w:rPr>
            </w:pPr>
            <w:r w:rsidDel="00000000" w:rsidR="00000000" w:rsidRPr="00000000">
              <w:rPr>
                <w:color w:val="1f2328"/>
                <w:sz w:val="24"/>
                <w:szCs w:val="24"/>
                <w:rtl w:val="0"/>
              </w:rPr>
              <w:t xml:space="preserve">Protege interfaz y notificación, no aprendizaje normativo.</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1">
            <w:pPr>
              <w:spacing w:after="240" w:lineRule="auto"/>
              <w:rPr>
                <w:color w:val="1f2328"/>
                <w:sz w:val="24"/>
                <w:szCs w:val="24"/>
              </w:rPr>
            </w:pPr>
            <w:r w:rsidDel="00000000" w:rsidR="00000000" w:rsidRPr="00000000">
              <w:rPr>
                <w:color w:val="1f2328"/>
                <w:sz w:val="24"/>
                <w:szCs w:val="24"/>
                <w:rtl w:val="0"/>
              </w:rPr>
              <w:t xml:space="preserve">Iadanza et al. (2019); Badnjević (2023)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2">
            <w:pPr>
              <w:spacing w:after="240" w:lineRule="auto"/>
              <w:rPr>
                <w:color w:val="1f2328"/>
                <w:sz w:val="24"/>
                <w:szCs w:val="24"/>
              </w:rPr>
            </w:pPr>
            <w:r w:rsidDel="00000000" w:rsidR="00000000" w:rsidRPr="00000000">
              <w:rPr>
                <w:color w:val="1f2328"/>
                <w:sz w:val="24"/>
                <w:szCs w:val="24"/>
                <w:rtl w:val="0"/>
              </w:rPr>
              <w:t xml:space="preserve">Mantenimiento basado en evidencia y trazabilidad.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3">
            <w:pPr>
              <w:spacing w:after="240" w:lineRule="auto"/>
              <w:rPr>
                <w:color w:val="1f2328"/>
                <w:sz w:val="24"/>
                <w:szCs w:val="24"/>
              </w:rPr>
            </w:pPr>
            <w:r w:rsidDel="00000000" w:rsidR="00000000" w:rsidRPr="00000000">
              <w:rPr>
                <w:color w:val="1f2328"/>
                <w:sz w:val="24"/>
                <w:szCs w:val="24"/>
                <w:rtl w:val="0"/>
              </w:rPr>
              <w:t xml:space="preserve">No proponen un recurso educativo práctico.</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4">
            <w:pPr>
              <w:spacing w:after="240" w:lineRule="auto"/>
              <w:rPr>
                <w:color w:val="1f2328"/>
                <w:sz w:val="24"/>
                <w:szCs w:val="24"/>
              </w:rPr>
            </w:pPr>
            <w:r w:rsidDel="00000000" w:rsidR="00000000" w:rsidRPr="00000000">
              <w:rPr>
                <w:color w:val="1f2328"/>
                <w:sz w:val="24"/>
                <w:szCs w:val="24"/>
                <w:rtl w:val="0"/>
              </w:rPr>
              <w:t xml:space="preserve">Nunes et al. (2025); Frías et al. (2025)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5">
            <w:pPr>
              <w:spacing w:after="240" w:lineRule="auto"/>
              <w:rPr>
                <w:color w:val="1f2328"/>
                <w:sz w:val="24"/>
                <w:szCs w:val="24"/>
              </w:rPr>
            </w:pPr>
            <w:r w:rsidDel="00000000" w:rsidR="00000000" w:rsidRPr="00000000">
              <w:rPr>
                <w:color w:val="1f2328"/>
                <w:sz w:val="24"/>
                <w:szCs w:val="24"/>
                <w:rtl w:val="0"/>
              </w:rPr>
              <w:t xml:space="preserve">Aplicación reciente de IEC 62353 en hospitales.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6">
            <w:pPr>
              <w:spacing w:after="240" w:lineRule="auto"/>
              <w:rPr>
                <w:color w:val="1f2328"/>
                <w:sz w:val="24"/>
                <w:szCs w:val="24"/>
              </w:rPr>
            </w:pPr>
            <w:r w:rsidDel="00000000" w:rsidR="00000000" w:rsidRPr="00000000">
              <w:rPr>
                <w:color w:val="1f2328"/>
                <w:sz w:val="24"/>
                <w:szCs w:val="24"/>
                <w:rtl w:val="0"/>
              </w:rPr>
              <w:t xml:space="preserve">Se enfocan en servicio clínico, no en formación universitaria.</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7">
            <w:pPr>
              <w:spacing w:after="240" w:lineRule="auto"/>
              <w:rPr>
                <w:color w:val="1f2328"/>
                <w:sz w:val="24"/>
                <w:szCs w:val="24"/>
              </w:rPr>
            </w:pPr>
            <w:r w:rsidDel="00000000" w:rsidR="00000000" w:rsidRPr="00000000">
              <w:rPr>
                <w:color w:val="1f2328"/>
                <w:sz w:val="24"/>
                <w:szCs w:val="24"/>
                <w:rtl w:val="0"/>
              </w:rPr>
              <w:t xml:space="preserve">Bonvoisin et al. (2020); Maia Chagas et al. (2020)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8">
            <w:pPr>
              <w:spacing w:after="240" w:lineRule="auto"/>
              <w:rPr>
                <w:color w:val="1f2328"/>
                <w:sz w:val="24"/>
                <w:szCs w:val="24"/>
              </w:rPr>
            </w:pPr>
            <w:r w:rsidDel="00000000" w:rsidR="00000000" w:rsidRPr="00000000">
              <w:rPr>
                <w:color w:val="1f2328"/>
                <w:sz w:val="24"/>
                <w:szCs w:val="24"/>
                <w:rtl w:val="0"/>
              </w:rPr>
              <w:t xml:space="preserve">Documentación, reproducción y apertura tecnológica.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9">
            <w:pPr>
              <w:spacing w:after="240" w:lineRule="auto"/>
              <w:rPr>
                <w:color w:val="1f2328"/>
                <w:sz w:val="24"/>
                <w:szCs w:val="24"/>
              </w:rPr>
            </w:pPr>
            <w:r w:rsidDel="00000000" w:rsidR="00000000" w:rsidRPr="00000000">
              <w:rPr>
                <w:color w:val="1f2328"/>
                <w:sz w:val="24"/>
                <w:szCs w:val="24"/>
                <w:rtl w:val="0"/>
              </w:rPr>
              <w:t xml:space="preserve">No desarrollan analizadores didácticos de seguridad eléctrica.</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A">
            <w:pPr>
              <w:spacing w:after="240" w:lineRule="auto"/>
              <w:rPr>
                <w:color w:val="1f2328"/>
                <w:sz w:val="24"/>
                <w:szCs w:val="24"/>
              </w:rPr>
            </w:pPr>
            <w:r w:rsidDel="00000000" w:rsidR="00000000" w:rsidRPr="00000000">
              <w:rPr>
                <w:color w:val="1f2328"/>
                <w:sz w:val="24"/>
                <w:szCs w:val="24"/>
                <w:rtl w:val="0"/>
              </w:rPr>
              <w:t xml:space="preserve">Singh et al. (2019); Young et al. (2021)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B">
            <w:pPr>
              <w:spacing w:after="240" w:lineRule="auto"/>
              <w:rPr>
                <w:color w:val="1f2328"/>
                <w:sz w:val="24"/>
                <w:szCs w:val="24"/>
              </w:rPr>
            </w:pPr>
            <w:r w:rsidDel="00000000" w:rsidR="00000000" w:rsidRPr="00000000">
              <w:rPr>
                <w:color w:val="1f2328"/>
                <w:sz w:val="24"/>
                <w:szCs w:val="24"/>
                <w:rtl w:val="0"/>
              </w:rPr>
              <w:t xml:space="preserve">Simulación y aprendizaje por proyectos en Ingeniería Biomédica.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C">
            <w:pPr>
              <w:spacing w:after="240" w:lineRule="auto"/>
              <w:rPr>
                <w:color w:val="1f2328"/>
                <w:sz w:val="24"/>
                <w:szCs w:val="24"/>
              </w:rPr>
            </w:pPr>
            <w:r w:rsidDel="00000000" w:rsidR="00000000" w:rsidRPr="00000000">
              <w:rPr>
                <w:color w:val="1f2328"/>
                <w:sz w:val="24"/>
                <w:szCs w:val="24"/>
                <w:rtl w:val="0"/>
              </w:rPr>
              <w:t xml:space="preserve">No integran pruebas IEC de seguridad eléctrica.</w:t>
            </w:r>
          </w:p>
        </w:tc>
      </w:tr>
    </w:tbl>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La brecha identificada se encuentra en la falta de una plataforma que articule tres dimensiones: pruebas de seguridad eléctrica basadas en IEC 60601-1 e IEC 62353, arquitectura abierta para transparentar el funcionamiento del instrumento y una metodología educativa sustentada en simulación y aprendizaje práctico. Por ello, el aporte del proyecto no consiste en afirmar que crea el primer analizador de seguridad eléctrica, sino en diseñar un prototipo didáctico que permita al estudiante observar, ejecutar e interpretar ensayos controlados de continuidad de tierra, aislamiento y corrientes de fuga sobre cargas simuladas o equipos fuera de servicio.</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b w:val="1"/>
          <w:bCs w:val="1"/>
        </w:rPr>
      </w:pPr>
      <w:r w:rsidDel="00000000" w:rsidR="00000000" w:rsidRPr="00000000">
        <w:rPr>
          <w:sz w:val="24"/>
          <w:szCs w:val="24"/>
          <w:rtl w:val="0"/>
        </w:rPr>
        <w:t xml:space="preserve">El prototipo puede diferenciarse de los analizadores comerciales al permitir el acceso a sus esquemáticos, firmware, módulos de medición, escenarios de falla y criterios de evaluación. Además, debe incorporar prácticas seguras, con aislamiento, limitación de energía, interbloqueos, señalización y supervisión docente. Su validación debe considerar tres aspectos: comparación de mediciones con valores de referencia, verificación de repetibilidad y evaluación del aprendizaje mediante pruebas antes y después de las prácticas, rúbricas técnicas e informes de diagnóstico. De esta manera, la propuesta responde a una necesidad técnica, pedagógica y de formación profesional sin presentarse indebidamente como un equipo certificado para uso hospitalario.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