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Clinical Evidence Agent</w:t>
      </w:r>
    </w:p>
    <w:p>
      <w:pPr>
        <w:jc w:val="center"/>
      </w:pPr>
      <w:r>
        <w:rPr>
          <w:b/>
          <w:sz w:val="26"/>
        </w:rPr>
        <w:t>Project Design, Current-State Checkpoint, and Handoff</w:t>
      </w:r>
    </w:p>
    <w:p>
      <w:pPr>
        <w:jc w:val="center"/>
      </w:pPr>
      <w:r>
        <w:rPr>
          <w:i/>
        </w:rPr>
        <w:t>Checkpoint: 12 September 2026  |  Repository: JPico6/clinical-evidence-agent</w:t>
      </w:r>
    </w:p>
    <w:p>
      <w:r>
        <w:t>Purpose. This document is intended to preserve the complete design intent and the implementation state of the Clinical Evidence Agent so development can continue cleanly in a new chat or work session. It distinguishes decisions already made from planned work that has not yet been implemented.</w:t>
      </w:r>
    </w:p>
    <w:p>
      <w:pPr>
        <w:pStyle w:val="Heading1"/>
      </w:pPr>
      <w:r>
        <w:t>1. Product Vision</w:t>
      </w:r>
    </w:p>
    <w:p>
      <w:r>
        <w:t>Build a portfolio-quality clinical analytics agent that queries longitudinal synthetic healthcare data (claims-adjacent encounters, conditions, medications, procedures, observations/labs, demographics) and produces a grounded summary of a patient's clinical condition and trajectory. The project should demonstrate production-minded agent engineering rather than a thin chatbot over raw records.</w:t>
      </w:r>
    </w:p>
    <w:p>
      <w:r>
        <w:t>Core architectural rule: Python/SQL determines facts; the LLM determines which facts matter and synthesizes them. Raw longitudinal rows should not simply be dumped into an LLM. Deterministic evidence tools calculate chronology, counts, comparisons, windows, and provenance; the LLM later interprets those evidence objects under explicit guardrails.</w:t>
      </w:r>
    </w:p>
    <w:p>
      <w:pPr>
        <w:pStyle w:val="Heading1"/>
      </w:pPr>
      <w:r>
        <w:t>2. Design Principles</w:t>
      </w:r>
    </w:p>
    <w:p>
      <w:pPr>
        <w:pStyle w:val="ListBullet"/>
      </w:pPr>
      <w:r>
        <w:rPr>
          <w:b/>
        </w:rPr>
        <w:t xml:space="preserve">Deterministic before generative: </w:t>
      </w:r>
      <w:r>
        <w:t>Understand the data, build deterministic database functions, test them, wrap them as tools, and only then introduce the LLM/agent.</w:t>
      </w:r>
    </w:p>
    <w:p>
      <w:pPr>
        <w:pStyle w:val="ListBullet"/>
      </w:pPr>
      <w:r>
        <w:rPr>
          <w:b/>
        </w:rPr>
        <w:t xml:space="preserve">Evidence before interpretation: </w:t>
      </w:r>
      <w:r>
        <w:t>Evidence objects expose facts, provenance, uncertainty, and sufficiency. They do not prematurely label clinical trajectories as improving, stable, or worsening.</w:t>
      </w:r>
    </w:p>
    <w:p>
      <w:pPr>
        <w:pStyle w:val="ListBullet"/>
      </w:pPr>
      <w:r>
        <w:rPr>
          <w:b/>
        </w:rPr>
        <w:t xml:space="preserve">Patient-relative time: </w:t>
      </w:r>
      <w:r>
        <w:t>Recent/prior comparisons are anchored to the patient's latest available event, not the wall-clock date.</w:t>
      </w:r>
    </w:p>
    <w:p>
      <w:pPr>
        <w:pStyle w:val="ListBullet"/>
      </w:pPr>
      <w:r>
        <w:rPr>
          <w:b/>
        </w:rPr>
        <w:t xml:space="preserve">Explicit interval semantics: </w:t>
      </w:r>
      <w:r>
        <w:t>Use adjacent non-overlapping windows with exclusive upper bounds internally; serialize human-readable inclusive dates at the evidence boundary.</w:t>
      </w:r>
    </w:p>
    <w:p>
      <w:pPr>
        <w:pStyle w:val="ListBullet"/>
      </w:pPr>
      <w:r>
        <w:rPr>
          <w:b/>
        </w:rPr>
        <w:t xml:space="preserve">Preserve source semantics: </w:t>
      </w:r>
      <w:r>
        <w:t>Do not silently recode source categories or treat missing STOP dates as proof of current clinical activity.</w:t>
      </w:r>
    </w:p>
    <w:p>
      <w:pPr>
        <w:pStyle w:val="ListBullet"/>
      </w:pPr>
      <w:r>
        <w:rPr>
          <w:b/>
        </w:rPr>
        <w:t xml:space="preserve">Frequency is not significance: </w:t>
      </w:r>
      <w:r>
        <w:t>A frequently repeated administrative or social concept is not automatically more important than a single major diagnosis.</w:t>
      </w:r>
    </w:p>
    <w:p>
      <w:pPr>
        <w:pStyle w:val="ListBullet"/>
      </w:pPr>
      <w:r>
        <w:rPr>
          <w:b/>
        </w:rPr>
        <w:t xml:space="preserve">Aggregate domains independently: </w:t>
      </w:r>
      <w:r>
        <w:t>Never raw-join all longitudinal domains before aggregation; that creates Cartesian multiplication and distorted counts.</w:t>
      </w:r>
    </w:p>
    <w:p>
      <w:pPr>
        <w:pStyle w:val="ListBullet"/>
      </w:pPr>
      <w:r>
        <w:rPr>
          <w:b/>
        </w:rPr>
        <w:t xml:space="preserve">Uncertainty is first-class: </w:t>
      </w:r>
      <w:r>
        <w:t>Sparse evidence, multiple units, missing prior periods, ambiguous provenance, and source limitations must remain visible to downstream reasoning.</w:t>
      </w:r>
    </w:p>
    <w:p>
      <w:pPr>
        <w:pStyle w:val="ListBullet"/>
      </w:pPr>
      <w:r>
        <w:rPr>
          <w:b/>
        </w:rPr>
        <w:t xml:space="preserve">Presentation-boundary rounding: </w:t>
      </w:r>
      <w:r>
        <w:t>Keep analytical calculations at full precision; round only when creating JSON/presentation objects.</w:t>
      </w:r>
    </w:p>
    <w:p>
      <w:pPr>
        <w:pStyle w:val="ListBullet"/>
      </w:pPr>
      <w:r>
        <w:rPr>
          <w:b/>
        </w:rPr>
        <w:t xml:space="preserve">Synthetic data only: </w:t>
      </w:r>
      <w:r>
        <w:t>The public/portfolio application should use Synthea data and explicitly state that it is not for real patient information or clinical care.</w:t>
      </w:r>
    </w:p>
    <w:p>
      <w:pPr>
        <w:pStyle w:val="Heading1"/>
      </w:pPr>
      <w:r>
        <w:t>3. Intended End-State Architecture</w:t>
      </w:r>
    </w:p>
    <w:p>
      <w:r>
        <w:t>Planned stack: Python, DuckDB/Parquet or CSV-backed views, Synthea synthetic data, LangChain/LangGraph, OpenAI, LangSmith evaluation/observability, Streamlit, GitHub, and automated tests. The design favors one constrained agent with well-defined tools rather than gratuitous multi-agent complexity.</w:t>
      </w:r>
    </w:p>
    <w:p>
      <w:r>
        <w:t>Development sequence: understand data -&gt; deterministic database functions -&gt; tested Python evidence functions -&gt; LangChain tool wrappers -&gt; constrained LangGraph agent -&gt; structured synthesis -&gt; evaluation -&gt; Streamlit interface.</w:t>
      </w:r>
    </w:p>
    <w:p>
      <w:r>
        <w:t>Likely user-facing sections: Clinical Summary, Trajectory, Medication Changes, Important Recent Events, Utilization, Evidence, and Evidence Limitations. These are target concepts, not yet implemented UI contracts.</w:t>
      </w:r>
    </w:p>
    <w:p>
      <w:pPr>
        <w:pStyle w:val="Heading1"/>
      </w:pPr>
      <w:r>
        <w:t>4. Repository and Environment</w:t>
      </w:r>
    </w:p>
    <w:p>
      <w:r>
        <w:t>Local Windows project path: C:\Users\15402\PycharmProjects\clinical-evidence-agent</w:t>
      </w:r>
    </w:p>
    <w:p>
      <w:r>
        <w:t>GitHub repository: JPico6/clinical-evidence-agent (private at this checkpoint). Main branch is main.</w:t>
      </w:r>
    </w:p>
    <w:p>
      <w:r>
        <w:t>Python environment/package workflow uses uv. PyCharm is the primary IDE; commands are generally run in Windows PowerShell.</w:t>
      </w:r>
    </w:p>
    <w:p>
      <w:r>
        <w:t>Current repository structure:</w:t>
      </w:r>
    </w:p>
    <w:p>
      <w:pPr/>
      <w:r>
        <w:rPr>
          <w:rFonts w:ascii="Consolas" w:hAnsi="Consolas"/>
          <w:sz w:val="17"/>
        </w:rPr>
        <w:t>clinical-evidence-agent/</w:t>
        <w:br/>
        <w:t>├── src/</w:t>
        <w:br/>
        <w:t>│   └── clinical_evidence_agent/</w:t>
        <w:br/>
        <w:t>│       ├── __init__.py</w:t>
        <w:br/>
        <w:t>│       └── database.py</w:t>
        <w:br/>
        <w:t>├── tests/</w:t>
        <w:br/>
        <w:t>│   ├── test_lab_evidence.py</w:t>
        <w:br/>
        <w:t>│   ├── test_utilization_evidence.py</w:t>
        <w:br/>
        <w:t>│   └── test_condition_evidence.py</w:t>
        <w:br/>
        <w:t>├── .gitignore</w:t>
        <w:br/>
        <w:t>├── .python-version</w:t>
        <w:br/>
        <w:t>├── README.md</w:t>
        <w:br/>
        <w:t>├── pyproject.toml</w:t>
        <w:br/>
        <w:t>└── uv.lock</w:t>
      </w:r>
    </w:p>
    <w:p>
      <w:r>
        <w:t>Local exploratory test.py/test2.py may exist untracked. data/, .env*, virtual environments, IDE metadata, caches, and temporary files are ignored. The Synthea data directory is local and intentionally not committed.</w:t>
      </w:r>
    </w:p>
    <w:p>
      <w:r>
        <w:t>Known Git checkpoint: initial foundation commit ac4c37d ('Initial clinical evidence agent foundation'). Subsequent utilization/lab/condition work was developed after that; verify git log/status in a new session rather than assuming a later commit hash.</w:t>
      </w:r>
    </w:p>
    <w:p>
      <w:pPr>
        <w:pStyle w:val="Heading1"/>
      </w:pPr>
      <w:r>
        <w:t>5. Data Foundation</w:t>
      </w:r>
    </w:p>
    <w:p>
      <w:r>
        <w:t>Dataset: Synthea 100-sample CSV download, containing 108 patients in the loaded patients table. DuckDB uses an in-memory connection and CREATE OR REPLACE VIEW statements over local CSVs.</w:t>
      </w:r>
    </w:p>
    <w:p>
      <w:r>
        <w:t>Registered source tables/views: patients, encounters, conditions, medications, observations, claims, procedures.</w:t>
      </w:r>
    </w:p>
    <w:p>
      <w:r>
        <w:t>Key conventions: patients.Id is the patient key in patients; most clinical tables use PATIENT; claims uses PATIENTID. observations.VALUE is VARCHAR and observations.TYPE distinguishes numeric/text observations.</w:t>
      </w:r>
    </w:p>
    <w:p>
      <w:pPr>
        <w:pStyle w:val="Heading1"/>
      </w:pPr>
      <w:r>
        <w:t>6. Database Foundation and Raw Retrieval</w:t>
      </w:r>
    </w:p>
    <w:p>
      <w:r>
        <w:t>database.py defines PROJECT_ROOT and DATA_DIR, get_connection(), and register_synthea_tables(). Raw patient retrieval functions currently cover conditions, medications, observations, encounters, procedures, and demographics.</w:t>
      </w:r>
    </w:p>
    <w:tbl>
      <w:tblPr>
        <w:tblStyle w:val="TableGrid"/>
        <w:tblW w:type="auto" w:w="0"/>
        <w:jc w:val="center"/>
        <w:tblLook w:firstColumn="1" w:firstRow="1" w:lastColumn="0" w:lastRow="0" w:noHBand="0" w:noVBand="1" w:val="04A0"/>
      </w:tblPr>
      <w:tblGrid>
        <w:gridCol w:w="5040"/>
        <w:gridCol w:w="5040"/>
      </w:tblGrid>
      <w:tr>
        <w:tc>
          <w:tcPr>
            <w:tcW w:type="dxa" w:w="5040"/>
          </w:tcPr>
          <w:p>
            <w:r>
              <w:t>Function</w:t>
            </w:r>
          </w:p>
        </w:tc>
        <w:tc>
          <w:tcPr>
            <w:tcW w:type="dxa" w:w="5040"/>
          </w:tcPr>
          <w:p>
            <w:r>
              <w:t>Purpose</w:t>
            </w:r>
          </w:p>
        </w:tc>
      </w:tr>
      <w:tr>
        <w:tc>
          <w:tcPr>
            <w:tcW w:type="dxa" w:w="5040"/>
          </w:tcPr>
          <w:p>
            <w:r>
              <w:t>get_patient_conditions</w:t>
            </w:r>
          </w:p>
        </w:tc>
        <w:tc>
          <w:tcPr>
            <w:tcW w:type="dxa" w:w="5040"/>
          </w:tcPr>
          <w:p>
            <w:r>
              <w:t>START/STOP/code/description chronology</w:t>
            </w:r>
          </w:p>
        </w:tc>
      </w:tr>
      <w:tr>
        <w:tc>
          <w:tcPr>
            <w:tcW w:type="dxa" w:w="5040"/>
          </w:tcPr>
          <w:p>
            <w:r>
              <w:t>get_patient_medications</w:t>
            </w:r>
          </w:p>
        </w:tc>
        <w:tc>
          <w:tcPr>
            <w:tcW w:type="dxa" w:w="5040"/>
          </w:tcPr>
          <w:p>
            <w:r>
              <w:t>Medication episodes, dispenses, and reason fields</w:t>
            </w:r>
          </w:p>
        </w:tc>
      </w:tr>
      <w:tr>
        <w:tc>
          <w:tcPr>
            <w:tcW w:type="dxa" w:w="5040"/>
          </w:tcPr>
          <w:p>
            <w:r>
              <w:t>get_patient_observations</w:t>
            </w:r>
          </w:p>
        </w:tc>
        <w:tc>
          <w:tcPr>
            <w:tcW w:type="dxa" w:w="5040"/>
          </w:tcPr>
          <w:p>
            <w:r>
              <w:t>Observation/lab chronology with category, code, value, units, type</w:t>
            </w:r>
          </w:p>
        </w:tc>
      </w:tr>
      <w:tr>
        <w:tc>
          <w:tcPr>
            <w:tcW w:type="dxa" w:w="5040"/>
          </w:tcPr>
          <w:p>
            <w:r>
              <w:t>get_patient_encounters</w:t>
            </w:r>
          </w:p>
        </w:tc>
        <w:tc>
          <w:tcPr>
            <w:tcW w:type="dxa" w:w="5040"/>
          </w:tcPr>
          <w:p>
            <w:r>
              <w:t>Encounter chronology, class, reason, and total claim cost</w:t>
            </w:r>
          </w:p>
        </w:tc>
      </w:tr>
      <w:tr>
        <w:tc>
          <w:tcPr>
            <w:tcW w:type="dxa" w:w="5040"/>
          </w:tcPr>
          <w:p>
            <w:r>
              <w:t>get_patient_procedures</w:t>
            </w:r>
          </w:p>
        </w:tc>
        <w:tc>
          <w:tcPr>
            <w:tcW w:type="dxa" w:w="5040"/>
          </w:tcPr>
          <w:p>
            <w:r>
              <w:t>Procedure chronology and reason</w:t>
            </w:r>
          </w:p>
        </w:tc>
      </w:tr>
      <w:tr>
        <w:tc>
          <w:tcPr>
            <w:tcW w:type="dxa" w:w="5040"/>
          </w:tcPr>
          <w:p>
            <w:r>
              <w:t>get_patient_demographics</w:t>
            </w:r>
          </w:p>
        </w:tc>
        <w:tc>
          <w:tcPr>
            <w:tcW w:type="dxa" w:w="5040"/>
          </w:tcPr>
          <w:p>
            <w:r>
              <w:t>Birth/death dates, gender, race, ethnicity</w:t>
            </w:r>
          </w:p>
        </w:tc>
      </w:tr>
      <w:tr>
        <w:tc>
          <w:tcPr>
            <w:tcW w:type="dxa" w:w="5040"/>
          </w:tcPr>
          <w:p>
            <w:r>
              <w:t>get_patient_latest_date</w:t>
            </w:r>
          </w:p>
        </w:tc>
        <w:tc>
          <w:tcPr>
            <w:tcW w:type="dxa" w:w="5040"/>
          </w:tcPr>
          <w:p>
            <w:r>
              <w:t>Patient-relative anchor date across encounters, observations, conditions, medications, procedures</w:t>
            </w:r>
          </w:p>
        </w:tc>
      </w:tr>
    </w:tbl>
    <w:p>
      <w:pPr>
        <w:pStyle w:val="Heading1"/>
      </w:pPr>
      <w:r>
        <w:t>7. Reference Patient Used for Development</w:t>
      </w:r>
    </w:p>
    <w:p>
      <w:r>
        <w:t>Rich test patient: bca1691f-8839-1d66-ed01-471134d55738</w:t>
      </w:r>
    </w:p>
    <w:p>
      <w:r>
        <w:t>This patient was deliberately chosen because the record is dense across domains and exposes important edge cases. Latest event date is 2026-08-12. The condition history contains 53 distinct condition concepts and 273 condition rows.</w:t>
      </w:r>
    </w:p>
    <w:p>
      <w:r>
        <w:t>Clinically coherent milestones visible in the synthetic history include type 2 diabetes (1990), diabetic neuropathy (1999), ischemic heart disease/CABG history (2005), CKD stage 1/diabetic kidney disorder (2006), CKD stage 2/microalbuminuria (2011), NSTEMI (2014), CKD stage 3/proteinuria (2017), awaiting kidney transplant and CKD stage 4 (2022), Alzheimer's disease (2024), and atrial fibrillation (2026). These facts are useful for validating chronology but should not be hard-coded into general mechanics.</w:t>
      </w:r>
    </w:p>
    <w:p>
      <w:pPr>
        <w:pStyle w:val="Heading1"/>
      </w:pPr>
      <w:r>
        <w:t>8. Implemented Evidence Domain: Utilization</w:t>
      </w:r>
    </w:p>
    <w:p>
      <w:r>
        <w:t>Implemented deterministic functions include get_patient_utilization_summary(), get_patient_utilization_by_period(), get_patient_utilization_change(), compare_patient_utilization(), classify_utilization_evidence_sufficiency(), and build_utilization_evidence().</w:t>
      </w:r>
    </w:p>
    <w:p>
      <w:r>
        <w:t>Recent/prior windows are adjacent 365-day periods anchored to the patient's latest event. The internal recent interval ends at anchor_date + 1 day (exclusive), avoiding an off-by-one loss of the anchor date.</w:t>
      </w:r>
    </w:p>
    <w:p>
      <w:r>
        <w:t>For the rich patient, prior-period encounters total 74 and recent-period encounters total 68. Composition changes materially: ambulatory 49-&gt;38, urgent care 16-&gt;16, emergency 0-&gt;10, outpatient 8-&gt;3, wellness 1-&gt;1. This is the canonical example of why total volume alone cannot determine clinical utilization trajectory.</w:t>
      </w:r>
    </w:p>
    <w:p>
      <w:r>
        <w:t>Evidence sufficiency values are structural, not clinical: no_recent_utilization, no_prior_utilization, sparse_comparison, multi_encounter_comparison. A 0-&gt;1 wellness encounter must not be labeled 'increasing utilization'; a 1-&gt;1 comparison must not be called 'stable utilization' merely because arithmetic is unchanged.</w:t>
      </w:r>
    </w:p>
    <w:p>
      <w:r>
        <w:t>The utilization evidence object is JSON-friendly and includes anchor date, prior/recent period metadata, total counts, absolute total change, evidence sufficiency, and per-encounter-class counts/absolute changes. Percent changes are deliberately not included yet because zero baselines require explicit semantics.</w:t>
      </w:r>
    </w:p>
    <w:p>
      <w:pPr>
        <w:pStyle w:val="Heading1"/>
      </w:pPr>
      <w:r>
        <w:t>9. Implemented Evidence Domain: Labs / Observations</w:t>
      </w:r>
    </w:p>
    <w:p>
      <w:r>
        <w:t>Implemented functions include get_patient_numeric_lab_history(), get_patient_lab_conflicts() (legacy naming; semantically these are better understood as same-encounter multiple results), get_patient_unambiguous_lab_history(), summarize_lab_by_year(), get_patient_lab_units(), compare_lab_recent_vs_prior(), classify_lab_evidence_sufficiency(), and build_lab_evidence().</w:t>
      </w:r>
    </w:p>
    <w:p>
      <w:r>
        <w:t>Important data discovery: multiple eGFR values with the same code/encounter are often not simple dirty duplicates. Across the dataset, the dominant pattern associates two distinct eGFR results with two distinct creatinine results, suggesting multiple measurement/derivation pathways. The flat CSV does not provide enough provenance to map every eGFR result to a specific source creatinine, so the evidence layer must preserve ambiguity rather than 'clean' it away.</w:t>
      </w:r>
    </w:p>
    <w:p>
      <w:r>
        <w:t>For the rich patient, eGFR code 33914-3 appears in two units: mL/min and mL/min/{1.73_m2}. All mL/min observations were ambulatory in the diagnostic sample, while normalized values appeared across urgent care, outpatient, emergency, and wellness encounters. Multiple units require explicit unit selection; build_lab_evidence returns status='multiple_units' rather than silently mixing them.</w:t>
      </w:r>
    </w:p>
    <w:p>
      <w:r>
        <w:t>Lab evidence sufficiency values: no_recent_data, no_prior_data, single_point_comparison, multi_point_comparison. For single-point periods, q1/q3/IQR are null; IQR change is only emitted when both periods contain at least two measurements. Median absolute/percent changes may still be retained for single-point comparison, with sufficiency preventing overinterpretation.</w:t>
      </w:r>
    </w:p>
    <w:p>
      <w:r>
        <w:t>Rich-patient normalized eGFR recent/prior example: prior n=39 median 17.5; recent n=47 median 19.2; median absolute change +1.7 (about +9.7%). This must NOT automatically be labeled clinical improvement. The longer annual history shows substantial renal decline and CKD stage progression, illustrating why deterministic measurement change and clinical trajectory are separate layers.</w:t>
      </w:r>
    </w:p>
    <w:p>
      <w:pPr>
        <w:pStyle w:val="Heading1"/>
      </w:pPr>
      <w:r>
        <w:t>10. Implemented Evidence Domain: Conditions</w:t>
      </w:r>
    </w:p>
    <w:p>
      <w:r>
        <w:t>Condition investigation established that repeated rows are generally genuine episodes, not duplicates. Social isolation in the rich patient has 15 separate START/STOP episodes from 2013 through 2026, with gaps between episodes and a final source-open episode.</w:t>
      </w:r>
    </w:p>
    <w:p>
      <w:r>
        <w:t>A dataset-wide overlap diagnostic found only two boundary-touching cases, both 'Victim of intimate partner abuse', where one episode stopped on the same date the next began. This supports modeling repeated condition rows as discrete episodes.</w:t>
      </w:r>
    </w:p>
    <w:p>
      <w:r>
        <w:t>Implemented functions: get_patient_condition_summary(), get_patient_new_conditions(), and build_condition_evidence(). get_patient_condition_summary collapses episodes to code/description with episode_count, first_start, latest_start, latest_stop, and source_open_episode_count.</w:t>
      </w:r>
    </w:p>
    <w:p>
      <w:r>
        <w:t>Critical semantic rule: source_open_episode_count reflects missing STOP values in the source, not proof that the condition is clinically active. This is especially important because CKD stages 1, 2, 3, and 4 all remain source-open, and the 2014 acute NSTEMI also has no STOP. Never expose this downstream as a simple active=true flag.</w:t>
      </w:r>
    </w:p>
    <w:p>
      <w:r>
        <w:t>get_patient_new_conditions identifies concepts whose first-ever recorded onset is within a configurable lookback (default 365 days). For the rich patient, only two are newly observed: Dental filling lost (2025-12-03) and Atrial fibrillation (2026-05-04).</w:t>
      </w:r>
    </w:p>
    <w:p>
      <w:r>
        <w:t>build_condition_evidence returns anchor_date, lookback_days, condition_count, newly_observed_condition_count, newly_observed_conditions, and the complete condition summary. Missing pandas NaT dates are explicitly serialized as JSON null using pd.isna() at the evidence boundary.</w:t>
      </w:r>
    </w:p>
    <w:p>
      <w:r>
        <w:t>Decision: do not impose an arbitrary cap on lifetime condition concepts. Across 108 patients, mean distinct codes ~18.4, median 19, 75th percentile 24.25, max 53. The core problem is semantic mixture (disease, finding, situation, social status, dental/admin concepts), not payload size. Preserve the complete deterministic history and let later reasoning select relevance.</w:t>
      </w:r>
    </w:p>
    <w:p>
      <w:pPr>
        <w:pStyle w:val="Heading1"/>
      </w:pPr>
      <w:r>
        <w:t>11. Automated Tests and Current Checkpoint</w:t>
      </w:r>
    </w:p>
    <w:p>
      <w:r>
        <w:t>Current confirmed test suite result: 11 passed.</w:t>
      </w:r>
    </w:p>
    <w:p>
      <w:pPr>
        <w:pStyle w:val="ListBullet"/>
      </w:pPr>
      <w:r>
        <w:t>Utilization: rich multi-class change; no-prior-utilization guardrail; sparse-comparison guardrail.</w:t>
      </w:r>
    </w:p>
    <w:p>
      <w:pPr>
        <w:pStyle w:val="ListBullet"/>
      </w:pPr>
      <w:r>
        <w:t>Labs: single-point comparison; historical/no-recent data; multiple-units requires explicit unit; multi-point explicit-unit case; no-data case.</w:t>
      </w:r>
    </w:p>
    <w:p>
      <w:pPr>
        <w:pStyle w:val="ListBullet"/>
      </w:pPr>
      <w:r>
        <w:t>Conditions: rich-patient chronology/newly observed concepts; repeated episode summary preservation; missing STOP serialized as null.</w:t>
      </w:r>
    </w:p>
    <w:p>
      <w:r>
        <w:t>After condition work, checkpoint with git add src/clinical_evidence_agent/database.py tests/test_condition_evidence.py; git commit -m "Add condition evidence summaries and chronology"; git push. If resuming elsewhere, run git status, git log --oneline -5, and uv run pytest -q to establish the exact repository state rather than relying on this document for commit completion.</w:t>
      </w:r>
    </w:p>
    <w:p>
      <w:pPr>
        <w:pStyle w:val="Heading1"/>
      </w:pPr>
      <w:r>
        <w:t>12. Medication Domain - Next Implementation Target</w:t>
      </w:r>
    </w:p>
    <w:p>
      <w:r>
        <w:t>Medication history/changes is the next logical deterministic domain. It has NOT yet been designed or implemented beyond raw retrieval. Do not assume repeated medication rows are duplicates: they may represent separate prescribing/exposure episodes. Start with diagnostics on episode structure, START/STOP, DISPENSES, REASONCODE/REASONDESCRIPTION, repeated codes/descriptions, overlap, and source semantics.</w:t>
      </w:r>
    </w:p>
    <w:p>
      <w:r>
        <w:t>Likely goal: derive compact medication-history and medication-change evidence (newly started, stopped, recurring/restarted, ongoing/source-open, and reason attribution where available) without claiming adherence. Prescription/fill/exposure records are not proof that the patient took the medication.</w:t>
      </w:r>
    </w:p>
    <w:p>
      <w:pPr>
        <w:pStyle w:val="Heading1"/>
      </w:pPr>
      <w:r>
        <w:t>13. Remaining Deterministic Domains</w:t>
      </w:r>
    </w:p>
    <w:p>
      <w:pPr>
        <w:pStyle w:val="ListBullet"/>
      </w:pPr>
      <w:r>
        <w:rPr>
          <w:b/>
        </w:rPr>
        <w:t xml:space="preserve">Procedures: </w:t>
      </w:r>
      <w:r>
        <w:t>Raw retrieval exists. Rich patient has very high repeated procedure volume; frequency is not clinical significance. Build chronology/recent-event evidence only after inspecting repetition and procedure semantics.</w:t>
      </w:r>
    </w:p>
    <w:p>
      <w:pPr>
        <w:pStyle w:val="ListBullet"/>
      </w:pPr>
      <w:r>
        <w:rPr>
          <w:b/>
        </w:rPr>
        <w:t xml:space="preserve">Important recent events: </w:t>
      </w:r>
      <w:r>
        <w:t>Eventually combine domain-specific deterministic signals to surface clinically meaningful recent events without raw cross-domain joins.</w:t>
      </w:r>
    </w:p>
    <w:p>
      <w:pPr>
        <w:pStyle w:val="ListBullet"/>
      </w:pPr>
      <w:r>
        <w:rPr>
          <w:b/>
        </w:rPr>
        <w:t xml:space="preserve">Claims/cost: </w:t>
      </w:r>
      <w:r>
        <w:t>Claims view is registered but evidence mechanics are deferred. Key differs (PATIENTID). Decide whether claims add useful portfolio value after core clinical evidence is stable.</w:t>
      </w:r>
    </w:p>
    <w:p>
      <w:pPr>
        <w:pStyle w:val="ListBullet"/>
      </w:pPr>
      <w:r>
        <w:rPr>
          <w:b/>
        </w:rPr>
        <w:t xml:space="preserve">Demographics/context: </w:t>
      </w:r>
      <w:r>
        <w:t>Raw demographics retrieval exists. Keep demographics factual and avoid inappropriate inference.</w:t>
      </w:r>
    </w:p>
    <w:p>
      <w:pPr>
        <w:pStyle w:val="Heading1"/>
      </w:pPr>
      <w:r>
        <w:t>14. Planned Agent Layer (Not Yet Implemented)</w:t>
      </w:r>
    </w:p>
    <w:p>
      <w:r>
        <w:t>After deterministic domains are tested, wrap evidence functions as constrained LangChain tools and orchestrate with LangGraph. The agent should choose which evidence to request, not calculate facts itself. Tool outputs should be structured and small enough for reliable reasoning. The agent should be able to abstain or express uncertainty when evidence is insufficient.</w:t>
      </w:r>
    </w:p>
    <w:p>
      <w:r>
        <w:t>Potential structured synthesis concepts include domain, direction (improving/stable/worsening/uncertain), interpretation, evidence items, confidence, major conditions, medication changes, utilization changes, important recent events, overall assessment, and evidence gaps. These are provisional schemas; do not implement trajectory labels until deterministic evidence and evaluation criteria are ready.</w:t>
      </w:r>
    </w:p>
    <w:p>
      <w:r>
        <w:t>One constrained agent is preferred. Add additional agents only if a concrete separation of responsibilities demonstrably improves reliability or evaluation—not for architectural spectacle.</w:t>
      </w:r>
    </w:p>
    <w:p>
      <w:pPr>
        <w:pStyle w:val="Heading1"/>
      </w:pPr>
      <w:r>
        <w:t>15. Evaluation Strategy</w:t>
      </w:r>
    </w:p>
    <w:p>
      <w:r>
        <w:t>Evaluation is a core project feature, not an afterthought. Planned dimensions include factual correctness, unsupported-claim rate, source/evidence attribution, trajectory classification, tool selection, important-event recall, abstention behavior, relevance, latency, and cost.</w:t>
      </w:r>
    </w:p>
    <w:p>
      <w:r>
        <w:t>Create deterministic or hand-authored gold cases from Synthea patients with known edge cases: sparse history, no recent data, new major diagnosis, multiple lab units, contradictory/ambiguous same-encounter observations, changing utilization composition, chronic progression, and medication starts/stops. LangSmith can later track traces and evaluations. The strongest portfolio story is not merely 'uses an LLM' but 'measures whether the LLM is grounded and reliable.'</w:t>
      </w:r>
    </w:p>
    <w:p>
      <w:pPr>
        <w:pStyle w:val="Heading1"/>
      </w:pPr>
      <w:r>
        <w:t>16. Streamlit / Portfolio Application</w:t>
      </w:r>
    </w:p>
    <w:p>
      <w:r>
        <w:t>Planned UI: patient selector/search over synthetic patients; generated clinical summary; trajectory/evidence panels; explicit evidence limitations; and inspectable supporting evidence. Streamlit Community Cloud is a plausible deployment target after the agent/evaluation layer is stable.</w:t>
      </w:r>
    </w:p>
    <w:p>
      <w:r>
        <w:t>Public-facing safety statement should be prominent: synthetic Synthea data only; no real patient information; demonstration/educational portfolio project; not a clinical decision-support product and not medical advice.</w:t>
      </w:r>
    </w:p>
    <w:p>
      <w:pPr>
        <w:pStyle w:val="Heading1"/>
      </w:pPr>
      <w:r>
        <w:t>17. Important Data and Engineering Lessons Already Learned</w:t>
      </w:r>
    </w:p>
    <w:p>
      <w:pPr>
        <w:pStyle w:val="ListBullet"/>
      </w:pPr>
      <w:r>
        <w:t>Do not raw-join encounters, conditions, medications, observations, and procedures before aggregation; it causes Cartesian explosion.</w:t>
      </w:r>
    </w:p>
    <w:p>
      <w:pPr>
        <w:pStyle w:val="ListBullet"/>
      </w:pPr>
      <w:r>
        <w:t>Do not equate missing STOP with active disease.</w:t>
      </w:r>
    </w:p>
    <w:p>
      <w:pPr>
        <w:pStyle w:val="ListBullet"/>
      </w:pPr>
      <w:r>
        <w:t>Do not equate repeated condition rows with duplicates; many are episodes.</w:t>
      </w:r>
    </w:p>
    <w:p>
      <w:pPr>
        <w:pStyle w:val="ListBullet"/>
      </w:pPr>
      <w:r>
        <w:t>Do not equate repeated medication records with adherence or duplicate prescriptions without inspection.</w:t>
      </w:r>
    </w:p>
    <w:p>
      <w:pPr>
        <w:pStyle w:val="ListBullet"/>
      </w:pPr>
      <w:r>
        <w:t>Do not collapse same-code/same-encounter lab values as conflicts without investigating measurement provenance.</w:t>
      </w:r>
    </w:p>
    <w:p>
      <w:pPr>
        <w:pStyle w:val="ListBullet"/>
      </w:pPr>
      <w:r>
        <w:t>Do not mix lab units silently.</w:t>
      </w:r>
    </w:p>
    <w:p>
      <w:pPr>
        <w:pStyle w:val="ListBullet"/>
      </w:pPr>
      <w:r>
        <w:t>Do not call a sparse 1-&gt;1 utilization comparison 'stable' or a 0-&gt;1 comparison 'increasing' without sufficiency context.</w:t>
      </w:r>
    </w:p>
    <w:p>
      <w:pPr>
        <w:pStyle w:val="ListBullet"/>
      </w:pPr>
      <w:r>
        <w:t>Do not let the LLM perform basic arithmetic/date-window logic that deterministic code can guarantee.</w:t>
      </w:r>
    </w:p>
    <w:p>
      <w:pPr>
        <w:pStyle w:val="ListBullet"/>
      </w:pPr>
      <w:r>
        <w:t>Do not let a fluent narrative conceal insufficient evidence.</w:t>
      </w:r>
    </w:p>
    <w:p>
      <w:pPr>
        <w:pStyle w:val="ListBullet"/>
      </w:pPr>
      <w:r>
        <w:t>Keep raw/source evidence retrievable even when compact summaries are used for agent context.</w:t>
      </w:r>
    </w:p>
    <w:p>
      <w:pPr>
        <w:pStyle w:val="Heading1"/>
      </w:pPr>
      <w:r>
        <w:t>18. Current Key Function Inventory</w:t>
      </w:r>
    </w:p>
    <w:p>
      <w:pPr>
        <w:pStyle w:val="ListBullet"/>
      </w:pPr>
      <w:r>
        <w:t>get_connection</w:t>
      </w:r>
    </w:p>
    <w:p>
      <w:pPr>
        <w:pStyle w:val="ListBullet"/>
      </w:pPr>
      <w:r>
        <w:t>register_synthea_tables</w:t>
      </w:r>
    </w:p>
    <w:p>
      <w:pPr>
        <w:pStyle w:val="ListBullet"/>
      </w:pPr>
      <w:r>
        <w:t>get_patient_conditions</w:t>
      </w:r>
    </w:p>
    <w:p>
      <w:pPr>
        <w:pStyle w:val="ListBullet"/>
      </w:pPr>
      <w:r>
        <w:t>get_patient_medications</w:t>
      </w:r>
    </w:p>
    <w:p>
      <w:pPr>
        <w:pStyle w:val="ListBullet"/>
      </w:pPr>
      <w:r>
        <w:t>get_patient_observations</w:t>
      </w:r>
    </w:p>
    <w:p>
      <w:pPr>
        <w:pStyle w:val="ListBullet"/>
      </w:pPr>
      <w:r>
        <w:t>get_patient_encounters</w:t>
      </w:r>
    </w:p>
    <w:p>
      <w:pPr>
        <w:pStyle w:val="ListBullet"/>
      </w:pPr>
      <w:r>
        <w:t>get_patient_procedures</w:t>
      </w:r>
    </w:p>
    <w:p>
      <w:pPr>
        <w:pStyle w:val="ListBullet"/>
      </w:pPr>
      <w:r>
        <w:t>get_patient_demographics</w:t>
      </w:r>
    </w:p>
    <w:p>
      <w:pPr>
        <w:pStyle w:val="ListBullet"/>
      </w:pPr>
      <w:r>
        <w:t>get_patient_latest_date</w:t>
      </w:r>
    </w:p>
    <w:p>
      <w:pPr>
        <w:pStyle w:val="ListBullet"/>
      </w:pPr>
      <w:r>
        <w:t>get_patient_utilization_summary</w:t>
      </w:r>
    </w:p>
    <w:p>
      <w:pPr>
        <w:pStyle w:val="ListBullet"/>
      </w:pPr>
      <w:r>
        <w:t>get_patient_utilization_by_period</w:t>
      </w:r>
    </w:p>
    <w:p>
      <w:pPr>
        <w:pStyle w:val="ListBullet"/>
      </w:pPr>
      <w:r>
        <w:t>get_patient_utilization_change</w:t>
      </w:r>
    </w:p>
    <w:p>
      <w:pPr>
        <w:pStyle w:val="ListBullet"/>
      </w:pPr>
      <w:r>
        <w:t>compare_patient_utilization</w:t>
      </w:r>
    </w:p>
    <w:p>
      <w:pPr>
        <w:pStyle w:val="ListBullet"/>
      </w:pPr>
      <w:r>
        <w:t>classify_utilization_evidence_sufficiency</w:t>
      </w:r>
    </w:p>
    <w:p>
      <w:pPr>
        <w:pStyle w:val="ListBullet"/>
      </w:pPr>
      <w:r>
        <w:t>build_utilization_evidence</w:t>
      </w:r>
    </w:p>
    <w:p>
      <w:pPr>
        <w:pStyle w:val="ListBullet"/>
      </w:pPr>
      <w:r>
        <w:t>get_patient_numeric_lab_history</w:t>
      </w:r>
    </w:p>
    <w:p>
      <w:pPr>
        <w:pStyle w:val="ListBullet"/>
      </w:pPr>
      <w:r>
        <w:t>get_patient_lab_conflicts</w:t>
      </w:r>
    </w:p>
    <w:p>
      <w:pPr>
        <w:pStyle w:val="ListBullet"/>
      </w:pPr>
      <w:r>
        <w:t>get_patient_unambiguous_lab_history</w:t>
      </w:r>
    </w:p>
    <w:p>
      <w:pPr>
        <w:pStyle w:val="ListBullet"/>
      </w:pPr>
      <w:r>
        <w:t>summarize_lab_by_year</w:t>
      </w:r>
    </w:p>
    <w:p>
      <w:pPr>
        <w:pStyle w:val="ListBullet"/>
      </w:pPr>
      <w:r>
        <w:t>get_patient_lab_units</w:t>
      </w:r>
    </w:p>
    <w:p>
      <w:pPr>
        <w:pStyle w:val="ListBullet"/>
      </w:pPr>
      <w:r>
        <w:t>compare_lab_recent_vs_prior</w:t>
      </w:r>
    </w:p>
    <w:p>
      <w:pPr>
        <w:pStyle w:val="ListBullet"/>
      </w:pPr>
      <w:r>
        <w:t>classify_lab_evidence_sufficiency</w:t>
      </w:r>
    </w:p>
    <w:p>
      <w:pPr>
        <w:pStyle w:val="ListBullet"/>
      </w:pPr>
      <w:r>
        <w:t>build_lab_evidence</w:t>
      </w:r>
    </w:p>
    <w:p>
      <w:pPr>
        <w:pStyle w:val="ListBullet"/>
      </w:pPr>
      <w:r>
        <w:t>get_patient_condition_summary</w:t>
      </w:r>
    </w:p>
    <w:p>
      <w:pPr>
        <w:pStyle w:val="ListBullet"/>
      </w:pPr>
      <w:r>
        <w:t>get_patient_new_conditions</w:t>
      </w:r>
    </w:p>
    <w:p>
      <w:pPr>
        <w:pStyle w:val="ListBullet"/>
      </w:pPr>
      <w:r>
        <w:t>build_condition_evidence</w:t>
      </w:r>
    </w:p>
    <w:p>
      <w:pPr>
        <w:pStyle w:val="Heading1"/>
      </w:pPr>
      <w:r>
        <w:t>19. Handoff Instructions for a New Chat</w:t>
      </w:r>
    </w:p>
    <w:p>
      <w:r>
        <w:t>Upload this document and, ideally, the current repository ZIP or the relevant current source/test files. Tell the new chat: "Continue the Clinical Evidence Agent from this checkpoint. Verify the repository state and tests first. The next domain is medication evidence. Work incrementally: inspect the data before designing the evidence contract; do not introduce the LLM yet."</w:t>
      </w:r>
    </w:p>
    <w:p>
      <w:r>
        <w:t>First verification commands: git status; git log --oneline -5; uv run pytest -q. Expected test count at this checkpoint is 11 if the condition tests are present. If the count differs, inspect the actual repository rather than forcing it to match the document.</w:t>
      </w:r>
    </w:p>
    <w:p>
      <w:r>
        <w:t>Then begin medication diagnostics only. Preserve the project's working style: one small, justified step at a time; validate output before adding abstraction; write tests at each evidence boundary.</w:t>
      </w:r>
    </w:p>
    <w:p>
      <w:pPr>
        <w:pStyle w:val="Heading1"/>
      </w:pPr>
      <w:r>
        <w:t>20. Portfolio / Career Positioning</w:t>
      </w:r>
    </w:p>
    <w:p>
      <w:r>
        <w:t>The project is intended to demonstrate modern LLM/agent engineering grounded in the user's existing healthcare ML/data-science expertise. A future resume framing could be: Built an agentic clinical analytics system using longitudinal synthetic healthcare data, combining retrieval, tool-based analysis, structured LLM outputs, evidence attribution, and automated evaluation of factuality, retrieval quality, tool use, and unsupported claims.</w:t>
      </w:r>
    </w:p>
    <w:p>
      <w:r>
        <w:t>The differentiator should be production-minded reliability: deterministic analytics, provenance, uncertainty, structured tool contracts, evaluation, and guardrails—not merely prompt engineering.</w:t>
      </w:r>
    </w:p>
    <w:p>
      <w:r>
        <w:br w:type="page"/>
      </w:r>
    </w:p>
    <w:p>
      <w:r>
        <w:rPr>
          <w:b/>
          <w:sz w:val="36"/>
        </w:rPr>
        <w:t>Clinical Evidence Agent - Shipping Update - 2026-09-13</w:t>
      </w:r>
    </w:p>
    <w:p>
      <w:r>
        <w:rPr>
          <w:b/>
        </w:rPr>
        <w:t>Status: research/evaluation phase frozen; priority is now cost simplification, cleanup, UI integration, and portfolio completion.</w:t>
      </w:r>
    </w:p>
    <w:p>
      <w:r>
        <w:rPr>
          <w:b/>
          <w:sz w:val="26"/>
        </w:rPr>
        <w:t>1. Level-set and project objective</w:t>
      </w:r>
    </w:p>
    <w:p>
      <w:r>
        <w:t>This project is a portfolio and engineering exercise, not a production clinical-care system. The goal is to demonstrate sound agent architecture, deterministic evidence computation, provenance, uncertainty handling, constrained LLM synthesis, evaluation discipline, and a usable end-to-end application. Perfection is not the target. Further evaluation or prompt refinement should occur only when a concrete defect blocks a credible demonstration.</w:t>
      </w:r>
    </w:p>
    <w:p>
      <w:r>
        <w:rPr>
          <w:b/>
          <w:sz w:val="26"/>
        </w:rPr>
        <w:t>2. Validated architecture checkpoint</w:t>
      </w:r>
    </w:p>
    <w:p>
      <w:r>
        <w:t>The core architecture has been validated across a deliberately heterogeneous 10-patient Synthea stress cohort and two supported intents: CURRENT_STATE and TRAJECTORY. The full 20-case run completed successfully with 20/20 executions successful and 20/20 deterministic evaluations passing. A first-pass offline semantic review found no critical failures; the remaining weakness was primarily borderline salience/materiality rather than grounding, uncertainty, or temporal reasoning. The v1 synthesis behavior is therefore frozen for shipping unless a concrete integration defect appears.</w:t>
      </w:r>
    </w:p>
    <w:p>
      <w:r>
        <w:rPr>
          <w:b/>
          <w:sz w:val="26"/>
        </w:rPr>
        <w:t>3. Shipping architecture</w:t>
      </w:r>
    </w:p>
    <w:p>
      <w:r>
        <w:t>Preserve the central design rule: Python/SQL determines facts; the LLM determines which facts matter and synthesizes them. Preserve deterministic evidence builders, patient-relative time, source semantics, structured citations, bounded synthesis, and fail-closed validation. Do not reopen evidence semantics or prompt design merely to chase marginal quality improvements.</w:t>
      </w:r>
    </w:p>
    <w:p>
      <w:r>
        <w:rPr>
          <w:b/>
          <w:sz w:val="26"/>
        </w:rPr>
        <w:t>4. Cost simplification</w:t>
      </w:r>
    </w:p>
    <w:p>
      <w:r>
        <w:t>The live application must not inherit the expensive evaluation configuration by default. The evaluation benchmark used GPT-5.6 Sol with medium reasoning and intentionally favored quality over cost. Shipping work should reduce paid inference as aggressively as practical while preserving the demonstrated architecture.</w:t>
      </w:r>
    </w:p>
    <w:p>
      <w:r>
        <w:t>Preferred target: one paid synthesis call per uncached user question. First attempt to remove the LLM numeric-observation selector from the live path and replace it with a deterministic compact numeric-candidate projection based on already-grounded availability, recency, unit validity, and evidence sufficiency. The synthesis model may then decide whether any candidate deserves mention.</w:t>
      </w:r>
    </w:p>
    <w:p>
      <w:r>
        <w:t>Use low reasoning effort for the live configuration unless a concrete quality failure demonstrates a need for more. Make the model and reasoning effort configurable through environment settings rather than hard-coding the evaluation configuration.</w:t>
      </w:r>
    </w:p>
    <w:p>
      <w:r>
        <w:t>Build a compact LLM-facing evidence projection. The complete deterministic evidence remains authoritative and available for provenance/inspection, but the model should receive only the fields needed to answer the selected intent. Do not send large raw histories or redundant evidence structures simply because they exist.</w:t>
      </w:r>
    </w:p>
    <w:p>
      <w:r>
        <w:t>Cache final synthesis by patient, patient-relative anchor date, intent, and synthesis/configuration version. Repeated requests for an unchanged synthetic patient and intent should not incur another paid model call.</w:t>
      </w:r>
    </w:p>
    <w:p>
      <w:r>
        <w:t>Add lightweight usage observability: model, reasoning effort, elapsed time, input/output token counts when exposed by the API/client, and cache hit/miss. Do not build an elaborate billing system.</w:t>
      </w:r>
    </w:p>
    <w:p>
      <w:r>
        <w:rPr>
          <w:b/>
          <w:sz w:val="26"/>
        </w:rPr>
        <w:t>5. Live application behavior</w:t>
      </w:r>
    </w:p>
    <w:p>
      <w:r>
        <w:t>Selecting or browsing a patient should perform deterministic work only and should not incur LLM cost. Paid inference should occur only when the user explicitly requests CURRENT_STATE or TRAJECTORY synthesis. The application supports those two intents only. Care-plan generation remains out of scope.</w:t>
      </w:r>
    </w:p>
    <w:p>
      <w:r>
        <w:t>The UI should make the answer useful first and the architecture inspectable second: show the concise synthesis, its evidence references, and expandable supporting deterministic evidence. A simple patient summary/timeline is desirable if it can be implemented without creating a new modeling project.</w:t>
      </w:r>
    </w:p>
    <w:p>
      <w:r>
        <w:rPr>
          <w:b/>
          <w:sz w:val="26"/>
        </w:rPr>
        <w:t>6. Streamlit scope</w:t>
      </w:r>
    </w:p>
    <w:p>
      <w:r>
        <w:t>Build a small polished Streamlit application with: a patient selector; clear synthetic-data/not-for-clinical-care labeling; buttons or controls for the two supported questions; concise generated synthesis; visible/expandable evidence references; supporting deterministic evidence; loading/error states; and basic cost/usage information for the current synthesis when available.</w:t>
      </w:r>
    </w:p>
    <w:p>
      <w:r>
        <w:t>Avoid unnecessary product scope. No authentication, multi-user state, care-plan workflow, guideline engine, production PHI controls, elaborate dashboard suite, or multi-agent UI is required for this exercise.</w:t>
      </w:r>
    </w:p>
    <w:p>
      <w:r>
        <w:rPr>
          <w:b/>
          <w:sz w:val="26"/>
        </w:rPr>
        <w:t>7. Repository cleanup</w:t>
      </w:r>
    </w:p>
    <w:p>
      <w:r>
        <w:t>Before or alongside UI integration, remove or quarantine obsolete exploratory scripts and temporary experiment residue, while preserving useful evaluation scripts as reproducibility examples. Update README.md so it reflects the implemented architecture rather than the early deterministic-only checkpoint. Keep the package structure understandable, configuration explicit, and local Synthea data uncommitted. Do not perform broad renames or semantic refactors solely for aesthetic consistency.</w:t>
      </w:r>
    </w:p>
    <w:p>
      <w:r>
        <w:rPr>
          <w:b/>
          <w:sz w:val="26"/>
        </w:rPr>
        <w:t>8. Final validation strategy</w:t>
      </w:r>
    </w:p>
    <w:p>
      <w:r>
        <w:t>Do not repeat the expensive 10-patient Sol/medium benchmark as a routine gate. That completed run is the frozen quality baseline. For shipping, use the automated test suite plus a small live smoke test on a few representative synthetic patients (for example: complex, sparse, and acute/high-change) and both intents as needed. The purpose is to verify integration, latency, cost, and obvious regressions - not to re-prove the research findings.</w:t>
      </w:r>
    </w:p>
    <w:p>
      <w:r>
        <w:rPr>
          <w:b/>
          <w:sz w:val="26"/>
        </w:rPr>
        <w:t>9. Portfolio finish</w:t>
      </w:r>
    </w:p>
    <w:p>
      <w:r>
        <w:t>The final repository should explain the problem, architecture, deterministic/LLM boundary, provenance and uncertainty guardrails, supported intents, evaluation result, cost-conscious production path, setup instructions, and limitations. Include an architecture diagram and Streamlit screenshots once the UI is stable. Explicitly state that the project uses synthetic Synthea data and is not intended for real patient information or clinical decision-making.</w:t>
      </w:r>
    </w:p>
    <w:p>
      <w:r>
        <w:rPr>
          <w:b/>
          <w:sz w:val="26"/>
        </w:rPr>
        <w:t>10. Deferred / intentionally out of scope</w:t>
      </w:r>
    </w:p>
    <w:p>
      <w:r>
        <w:t>Defer further prompt tuning, LLM-as-judge evaluation, larger cohorts, repeated stochastic evaluation, clinician adjudication, stable evidence-ID redesign, sophisticated model-ablation studies, deterministic clinical severity scoring, care-plan generation, and broad schema redesign. Revisit only if needed for a concrete portfolio/demo problem.</w:t>
      </w:r>
    </w:p>
    <w:p>
      <w:r>
        <w:rPr>
          <w:b/>
          <w:sz w:val="26"/>
        </w:rPr>
        <w:t>11. Immediate implementation sequence</w:t>
      </w:r>
    </w:p>
    <w:p>
      <w:r>
        <w:t>1) Simplify the live inference path for cost: compact evidence projection, low-reasoning configurable synthesis, caching, and preferably removal of the selector LLM from the live path.</w:t>
        <w:br/>
        <w:t>2) Add lightweight token/latency/cache observability and progress visibility for any remaining paid evaluation/smoke scripts.</w:t>
        <w:br/>
        <w:t>3) Clean the repository and update README/documentation.</w:t>
        <w:br/>
        <w:t>4) Build the Streamlit interface around CURRENT_STATE and TRAJECTORY.</w:t>
        <w:br/>
        <w:t>5) Run the automated tests and a small representative live smoke test.</w:t>
        <w:br/>
        <w:t>6) Add screenshots/architecture documentation and declare the portfolio project complete.</w:t>
      </w:r>
    </w:p>
    <w:p/>
    <w:p>
      <w:r>
        <w:rPr>
          <w:b/>
        </w:rPr>
        <w:t xml:space="preserve">Supersession note: </w:t>
      </w:r>
      <w:r>
        <w:t>This 2026-09-13 shipping update supersedes earlier roadmap statements in this handoff that describe medication, procedures, agent integration, evaluation, or Streamlit as future work. Those earlier sections remain as historical development context.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Clinical Evidence Agent - Design &amp; Handoff - 2026-09-12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