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 for Evaluating BERTopic Models</w:t>
      </w:r>
    </w:p>
    <w:p>
      <w:pPr>
        <w:pStyle w:val="Author"/>
      </w:pPr>
      <w:r>
        <w:t xml:space="preserve">J. van der Pol</w:t>
      </w:r>
    </w:p>
    <w:p>
      <w:pPr>
        <w:pStyle w:val="Date"/>
      </w:pPr>
      <w:r>
        <w:t xml:space="preserve">2025-09-11</w:t>
      </w:r>
    </w:p>
    <w:bookmarkStart w:id="18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11" w:name="topic-coherence"/>
    <w:p>
      <w:pPr>
        <w:pStyle w:val="Heading2"/>
      </w:pPr>
      <w:r>
        <w:t xml:space="preserve">Topic Coherence</w:t>
      </w:r>
    </w:p>
    <w:bookmarkStart w:id="9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 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9"/>
    <w:bookmarkStart w:id="10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 “conditioning” 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 -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 -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12"/>
    <w:bookmarkStart w:id="13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13"/>
    <w:bookmarkStart w:id="14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 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14"/>
    <w:bookmarkStart w:id="15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 “better”—aim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15"/>
    <w:bookmarkStart w:id="16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t xml:space="preserve">). 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16"/>
    <w:bookmarkStart w:id="17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2026-05-15T15:35:27Z</dcterms:created>
  <dcterms:modified xsi:type="dcterms:W3CDTF">2026-05-15T15:35:27Z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format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