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 for Evaluating BERTopic Models</w:t>
      </w:r>
    </w:p>
    <w:p>
      <w:pPr>
        <w:pStyle w:val="Author"/>
      </w:pPr>
      <w:r>
        <w:t xml:space="preserve">J. van der Pol</w:t>
      </w:r>
    </w:p>
    <w:p>
      <w:pPr>
        <w:pStyle w:val="Date"/>
      </w:pPr>
      <w:r>
        <w:t xml:space="preserve">2025-09-11</w:t>
      </w:r>
    </w:p>
    <w:bookmarkStart w:id="18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11" w:name="topic-coherence"/>
    <w:p>
      <w:pPr>
        <w:pStyle w:val="Heading2"/>
      </w:pPr>
      <w:r>
        <w:t xml:space="preserve">Topic Coherence</w:t>
      </w:r>
    </w:p>
    <w:bookmarkStart w:id="9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 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9"/>
    <w:bookmarkStart w:id="10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 “conditioning” 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 -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 -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12"/>
    <w:bookmarkStart w:id="13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13"/>
    <w:bookmarkStart w:id="14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 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14"/>
    <w:bookmarkStart w:id="15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 “better”—aim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15"/>
    <w:bookmarkStart w:id="16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t xml:space="preserve">). 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16"/>
    <w:bookmarkStart w:id="17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2026-07-19T12:39:58Z</dcterms:created>
  <dcterms:modified xsi:type="dcterms:W3CDTF">2026-07-19T12:39:58Z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format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