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 for Evaluating BERTopic Models</w:t>
      </w:r>
    </w:p>
    <w:p>
      <w:pPr>
        <w:pStyle w:val="Author"/>
      </w:pPr>
      <w:r>
        <w:t xml:space="preserve">J. van der Pol</w:t>
      </w:r>
    </w:p>
    <w:p>
      <w:pPr>
        <w:pStyle w:val="Date"/>
      </w:pPr>
      <w:r>
        <w:t xml:space="preserve">2025-09-11</w:t>
      </w:r>
    </w:p>
    <w:bookmarkStart w:id="18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11" w:name="topic-coherence"/>
    <w:p>
      <w:pPr>
        <w:pStyle w:val="Heading2"/>
      </w:pPr>
      <w:r>
        <w:t xml:space="preserve">Topic Coherence</w:t>
      </w:r>
    </w:p>
    <w:bookmarkStart w:id="9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 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9"/>
    <w:bookmarkStart w:id="10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 “conditioning” 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 -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 -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12"/>
    <w:bookmarkStart w:id="13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13"/>
    <w:bookmarkStart w:id="14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 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14"/>
    <w:bookmarkStart w:id="15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 “better”—aim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15"/>
    <w:bookmarkStart w:id="16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t xml:space="preserve">). 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16"/>
    <w:bookmarkStart w:id="17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2026-08-17T21:44:49Z</dcterms:created>
  <dcterms:modified xsi:type="dcterms:W3CDTF">2026-08-17T21:44:49Z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ormat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