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019D" w14:textId="7C52A575" w:rsidR="00292FD1" w:rsidRPr="005425ED" w:rsidRDefault="00292FD1" w:rsidP="00292FD1">
      <w:pPr>
        <w:spacing w:after="20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Table 2</w:t>
      </w:r>
      <w:r w:rsidRPr="005425E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. </w:t>
      </w:r>
      <w:r w:rsidR="003D5444" w:rsidRPr="005425E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Top</w:t>
      </w:r>
      <w:r w:rsidR="00724C18" w:rsidRPr="005425E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o</w:t>
      </w:r>
      <w:r w:rsidR="003D5444" w:rsidRPr="005425E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logical congruence betwee</w:t>
      </w:r>
      <w:r w:rsidR="00724C18" w:rsidRPr="005425E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n phylogenies inferred under different analytical approaches. </w:t>
      </w:r>
      <w:r w:rsidR="00A0562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The </w:t>
      </w:r>
      <w:r w:rsidR="00C630E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Robinson</w:t>
      </w:r>
      <w:r w:rsidR="00A0562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-</w:t>
      </w:r>
      <w:proofErr w:type="spellStart"/>
      <w:r w:rsidR="00C630E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Foulds</w:t>
      </w:r>
      <w:proofErr w:type="spellEnd"/>
      <w:r w:rsidR="00C630E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A0562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distance is normalised so that “0</w:t>
      </w:r>
      <w:r w:rsidR="00D50AC5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.0</w:t>
      </w:r>
      <w:r w:rsidR="00A0562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” minimises distance (i.e., maximises </w:t>
      </w:r>
      <w:r w:rsidR="001100B7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congruence</w:t>
      </w:r>
      <w:r w:rsidR="00A0562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)</w:t>
      </w:r>
      <w:r w:rsidR="001100B7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and “1</w:t>
      </w:r>
      <w:r w:rsidR="00D50AC5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.0</w:t>
      </w:r>
      <w:r w:rsidR="001100B7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” maximises distance (i.e., minimises congruence).</w:t>
      </w:r>
      <w:r w:rsidR="00A0562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5425ED" w:rsidRPr="005425E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The p</w:t>
      </w:r>
      <w:r w:rsidR="003D5444" w:rsidRPr="005425E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roportion of </w:t>
      </w:r>
      <w:r w:rsidR="005425E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common nodes is estimated relative to the </w:t>
      </w:r>
      <w:r w:rsidR="009609F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maximum number of possible nodes for the </w:t>
      </w:r>
      <w:r w:rsidR="00C630E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smallest </w:t>
      </w:r>
      <w:r w:rsidR="009609F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tree </w:t>
      </w:r>
      <w:r w:rsidR="00C630E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 each pairwise comparison.</w:t>
      </w:r>
      <w:r w:rsidR="0059131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Pairwise comparisons </w:t>
      </w:r>
      <w:r w:rsidR="0032735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against the reference topologies (under equal weighting and no dependencies</w:t>
      </w:r>
      <w:r w:rsidR="007A678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; “</w:t>
      </w:r>
      <w:proofErr w:type="spellStart"/>
      <w:r w:rsidR="007A678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ew-nondep</w:t>
      </w:r>
      <w:proofErr w:type="spellEnd"/>
      <w:r w:rsidR="007A678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”</w:t>
      </w:r>
      <w:r w:rsidR="0032735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) </w:t>
      </w:r>
      <w:r w:rsidR="0059131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entail topologies inferred with dependencies </w:t>
      </w:r>
      <w:r w:rsidR="0032735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included under</w:t>
      </w:r>
      <w:r w:rsidR="007A678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:</w:t>
      </w:r>
      <w:r w:rsidR="0032735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equal weighting</w:t>
      </w:r>
      <w:r w:rsidR="007A678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(“</w:t>
      </w:r>
      <w:proofErr w:type="spellStart"/>
      <w:r w:rsidR="007A678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ew</w:t>
      </w:r>
      <w:proofErr w:type="spellEnd"/>
      <w:r w:rsidR="007A678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-dep”), extended implied weighting </w:t>
      </w:r>
      <w:r w:rsidR="00CF2BD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with concavity 5 (“k5-dep”), concavity 10 (“k10-dep”)</w:t>
      </w:r>
      <w:r w:rsidR="00BC5B2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concavity 15 (“k15-dep”) and concavity 20 (“k20-dep”).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2FD1" w14:paraId="5B8E2665" w14:textId="77777777" w:rsidTr="00292FD1">
        <w:trPr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6E00AE23" w14:textId="77777777" w:rsidR="00292FD1" w:rsidRDefault="00292FD1" w:rsidP="00F45A5D">
            <w:pPr>
              <w:spacing w:after="2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Comparison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2B256735" w14:textId="77777777" w:rsidR="00292FD1" w:rsidRDefault="00292FD1" w:rsidP="00F45A5D">
            <w:pPr>
              <w:spacing w:after="2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RF distance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54F524B5" w14:textId="77777777" w:rsidR="00292FD1" w:rsidRDefault="00292FD1" w:rsidP="00F45A5D">
            <w:pPr>
              <w:spacing w:after="20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Proportion of common nodes</w:t>
            </w:r>
          </w:p>
        </w:tc>
      </w:tr>
      <w:tr w:rsidR="00292FD1" w:rsidRPr="00D7613A" w14:paraId="57BC06EE" w14:textId="77777777" w:rsidTr="00292FD1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763C715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>ew-nondep</w:t>
            </w:r>
            <w:proofErr w:type="spellEnd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 xml:space="preserve"> vs </w:t>
            </w:r>
            <w:proofErr w:type="spellStart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>ew</w:t>
            </w:r>
            <w:proofErr w:type="spellEnd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>-dep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9D95B07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613A">
              <w:rPr>
                <w:rFonts w:ascii="Arial" w:eastAsia="Times New Roman" w:hAnsi="Arial" w:cs="Arial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285F2B0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613A">
              <w:rPr>
                <w:rFonts w:ascii="Arial" w:eastAsia="Times New Roman" w:hAnsi="Arial" w:cs="Arial"/>
                <w:sz w:val="20"/>
                <w:szCs w:val="20"/>
              </w:rPr>
              <w:t>0.45</w:t>
            </w:r>
          </w:p>
        </w:tc>
      </w:tr>
      <w:tr w:rsidR="00292FD1" w:rsidRPr="00D7613A" w14:paraId="7FCEB019" w14:textId="77777777" w:rsidTr="00292FD1">
        <w:trPr>
          <w:trHeight w:val="315"/>
          <w:jc w:val="center"/>
        </w:trPr>
        <w:tc>
          <w:tcPr>
            <w:tcW w:w="0" w:type="auto"/>
            <w:hideMark/>
          </w:tcPr>
          <w:p w14:paraId="6362ACC1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>ew-nondep</w:t>
            </w:r>
            <w:proofErr w:type="spellEnd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 xml:space="preserve"> vs k5-dep</w:t>
            </w:r>
          </w:p>
        </w:tc>
        <w:tc>
          <w:tcPr>
            <w:tcW w:w="0" w:type="auto"/>
            <w:hideMark/>
          </w:tcPr>
          <w:p w14:paraId="5B8A4F37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613A"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</w:p>
        </w:tc>
        <w:tc>
          <w:tcPr>
            <w:tcW w:w="0" w:type="auto"/>
            <w:hideMark/>
          </w:tcPr>
          <w:p w14:paraId="640DC86B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613A">
              <w:rPr>
                <w:rFonts w:ascii="Arial" w:eastAsia="Times New Roman" w:hAnsi="Arial" w:cs="Arial"/>
                <w:sz w:val="20"/>
                <w:szCs w:val="20"/>
              </w:rPr>
              <w:t>0.17</w:t>
            </w:r>
          </w:p>
        </w:tc>
      </w:tr>
      <w:tr w:rsidR="00292FD1" w:rsidRPr="00D7613A" w14:paraId="2D4CFE4E" w14:textId="77777777" w:rsidTr="00292FD1">
        <w:trPr>
          <w:trHeight w:val="315"/>
          <w:jc w:val="center"/>
        </w:trPr>
        <w:tc>
          <w:tcPr>
            <w:tcW w:w="0" w:type="auto"/>
            <w:hideMark/>
          </w:tcPr>
          <w:p w14:paraId="37469942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>ew-nondep</w:t>
            </w:r>
            <w:proofErr w:type="spellEnd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 xml:space="preserve"> vs k10-dep</w:t>
            </w:r>
          </w:p>
        </w:tc>
        <w:tc>
          <w:tcPr>
            <w:tcW w:w="0" w:type="auto"/>
            <w:hideMark/>
          </w:tcPr>
          <w:p w14:paraId="2A723B4A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613A">
              <w:rPr>
                <w:rFonts w:ascii="Arial" w:eastAsia="Times New Roman" w:hAnsi="Arial" w:cs="Arial"/>
                <w:sz w:val="20"/>
                <w:szCs w:val="20"/>
              </w:rPr>
              <w:t>0.76</w:t>
            </w:r>
          </w:p>
        </w:tc>
        <w:tc>
          <w:tcPr>
            <w:tcW w:w="0" w:type="auto"/>
            <w:hideMark/>
          </w:tcPr>
          <w:p w14:paraId="7B595634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613A">
              <w:rPr>
                <w:rFonts w:ascii="Arial" w:eastAsia="Times New Roman" w:hAnsi="Arial" w:cs="Arial"/>
                <w:sz w:val="20"/>
                <w:szCs w:val="20"/>
              </w:rPr>
              <w:t>0.28</w:t>
            </w:r>
          </w:p>
        </w:tc>
      </w:tr>
      <w:tr w:rsidR="00292FD1" w:rsidRPr="00D7613A" w14:paraId="52B48E5C" w14:textId="77777777" w:rsidTr="00292FD1">
        <w:trPr>
          <w:trHeight w:val="315"/>
          <w:jc w:val="center"/>
        </w:trPr>
        <w:tc>
          <w:tcPr>
            <w:tcW w:w="0" w:type="auto"/>
            <w:hideMark/>
          </w:tcPr>
          <w:p w14:paraId="7DC4C216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>ew-nondep</w:t>
            </w:r>
            <w:proofErr w:type="spellEnd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 xml:space="preserve"> vs k15-dep</w:t>
            </w:r>
          </w:p>
        </w:tc>
        <w:tc>
          <w:tcPr>
            <w:tcW w:w="0" w:type="auto"/>
            <w:hideMark/>
          </w:tcPr>
          <w:p w14:paraId="0056B856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613A">
              <w:rPr>
                <w:rFonts w:ascii="Arial" w:eastAsia="Times New Roman" w:hAnsi="Arial" w:cs="Arial"/>
                <w:sz w:val="20"/>
                <w:szCs w:val="20"/>
              </w:rPr>
              <w:t>0.79</w:t>
            </w:r>
          </w:p>
        </w:tc>
        <w:tc>
          <w:tcPr>
            <w:tcW w:w="0" w:type="auto"/>
            <w:hideMark/>
          </w:tcPr>
          <w:p w14:paraId="19EA75C4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613A">
              <w:rPr>
                <w:rFonts w:ascii="Arial" w:eastAsia="Times New Roman" w:hAnsi="Arial" w:cs="Arial"/>
                <w:sz w:val="20"/>
                <w:szCs w:val="20"/>
              </w:rPr>
              <w:t>0.23</w:t>
            </w:r>
          </w:p>
        </w:tc>
      </w:tr>
      <w:tr w:rsidR="00292FD1" w:rsidRPr="00D7613A" w14:paraId="074DB3C8" w14:textId="77777777" w:rsidTr="00292FD1">
        <w:trPr>
          <w:trHeight w:val="315"/>
          <w:jc w:val="center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3C6436E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>ew-nondep</w:t>
            </w:r>
            <w:proofErr w:type="spellEnd"/>
            <w:r w:rsidRPr="00D7613A">
              <w:rPr>
                <w:rFonts w:ascii="Arial" w:eastAsia="Times New Roman" w:hAnsi="Arial" w:cs="Arial"/>
                <w:sz w:val="20"/>
                <w:szCs w:val="20"/>
              </w:rPr>
              <w:t xml:space="preserve"> vs k20-dep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815C77A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613A">
              <w:rPr>
                <w:rFonts w:ascii="Arial" w:eastAsia="Times New Roman" w:hAnsi="Arial" w:cs="Arial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692582F" w14:textId="77777777" w:rsidR="00292FD1" w:rsidRPr="00D7613A" w:rsidRDefault="00292FD1" w:rsidP="00F45A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613A">
              <w:rPr>
                <w:rFonts w:ascii="Arial" w:eastAsia="Times New Roman" w:hAnsi="Arial" w:cs="Arial"/>
                <w:sz w:val="20"/>
                <w:szCs w:val="20"/>
              </w:rPr>
              <w:t>0.31</w:t>
            </w:r>
          </w:p>
        </w:tc>
      </w:tr>
    </w:tbl>
    <w:p w14:paraId="4AF6B5AE" w14:textId="77777777" w:rsidR="00292FD1" w:rsidRDefault="00292FD1" w:rsidP="00292FD1">
      <w:pPr>
        <w:spacing w:after="20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1C9FC7A1" w14:textId="77777777" w:rsidR="00292FD1" w:rsidRDefault="00292FD1"/>
    <w:sectPr w:rsidR="0029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D1"/>
    <w:rsid w:val="001100B7"/>
    <w:rsid w:val="00292FD1"/>
    <w:rsid w:val="00327354"/>
    <w:rsid w:val="003D5444"/>
    <w:rsid w:val="005425ED"/>
    <w:rsid w:val="0059131D"/>
    <w:rsid w:val="00724C18"/>
    <w:rsid w:val="007A678B"/>
    <w:rsid w:val="009609F8"/>
    <w:rsid w:val="00A05623"/>
    <w:rsid w:val="00B30752"/>
    <w:rsid w:val="00BC5B2F"/>
    <w:rsid w:val="00C630E6"/>
    <w:rsid w:val="00CF2BDA"/>
    <w:rsid w:val="00D5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13B45"/>
  <w15:chartTrackingRefBased/>
  <w15:docId w15:val="{86178F5F-3CAE-414A-A25D-ECBC1289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D1"/>
    <w:pPr>
      <w:spacing w:after="0" w:line="240" w:lineRule="auto"/>
    </w:pPr>
    <w:rPr>
      <w:rFonts w:ascii="Calibri" w:eastAsia="Calibri" w:hAnsi="Calibri" w:cs="Calibri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FD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FD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FD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FD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FD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FD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FD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FD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FD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F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D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FD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2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FD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F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2FD1"/>
    <w:pPr>
      <w:spacing w:after="0" w:line="240" w:lineRule="auto"/>
    </w:pPr>
    <w:rPr>
      <w:rFonts w:ascii="Calibri" w:eastAsia="Calibri" w:hAnsi="Calibri" w:cs="Calibri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2</cp:revision>
  <dcterms:created xsi:type="dcterms:W3CDTF">2024-03-25T01:49:00Z</dcterms:created>
  <dcterms:modified xsi:type="dcterms:W3CDTF">2024-03-25T01:49:00Z</dcterms:modified>
</cp:coreProperties>
</file>