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7F1"/>
  <w:body>
    <w:p>
      <w:pPr>
        <w:spacing w:before="2000"/>
      </w:pPr>
    </w:p>
    <w:p>
      <w:pPr>
        <w:spacing w:after="200"/>
        <w:jc w:val="center"/>
      </w:pPr>
      <w:r>
        <w:rPr>
          <w:rFonts w:ascii="Georgia" w:cs="Georgia" w:eastAsia="Georgia" w:hAnsi="Georgia"/>
          <w:b/>
          <w:bCs/>
          <w:color w:val="CC785C"/>
          <w:sz w:val="28"/>
          <w:szCs w:val="28"/>
        </w:rPr>
        <w:t xml:space="preserve">CLAUDE AGENCY</w:t>
      </w:r>
    </w:p>
    <w:p>
      <w:pPr>
        <w:spacing w:after="120"/>
        <w:jc w:val="center"/>
      </w:pPr>
      <w:r>
        <w:rPr>
          <w:rFonts w:ascii="Georgia" w:cs="Georgia" w:eastAsia="Georgia" w:hAnsi="Georgia"/>
          <w:b/>
          <w:bCs/>
          <w:color w:val="2B2724"/>
          <w:sz w:val="56"/>
          <w:szCs w:val="56"/>
        </w:rPr>
        <w:t xml:space="preserve">Stratégie d'outreach LinkedIn</w:t>
      </w:r>
    </w:p>
    <w:p>
      <w:pPr>
        <w:spacing w:after="400"/>
        <w:jc w:val="center"/>
      </w:pPr>
      <w:r>
        <w:rPr>
          <w:rFonts w:ascii="Georgia" w:cs="Georgia" w:eastAsia="Georgia" w:hAnsi="Georgia"/>
          <w:color w:val="2B2724"/>
          <w:sz w:val="32"/>
          <w:szCs w:val="32"/>
        </w:rPr>
        <w:t xml:space="preserve">Organismes de formation francophones certifiés Qualiopi</w:t>
      </w:r>
    </w:p>
    <w:p>
      <w:pPr>
        <w:pBdr>
          <w:top w:val="single" w:color="CC785C" w:sz="6" w:space="8"/>
        </w:pBdr>
        <w:spacing w:after="400"/>
        <w:jc w:val="center"/>
      </w:pPr>
    </w:p>
    <w:p>
      <w:pPr>
        <w:spacing w:after="100"/>
        <w:jc w:val="center"/>
      </w:pPr>
      <w:r>
        <w:rPr>
          <w:rFonts w:ascii="Georgia" w:cs="Georgia" w:eastAsia="Georgia" w:hAnsi="Georgia"/>
          <w:i/>
          <w:iCs/>
          <w:color w:val="2B2724"/>
          <w:sz w:val="24"/>
          <w:szCs w:val="24"/>
        </w:rPr>
        <w:t xml:space="preserve">Document de travail interne — 10 étapes, prêt à exécuter</w:t>
      </w:r>
    </w:p>
    <w:p>
      <w:pPr>
        <w:jc w:val="center"/>
      </w:pPr>
      <w:r>
        <w:rPr>
          <w:rFonts w:ascii="Georgia" w:cs="Georgia" w:eastAsia="Georgia" w:hAnsi="Georgia"/>
          <w:color w:val="2B2724"/>
          <w:sz w:val="22"/>
          <w:szCs w:val="22"/>
        </w:rPr>
        <w:t xml:space="preserve">25 juin 2026</w:t>
      </w:r>
    </w:p>
    <w:p>
      <w:r>
        <w:br w:type="page"/>
      </w:r>
    </w:p>
    <w:p>
      <w:pPr>
        <w:pStyle w:val="Heading1"/>
        <w:pBdr>
          <w:bottom w:val="single" w:color="CC785C" w:sz="6" w:space="4"/>
        </w:pBdr>
        <w:spacing w:after="200" w:before="360"/>
      </w:pPr>
      <w:r>
        <w:rPr>
          <w:b/>
          <w:bCs/>
          <w:color w:val="CC785C"/>
        </w:rPr>
        <w:t xml:space="preserve">Objectif du document</w:t>
      </w:r>
    </w:p>
    <w:p>
      <w:pPr>
        <w:spacing w:after="160"/>
      </w:pPr>
      <w:r>
        <w:rPr>
          <w:b w:val="false"/>
          <w:bCs w:val="false"/>
          <w:i w:val="false"/>
          <w:iCs w:val="false"/>
          <w:color w:val="2B2724"/>
        </w:rPr>
        <w:t xml:space="preserve">Ce document cadre une stratégie d'outreach LinkedIn complète pour Claude Agency, destinée à générer des rendez-vous qualifiés (audits IA offerts) auprès des dirigeants et responsables d'organismes de formation francophones certifiés Qualiopi. Il est conçu pour être exécuté sans modification majeure : chaque étape contient les choix recommandés, les garde-fous obligatoires et les éléments prêts à l'emploi (messages, quotas, critères de ciblage).</w:t>
      </w:r>
    </w:p>
    <w:p>
      <w:pPr>
        <w:spacing w:after="160"/>
      </w:pPr>
      <w:r>
        <w:rPr>
          <w:b w:val="false"/>
          <w:bCs w:val="false"/>
          <w:i/>
          <w:iCs/>
          <w:color w:val="2B2724"/>
        </w:rPr>
        <w:t xml:space="preserve">Indicateur de succès prioritaire : nombre de rendez-vous qualifiés obtenus par mois. Les autres indicateurs (invitations envoyées, taux d'acceptation, taux de réponse) sont des leviers intermédiaires, pas des objectifs en soi.</w:t>
      </w:r>
    </w:p>
    <w:p>
      <w:pPr>
        <w:pStyle w:val="Heading1"/>
        <w:pBdr>
          <w:bottom w:val="single" w:color="CC785C" w:sz="6" w:space="4"/>
        </w:pBdr>
        <w:spacing w:after="200" w:before="360"/>
      </w:pPr>
      <w:r>
        <w:rPr>
          <w:b/>
          <w:bCs/>
          <w:color w:val="CC785C"/>
        </w:rPr>
        <w:t xml:space="preserve">Étape 1 — Objectif et indicateur de pilotage</w:t>
      </w:r>
    </w:p>
    <w:p>
      <w:pPr>
        <w:spacing w:after="160"/>
      </w:pPr>
      <w:r>
        <w:rPr>
          <w:b w:val="false"/>
          <w:bCs w:val="false"/>
          <w:i w:val="false"/>
          <w:iCs w:val="false"/>
          <w:color w:val="2B2724"/>
        </w:rPr>
        <w:t xml:space="preserve">Objectif mesurable retenu : générer des rendez-vous qualifiés (audit IA offert de 30 minutes) avec des décideurs d'organismes de formation Qualiopi.</w:t>
      </w:r>
    </w:p>
    <w:p>
      <w:pPr>
        <w:pStyle w:val="Heading2"/>
        <w:spacing w:after="120" w:before="240"/>
      </w:pPr>
      <w:r>
        <w:rPr>
          <w:b/>
          <w:bCs/>
          <w:color w:val="2B2724"/>
        </w:rPr>
        <w:t xml:space="preserve">Cible de référence (à ajuster après 60 jours de données réelles)</w:t>
      </w:r>
    </w:p>
    <w:p>
      <w:pPr>
        <w:pStyle w:val="ListParagraph"/>
        <w:numPr>
          <w:ilvl w:val="0"/>
          <w:numId w:val="2"/>
        </w:numPr>
        <w:spacing w:after="80"/>
      </w:pPr>
      <w:r>
        <w:rPr>
          <w:b w:val="false"/>
          <w:bCs w:val="false"/>
          <w:color w:val="2B2724"/>
        </w:rPr>
        <w:t xml:space="preserve">Rythme de croisière visé : 5 à 10 RDV qualifiés par mois.</w:t>
      </w:r>
    </w:p>
    <w:p>
      <w:pPr>
        <w:pStyle w:val="ListParagraph"/>
        <w:numPr>
          <w:ilvl w:val="0"/>
          <w:numId w:val="2"/>
        </w:numPr>
        <w:spacing w:after="80"/>
      </w:pPr>
      <w:r>
        <w:rPr>
          <w:b w:val="false"/>
          <w:bCs w:val="false"/>
          <w:color w:val="2B2724"/>
        </w:rPr>
        <w:t xml:space="preserve">Pour y arriver : environ 400 à 500 invitations envoyées par mois, taux d'acceptation visé 25–35 %, taux de réponse au premier message visé 10–20 %.</w:t>
      </w:r>
    </w:p>
    <w:p>
      <w:pPr>
        <w:pStyle w:val="ListParagraph"/>
        <w:numPr>
          <w:ilvl w:val="0"/>
          <w:numId w:val="2"/>
        </w:numPr>
        <w:spacing w:after="80"/>
      </w:pPr>
      <w:r>
        <w:rPr>
          <w:b w:val="false"/>
          <w:bCs w:val="false"/>
          <w:color w:val="2B2724"/>
        </w:rPr>
        <w:t xml:space="preserve">Ces chiffres sont des hypothèses de démarrage, pas des promesses : le pilotage (étape 9) servira à les corriger.</w:t>
      </w:r>
    </w:p>
    <w:p>
      <w:pPr>
        <w:pStyle w:val="Heading1"/>
        <w:pBdr>
          <w:bottom w:val="single" w:color="CC785C" w:sz="6" w:space="4"/>
        </w:pBdr>
        <w:spacing w:after="200" w:before="360"/>
      </w:pPr>
      <w:r>
        <w:rPr>
          <w:b/>
          <w:bCs/>
          <w:color w:val="CC785C"/>
        </w:rPr>
        <w:t xml:space="preserve">Étape 2 — Cadre légal : CGU LinkedIn et RGPD/CNIL</w:t>
      </w:r>
    </w:p>
    <w:p>
      <w:pPr>
        <w:spacing w:after="160"/>
      </w:pPr>
      <w:r>
        <w:rPr>
          <w:b w:val="false"/>
          <w:bCs w:val="false"/>
          <w:i w:val="false"/>
          <w:iCs w:val="false"/>
          <w:color w:val="2B2724"/>
        </w:rPr>
        <w:t xml:space="preserve">Cette étape est non négociable : elle protège le compte LinkedIn utilisé et l'entreprise contre un bannissement ou une sanction CNIL.</w:t>
      </w:r>
    </w:p>
    <w:p>
      <w:pPr>
        <w:pStyle w:val="Heading2"/>
        <w:spacing w:after="120" w:before="240"/>
      </w:pPr>
      <w:r>
        <w:rPr>
          <w:b/>
          <w:bCs/>
          <w:color w:val="2B2724"/>
        </w:rPr>
        <w:t xml:space="preserve">Ce que les CGU LinkedIn interdisent</w:t>
      </w:r>
    </w:p>
    <w:p>
      <w:pPr>
        <w:pStyle w:val="ListParagraph"/>
        <w:numPr>
          <w:ilvl w:val="0"/>
          <w:numId w:val="2"/>
        </w:numPr>
        <w:spacing w:after="80"/>
      </w:pPr>
      <w:r>
        <w:rPr>
          <w:b w:val="false"/>
          <w:bCs w:val="false"/>
          <w:color w:val="2B2724"/>
        </w:rPr>
        <w:t xml:space="preserve">L'utilisation de bots ou de méthodes automatisées pour accéder au service, ajouter des contacts ou envoyer des messages (article 8.2 des conditions d'utilisation LinkedIn).</w:t>
      </w:r>
    </w:p>
    <w:p>
      <w:pPr>
        <w:pStyle w:val="ListParagraph"/>
        <w:numPr>
          <w:ilvl w:val="0"/>
          <w:numId w:val="2"/>
        </w:numPr>
        <w:spacing w:after="80"/>
      </w:pPr>
      <w:r>
        <w:rPr>
          <w:b w:val="false"/>
          <w:bCs w:val="false"/>
          <w:color w:val="2B2724"/>
        </w:rPr>
        <w:t xml:space="preserve">Le scraping ou la copie de profils par un outil tiers, même à but commercial.</w:t>
      </w:r>
    </w:p>
    <w:p>
      <w:pPr>
        <w:pStyle w:val="ListParagraph"/>
        <w:numPr>
          <w:ilvl w:val="0"/>
          <w:numId w:val="2"/>
        </w:numPr>
        <w:spacing w:after="80"/>
      </w:pPr>
      <w:r>
        <w:rPr>
          <w:b w:val="false"/>
          <w:bCs w:val="false"/>
          <w:color w:val="2B2724"/>
        </w:rPr>
        <w:t xml:space="preserve">Conséquence en cas de détection : restriction temporaire, puis fermeture définitive du compte. LinkedIn a annoncé avoir bloqué 78,2 millions de faux comptes et signalé 23,5 millions de sessions automatisées sur un seul trimestre en 2026 — la détection est active et prise au sérieux.</w:t>
      </w:r>
    </w:p>
    <w:p>
      <w:pPr>
        <w:spacing w:after="160"/>
      </w:pPr>
      <w:r>
        <w:rPr>
          <w:b/>
          <w:bCs/>
          <w:i w:val="false"/>
          <w:iCs w:val="false"/>
          <w:color w:val="2B2724"/>
        </w:rPr>
        <w:t xml:space="preserve">Conclusion pratique : tout outil d'automatisation (Waalaxy, Lemlist, ou autre) s'utilise "à ses risques", en respectant strictement les quotas de l'étape 7. Aucun outil ne rend l'automatisation "autorisée" par LinkedIn — il en réduit seulement le risque de détection.</w:t>
      </w:r>
    </w:p>
    <w:p>
      <w:pPr>
        <w:pStyle w:val="Heading2"/>
        <w:spacing w:after="120" w:before="240"/>
      </w:pPr>
      <w:r>
        <w:rPr>
          <w:b/>
          <w:bCs/>
          <w:color w:val="2B2724"/>
        </w:rPr>
        <w:t xml:space="preserve">Ce que le RGPD et la CNIL autorisent en B2B</w:t>
      </w:r>
    </w:p>
    <w:p>
      <w:pPr>
        <w:pStyle w:val="ListParagraph"/>
        <w:numPr>
          <w:ilvl w:val="0"/>
          <w:numId w:val="2"/>
        </w:numPr>
        <w:spacing w:after="80"/>
      </w:pPr>
      <w:r>
        <w:rPr>
          <w:b w:val="false"/>
          <w:bCs w:val="false"/>
          <w:color w:val="2B2724"/>
        </w:rPr>
        <w:t xml:space="preserve">Base légale : l'intérêt légitime (article 6.1.f du RGPD) permet de contacter un professionnel sans consentement préalable, à condition que le message concerne son activité professionnelle.</w:t>
      </w:r>
    </w:p>
    <w:p>
      <w:pPr>
        <w:pStyle w:val="ListParagraph"/>
        <w:numPr>
          <w:ilvl w:val="0"/>
          <w:numId w:val="2"/>
        </w:numPr>
        <w:spacing w:after="80"/>
      </w:pPr>
      <w:r>
        <w:rPr>
          <w:b w:val="false"/>
          <w:bCs w:val="false"/>
          <w:color w:val="2B2724"/>
        </w:rPr>
        <w:t xml:space="preserve">Obligation d'information dès le premier contact : qui vous êtes, pourquoi vous écrivez, comment se désinscrire.</w:t>
      </w:r>
    </w:p>
    <w:p>
      <w:pPr>
        <w:pStyle w:val="ListParagraph"/>
        <w:numPr>
          <w:ilvl w:val="0"/>
          <w:numId w:val="2"/>
        </w:numPr>
        <w:spacing w:after="80"/>
      </w:pPr>
      <w:r>
        <w:rPr>
          <w:b w:val="false"/>
          <w:bCs w:val="false"/>
          <w:color w:val="2B2724"/>
        </w:rPr>
        <w:t xml:space="preserve">Droit d'opposition : une option claire de désinscription doit être proposée et respectée immédiatement.</w:t>
      </w:r>
    </w:p>
    <w:p>
      <w:pPr>
        <w:pStyle w:val="ListParagraph"/>
        <w:numPr>
          <w:ilvl w:val="0"/>
          <w:numId w:val="2"/>
        </w:numPr>
        <w:spacing w:after="80"/>
      </w:pPr>
      <w:r>
        <w:rPr>
          <w:b w:val="false"/>
          <w:bCs w:val="false"/>
          <w:color w:val="2B2724"/>
        </w:rPr>
        <w:t xml:space="preserve">Durée de conservation des données de prospection : 3 ans à compter du dernier contact, sauf réponse positive.</w:t>
      </w:r>
    </w:p>
    <w:p>
      <w:pPr>
        <w:pStyle w:val="ListParagraph"/>
        <w:numPr>
          <w:ilvl w:val="0"/>
          <w:numId w:val="2"/>
        </w:numPr>
        <w:spacing w:after="80"/>
      </w:pPr>
      <w:r>
        <w:rPr>
          <w:b w:val="false"/>
          <w:bCs w:val="false"/>
          <w:color w:val="2B2724"/>
        </w:rPr>
        <w:t xml:space="preserve">Les données publiques d'un profil LinkedIn peuvent servir à qualifier un prospect, mais leur extraction automatisée reste interdite par les CGU LinkedIn — voir ci-dessus.</w:t>
      </w:r>
    </w:p>
    <w:p>
      <w:pPr>
        <w:spacing w:after="160"/>
      </w:pPr>
      <w:r>
        <w:rPr>
          <w:b w:val="false"/>
          <w:bCs w:val="false"/>
          <w:i/>
          <w:iCs/>
          <w:color w:val="2B2724"/>
        </w:rPr>
        <w:t xml:space="preserve">En résumé : la prospection B2B par DM LinkedIn est légale en France si chaque message est personnalisé, transparent sur son origine, et propose une sortie simple. Aucun fichier de contacts ne doit être conservé plus de 3 ans sans interaction.</w:t>
      </w:r>
    </w:p>
    <w:p>
      <w:pPr>
        <w:pStyle w:val="Heading1"/>
        <w:pBdr>
          <w:bottom w:val="single" w:color="CC785C" w:sz="6" w:space="4"/>
        </w:pBdr>
        <w:spacing w:after="200" w:before="360"/>
      </w:pPr>
      <w:r>
        <w:rPr>
          <w:b/>
          <w:bCs/>
          <w:color w:val="CC785C"/>
        </w:rPr>
        <w:t xml:space="preserve">Étape 3 — Préparer le compte LinkedIn (warm-up)</w:t>
      </w:r>
    </w:p>
    <w:p>
      <w:pPr>
        <w:spacing w:after="160"/>
      </w:pPr>
      <w:r>
        <w:rPr>
          <w:b w:val="false"/>
          <w:bCs w:val="false"/>
          <w:i w:val="false"/>
          <w:iCs w:val="false"/>
          <w:color w:val="2B2724"/>
        </w:rPr>
        <w:t xml:space="preserve">Le compte LinkedIn à utiliser reste à définir avec vous (profil personnel d'un associé Claude Agency recommandé, plutôt qu'une page entreprise — les DM ne partent que de comptes personnels).</w:t>
      </w:r>
    </w:p>
    <w:p>
      <w:pPr>
        <w:pStyle w:val="Heading2"/>
        <w:spacing w:after="120" w:before="240"/>
      </w:pPr>
      <w:r>
        <w:rPr>
          <w:b/>
          <w:bCs/>
          <w:color w:val="2B2724"/>
        </w:rPr>
        <w:t xml:space="preserve">Semaines 1 et 2 — avant toute automatisation</w:t>
      </w:r>
    </w:p>
    <w:p>
      <w:pPr>
        <w:pStyle w:val="ListParagraph"/>
        <w:numPr>
          <w:ilvl w:val="0"/>
          <w:numId w:val="2"/>
        </w:numPr>
        <w:spacing w:after="80"/>
      </w:pPr>
      <w:r>
        <w:rPr>
          <w:b w:val="false"/>
          <w:bCs w:val="false"/>
          <w:color w:val="2B2724"/>
        </w:rPr>
        <w:t xml:space="preserve">Compléter le profil à 100 % : photo professionnelle, titre orienté bénéfice client, résumé tourné vers les organismes de formation.</w:t>
      </w:r>
    </w:p>
    <w:p>
      <w:pPr>
        <w:pStyle w:val="ListParagraph"/>
        <w:numPr>
          <w:ilvl w:val="0"/>
          <w:numId w:val="2"/>
        </w:numPr>
        <w:spacing w:after="80"/>
      </w:pPr>
      <w:r>
        <w:rPr>
          <w:b w:val="false"/>
          <w:bCs w:val="false"/>
          <w:color w:val="2B2724"/>
        </w:rPr>
        <w:t xml:space="preserve">Activité manuelle uniquement : 5 à 10 invitations personnalisées par jour, quelques likes et commentaires pertinents sur des posts d'organismes de formation.</w:t>
      </w:r>
    </w:p>
    <w:p>
      <w:pPr>
        <w:pStyle w:val="ListParagraph"/>
        <w:numPr>
          <w:ilvl w:val="0"/>
          <w:numId w:val="2"/>
        </w:numPr>
        <w:spacing w:after="80"/>
      </w:pPr>
      <w:r>
        <w:rPr>
          <w:b w:val="false"/>
          <w:bCs w:val="false"/>
          <w:color w:val="2B2724"/>
        </w:rPr>
        <w:t xml:space="preserve">Aucun outil tiers connecté pendant cette phase : LinkedIn surveille particulièrement les comptes récents ou peu actifs qui se connectent soudainement à un outil.</w:t>
      </w:r>
    </w:p>
    <w:p>
      <w:pPr>
        <w:pStyle w:val="Heading1"/>
        <w:pBdr>
          <w:bottom w:val="single" w:color="CC785C" w:sz="6" w:space="4"/>
        </w:pBdr>
        <w:spacing w:after="200" w:before="360"/>
      </w:pPr>
      <w:r>
        <w:rPr>
          <w:b/>
          <w:bCs/>
          <w:color w:val="CC785C"/>
        </w:rPr>
        <w:t xml:space="preserve">Étape 4 — Comparatif neutre des outils</w:t>
      </w:r>
    </w:p>
    <w:p>
      <w:pPr>
        <w:spacing w:after="160"/>
      </w:pPr>
      <w:r>
        <w:rPr>
          <w:b w:val="false"/>
          <w:bCs w:val="false"/>
          <w:i w:val="false"/>
          <w:iCs w:val="false"/>
          <w:color w:val="2B2724"/>
        </w:rPr>
        <w:t xml:space="preserve">Présentation neutre, sans recommandation unique : le choix dépendra de votre budget et de votre appétence pour le risque CGU (voir étape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30"/>
        <w:gridCol w:w="2230"/>
      </w:tblGrid>
      <w:tr>
        <w:trPr>
          <w:tblHeader/>
        </w:trPr>
        <w:tc>
          <w:tcPr>
            <w:tcW w:type="dxa" w:w="2300"/>
            <w:shd w:fill="CC785C" w:val="clear"/>
            <w:tcMar>
              <w:top w:type="dxa" w:w="80"/>
              <w:left w:type="dxa" w:w="120"/>
              <w:bottom w:type="dxa" w:w="80"/>
              <w:right w:type="dxa" w:w="120"/>
            </w:tcMar>
          </w:tcPr>
          <w:p>
            <w:r>
              <w:rPr>
                <w:b/>
                <w:bCs/>
                <w:color w:val="FFFFFF"/>
              </w:rPr>
              <w:t xml:space="preserve">Outil</w:t>
            </w:r>
          </w:p>
        </w:tc>
        <w:tc>
          <w:tcPr>
            <w:tcW w:type="dxa" w:w="2300"/>
            <w:shd w:fill="CC785C" w:val="clear"/>
            <w:tcMar>
              <w:top w:type="dxa" w:w="80"/>
              <w:left w:type="dxa" w:w="120"/>
              <w:bottom w:type="dxa" w:w="80"/>
              <w:right w:type="dxa" w:w="120"/>
            </w:tcMar>
          </w:tcPr>
          <w:p>
            <w:r>
              <w:rPr>
                <w:b/>
                <w:bCs/>
                <w:color w:val="FFFFFF"/>
              </w:rPr>
              <w:t xml:space="preserve">Fonctionnement</w:t>
            </w:r>
          </w:p>
        </w:tc>
        <w:tc>
          <w:tcPr>
            <w:tcW w:type="dxa" w:w="2300"/>
            <w:shd w:fill="CC785C" w:val="clear"/>
            <w:tcMar>
              <w:top w:type="dxa" w:w="80"/>
              <w:left w:type="dxa" w:w="120"/>
              <w:bottom w:type="dxa" w:w="80"/>
              <w:right w:type="dxa" w:w="120"/>
            </w:tcMar>
          </w:tcPr>
          <w:p>
            <w:r>
              <w:rPr>
                <w:b/>
                <w:bCs/>
                <w:color w:val="FFFFFF"/>
              </w:rPr>
              <w:t xml:space="preserve">Tarif indicatif 2026</w:t>
            </w:r>
          </w:p>
        </w:tc>
        <w:tc>
          <w:tcPr>
            <w:tcW w:type="dxa" w:w="2300"/>
            <w:shd w:fill="CC785C" w:val="clear"/>
            <w:tcMar>
              <w:top w:type="dxa" w:w="80"/>
              <w:left w:type="dxa" w:w="120"/>
              <w:bottom w:type="dxa" w:w="80"/>
              <w:right w:type="dxa" w:w="120"/>
            </w:tcMar>
          </w:tcPr>
          <w:p>
            <w:r>
              <w:rPr>
                <w:b/>
                <w:bCs/>
                <w:color w:val="FFFFFF"/>
              </w:rPr>
              <w:t xml:space="preserve">Point de vigilance</w:t>
            </w:r>
          </w:p>
        </w:tc>
      </w:tr>
      <w:tr>
        <w:tc>
          <w:tcPr>
            <w:tcW w:type="dxa" w:w="2300"/>
            <w:tcMar>
              <w:top w:type="dxa" w:w="80"/>
              <w:left w:type="dxa" w:w="120"/>
              <w:bottom w:type="dxa" w:w="80"/>
              <w:right w:type="dxa" w:w="120"/>
            </w:tcMar>
          </w:tcPr>
          <w:p>
            <w:r>
              <w:rPr>
                <w:color w:val="2B2724"/>
              </w:rPr>
              <w:t xml:space="preserve">Waalaxy (ex-ProspectIn)</w:t>
            </w:r>
          </w:p>
        </w:tc>
        <w:tc>
          <w:tcPr>
            <w:tcW w:type="dxa" w:w="2300"/>
            <w:tcMar>
              <w:top w:type="dxa" w:w="80"/>
              <w:left w:type="dxa" w:w="120"/>
              <w:bottom w:type="dxa" w:w="80"/>
              <w:right w:type="dxa" w:w="120"/>
            </w:tcMar>
          </w:tcPr>
          <w:p>
            <w:r>
              <w:rPr>
                <w:color w:val="2B2724"/>
              </w:rPr>
              <w:t xml:space="preserve">Invitations + emails automatisés, séquences multicanal, extension navigateur.</w:t>
            </w:r>
          </w:p>
        </w:tc>
        <w:tc>
          <w:tcPr>
            <w:tcW w:type="dxa" w:w="2300"/>
            <w:tcMar>
              <w:top w:type="dxa" w:w="80"/>
              <w:left w:type="dxa" w:w="120"/>
              <w:bottom w:type="dxa" w:w="80"/>
              <w:right w:type="dxa" w:w="120"/>
            </w:tcMar>
          </w:tcPr>
          <w:p>
            <w:r>
              <w:rPr>
                <w:color w:val="2B2724"/>
              </w:rPr>
              <w:t xml:space="preserve">Gratuit (80 invit./mois) à 69 €/mois selon le palier.</w:t>
            </w:r>
          </w:p>
        </w:tc>
        <w:tc>
          <w:tcPr>
            <w:tcW w:type="dxa" w:w="2300"/>
            <w:tcMar>
              <w:top w:type="dxa" w:w="80"/>
              <w:left w:type="dxa" w:w="120"/>
              <w:bottom w:type="dxa" w:w="80"/>
              <w:right w:type="dxa" w:w="120"/>
            </w:tcMar>
          </w:tcPr>
          <w:p>
            <w:r>
              <w:rPr>
                <w:color w:val="2B2724"/>
              </w:rPr>
              <w:t xml:space="preserve">Jusqu'à 700 invitations/semaine annoncées par l'outil — bien au-delà des seuils prudents de l'étape 7 : ne pas suivre ce maximum.</w:t>
            </w:r>
          </w:p>
        </w:tc>
      </w:tr>
      <w:tr>
        <w:tc>
          <w:tcPr>
            <w:tcW w:type="dxa" w:w="2300"/>
            <w:tcMar>
              <w:top w:type="dxa" w:w="80"/>
              <w:left w:type="dxa" w:w="120"/>
              <w:bottom w:type="dxa" w:w="80"/>
              <w:right w:type="dxa" w:w="120"/>
            </w:tcMar>
          </w:tcPr>
          <w:p>
            <w:r>
              <w:rPr>
                <w:color w:val="2B2724"/>
              </w:rPr>
              <w:t xml:space="preserve">Lemlist</w:t>
            </w:r>
          </w:p>
        </w:tc>
        <w:tc>
          <w:tcPr>
            <w:tcW w:type="dxa" w:w="2300"/>
            <w:tcMar>
              <w:top w:type="dxa" w:w="80"/>
              <w:left w:type="dxa" w:w="120"/>
              <w:bottom w:type="dxa" w:w="80"/>
              <w:right w:type="dxa" w:w="120"/>
            </w:tcMar>
          </w:tcPr>
          <w:p>
            <w:r>
              <w:rPr>
                <w:color w:val="2B2724"/>
              </w:rPr>
              <w:t xml:space="preserve">Email + LinkedIn (visite de profil, invitation, message) via extension Chrome, base de contacts intégrée.</w:t>
            </w:r>
          </w:p>
        </w:tc>
        <w:tc>
          <w:tcPr>
            <w:tcW w:type="dxa" w:w="2300"/>
            <w:tcMar>
              <w:top w:type="dxa" w:w="80"/>
              <w:left w:type="dxa" w:w="120"/>
              <w:bottom w:type="dxa" w:w="80"/>
              <w:right w:type="dxa" w:w="120"/>
            </w:tcMar>
          </w:tcPr>
          <w:p>
            <w:r>
              <w:rPr>
                <w:color w:val="2B2724"/>
              </w:rPr>
              <w:t xml:space="preserve">59 à 159 $/mois selon le palier (LinkedIn à partir du palier intermédiaire).</w:t>
            </w:r>
          </w:p>
        </w:tc>
        <w:tc>
          <w:tcPr>
            <w:tcW w:type="dxa" w:w="2300"/>
            <w:tcMar>
              <w:top w:type="dxa" w:w="80"/>
              <w:left w:type="dxa" w:w="120"/>
              <w:bottom w:type="dxa" w:w="80"/>
              <w:right w:type="dxa" w:w="120"/>
            </w:tcMar>
          </w:tcPr>
          <w:p>
            <w:r>
              <w:rPr>
                <w:color w:val="2B2724"/>
              </w:rPr>
              <w:t xml:space="preserve">L'automatisation LinkedIn passe par une extension navigateur active en permanence — détection jugée plus facile par LinkedIn que les outils basés serveur.</w:t>
            </w:r>
          </w:p>
        </w:tc>
      </w:tr>
      <w:tr>
        <w:tc>
          <w:tcPr>
            <w:tcW w:type="dxa" w:w="2300"/>
            <w:tcMar>
              <w:top w:type="dxa" w:w="80"/>
              <w:left w:type="dxa" w:w="120"/>
              <w:bottom w:type="dxa" w:w="80"/>
              <w:right w:type="dxa" w:w="120"/>
            </w:tcMar>
          </w:tcPr>
          <w:p>
            <w:r>
              <w:rPr>
                <w:color w:val="2B2724"/>
              </w:rPr>
              <w:t xml:space="preserve">LinkedIn natif (sans outil tiers)</w:t>
            </w:r>
          </w:p>
        </w:tc>
        <w:tc>
          <w:tcPr>
            <w:tcW w:type="dxa" w:w="2300"/>
            <w:tcMar>
              <w:top w:type="dxa" w:w="80"/>
              <w:left w:type="dxa" w:w="120"/>
              <w:bottom w:type="dxa" w:w="80"/>
              <w:right w:type="dxa" w:w="120"/>
            </w:tcMar>
          </w:tcPr>
          <w:p>
            <w:r>
              <w:rPr>
                <w:color w:val="2B2724"/>
              </w:rPr>
              <w:t xml:space="preserve">Invitations et messages envoyés manuellement, éventuellement via Sales Navigator pour les filtres de recherche.</w:t>
            </w:r>
          </w:p>
        </w:tc>
        <w:tc>
          <w:tcPr>
            <w:tcW w:type="dxa" w:w="2300"/>
            <w:tcMar>
              <w:top w:type="dxa" w:w="80"/>
              <w:left w:type="dxa" w:w="120"/>
              <w:bottom w:type="dxa" w:w="80"/>
              <w:right w:type="dxa" w:w="120"/>
            </w:tcMar>
          </w:tcPr>
          <w:p>
            <w:r>
              <w:rPr>
                <w:color w:val="2B2724"/>
              </w:rPr>
              <w:t xml:space="preserve">Gratuit, ou ~99 €/mois pour Sales Navigator.</w:t>
            </w:r>
          </w:p>
        </w:tc>
        <w:tc>
          <w:tcPr>
            <w:tcW w:type="dxa" w:w="2300"/>
            <w:tcMar>
              <w:top w:type="dxa" w:w="80"/>
              <w:left w:type="dxa" w:w="120"/>
              <w:bottom w:type="dxa" w:w="80"/>
              <w:right w:type="dxa" w:w="120"/>
            </w:tcMar>
          </w:tcPr>
          <w:p>
            <w:r>
              <w:rPr>
                <w:color w:val="2B2724"/>
              </w:rPr>
              <w:t xml:space="preserve">Zéro risque CGU, mais volume nécessairement plus faible : adapté à un démarrage prudent ou à un volume cible réduit.</w:t>
            </w:r>
          </w:p>
        </w:tc>
      </w:tr>
    </w:tbl>
    <w:p>
      <w:pPr>
        <w:spacing w:after="160" w:before="160"/>
      </w:pPr>
      <w:r>
        <w:rPr>
          <w:b w:val="false"/>
          <w:bCs w:val="false"/>
          <w:i/>
          <w:iCs/>
          <w:color w:val="2B2724"/>
        </w:rPr>
        <w:t xml:space="preserve">Recommandation de méthode, pas d'outil : quel que soit le choix, respecter les plafonds de l'étape 7 plutôt que les maximums annoncés par l'éditeur de l'outil.</w:t>
      </w:r>
    </w:p>
    <w:p>
      <w:pPr>
        <w:pStyle w:val="Heading1"/>
        <w:pBdr>
          <w:bottom w:val="single" w:color="CC785C" w:sz="6" w:space="4"/>
        </w:pBdr>
        <w:spacing w:after="200" w:before="360"/>
      </w:pPr>
      <w:r>
        <w:rPr>
          <w:b/>
          <w:bCs/>
          <w:color w:val="CC785C"/>
        </w:rPr>
        <w:t xml:space="preserve">Étape 5 — Critères de ciblage</w:t>
      </w:r>
    </w:p>
    <w:p>
      <w:pPr>
        <w:pStyle w:val="Heading2"/>
        <w:spacing w:after="120" w:before="240"/>
      </w:pPr>
      <w:r>
        <w:rPr>
          <w:b/>
          <w:bCs/>
          <w:color w:val="2B2724"/>
        </w:rPr>
        <w:t xml:space="preserve">Profil prioritaire</w:t>
      </w:r>
    </w:p>
    <w:p>
      <w:pPr>
        <w:pStyle w:val="ListParagraph"/>
        <w:numPr>
          <w:ilvl w:val="0"/>
          <w:numId w:val="2"/>
        </w:numPr>
        <w:spacing w:after="80"/>
      </w:pPr>
      <w:r>
        <w:rPr>
          <w:b w:val="false"/>
          <w:bCs w:val="false"/>
          <w:color w:val="2B2724"/>
        </w:rPr>
        <w:t xml:space="preserve">Organisme de formation certifié Qualiopi (condition obligatoire — la certification garantit un minimum de structure et de budget formation).</w:t>
      </w:r>
    </w:p>
    <w:p>
      <w:pPr>
        <w:pStyle w:val="ListParagraph"/>
        <w:numPr>
          <w:ilvl w:val="0"/>
          <w:numId w:val="2"/>
        </w:numPr>
        <w:spacing w:after="80"/>
      </w:pPr>
      <w:r>
        <w:rPr>
          <w:b w:val="false"/>
          <w:bCs w:val="false"/>
          <w:color w:val="2B2724"/>
        </w:rPr>
        <w:t xml:space="preserve">Taille : 3 à 50 salariés (en dessous, le budget conseil est rarement disponible ; au-dessus, le cycle de décision se complexifie et sort du cœur de cible).</w:t>
      </w:r>
    </w:p>
    <w:p>
      <w:pPr>
        <w:pStyle w:val="ListParagraph"/>
        <w:numPr>
          <w:ilvl w:val="0"/>
          <w:numId w:val="2"/>
        </w:numPr>
        <w:spacing w:after="80"/>
      </w:pPr>
      <w:r>
        <w:rPr>
          <w:b w:val="false"/>
          <w:bCs w:val="false"/>
          <w:color w:val="2B2724"/>
        </w:rPr>
        <w:t xml:space="preserve">Décideur visé : dirigeant, responsable pédagogique ou responsable administratif — ce sont les rôles qui subissent directement la charge administrative que Claude Agency allège.</w:t>
      </w:r>
    </w:p>
    <w:p>
      <w:pPr>
        <w:pStyle w:val="Heading2"/>
        <w:spacing w:after="120" w:before="240"/>
      </w:pPr>
      <w:r>
        <w:rPr>
          <w:b/>
          <w:bCs/>
          <w:color w:val="2B2724"/>
        </w:rPr>
        <w:t xml:space="preserve">Signal d'actualité récente (déclencheur de personnalisation)</w:t>
      </w:r>
    </w:p>
    <w:p>
      <w:pPr>
        <w:pStyle w:val="ListParagraph"/>
        <w:numPr>
          <w:ilvl w:val="0"/>
          <w:numId w:val="2"/>
        </w:numPr>
        <w:spacing w:after="80"/>
      </w:pPr>
      <w:r>
        <w:rPr>
          <w:b w:val="false"/>
          <w:bCs w:val="false"/>
          <w:color w:val="2B2724"/>
        </w:rPr>
        <w:t xml:space="preserve">Nouveau financement, levée de fonds ou subvention obtenue.</w:t>
      </w:r>
    </w:p>
    <w:p>
      <w:pPr>
        <w:pStyle w:val="ListParagraph"/>
        <w:numPr>
          <w:ilvl w:val="0"/>
          <w:numId w:val="2"/>
        </w:numPr>
        <w:spacing w:after="80"/>
      </w:pPr>
      <w:r>
        <w:rPr>
          <w:b w:val="false"/>
          <w:bCs w:val="false"/>
          <w:color w:val="2B2724"/>
        </w:rPr>
        <w:t xml:space="preserve">Recrutement annoncé (poste publié, post LinkedIn "on recrute").</w:t>
      </w:r>
    </w:p>
    <w:p>
      <w:pPr>
        <w:pStyle w:val="ListParagraph"/>
        <w:numPr>
          <w:ilvl w:val="0"/>
          <w:numId w:val="2"/>
        </w:numPr>
        <w:spacing w:after="80"/>
      </w:pPr>
      <w:r>
        <w:rPr>
          <w:b w:val="false"/>
          <w:bCs w:val="false"/>
          <w:color w:val="2B2724"/>
        </w:rPr>
        <w:t xml:space="preserve">Expansion : nouvelle antenne, nouveau certificat, nouvelle offre de formation.</w:t>
      </w:r>
    </w:p>
    <w:p>
      <w:pPr>
        <w:pStyle w:val="Heading2"/>
        <w:spacing w:after="120" w:before="240"/>
      </w:pPr>
      <w:r>
        <w:rPr>
          <w:b/>
          <w:bCs/>
          <w:color w:val="2B2724"/>
        </w:rPr>
        <w:t xml:space="preserve">Sources pour qualifier les cibles</w:t>
      </w:r>
    </w:p>
    <w:p>
      <w:pPr>
        <w:pStyle w:val="ListParagraph"/>
        <w:numPr>
          <w:ilvl w:val="0"/>
          <w:numId w:val="2"/>
        </w:numPr>
        <w:spacing w:after="80"/>
      </w:pPr>
      <w:r>
        <w:rPr>
          <w:b w:val="false"/>
          <w:bCs w:val="false"/>
          <w:color w:val="2B2724"/>
        </w:rPr>
        <w:t xml:space="preserve">Liste publique des organismes de formation (data.gouv.fr), incluant le statut de certification Qualiopi — environ 45 000 organismes certifiés recensés.</w:t>
      </w:r>
    </w:p>
    <w:p>
      <w:pPr>
        <w:pStyle w:val="ListParagraph"/>
        <w:numPr>
          <w:ilvl w:val="0"/>
          <w:numId w:val="2"/>
        </w:numPr>
        <w:spacing w:after="80"/>
      </w:pPr>
      <w:r>
        <w:rPr>
          <w:b w:val="false"/>
          <w:bCs w:val="false"/>
          <w:color w:val="2B2724"/>
        </w:rPr>
        <w:t xml:space="preserve">L'Annuaire des Entreprises (annuaire-entreprises.data.gouv.fr), qui affiche le statut Qualiopi par numéro SIRET dans l'onglet "Labels et certificats".</w:t>
      </w:r>
    </w:p>
    <w:p>
      <w:pPr>
        <w:pStyle w:val="ListParagraph"/>
        <w:numPr>
          <w:ilvl w:val="0"/>
          <w:numId w:val="2"/>
        </w:numPr>
        <w:spacing w:after="80"/>
      </w:pPr>
      <w:r>
        <w:rPr>
          <w:b w:val="false"/>
          <w:bCs w:val="false"/>
          <w:color w:val="2B2724"/>
        </w:rPr>
        <w:t xml:space="preserve">Le moteur de recherche dédié aux organismes certifiés Qualiopi sur l'Annuaire des Entreprises.</w:t>
      </w:r>
    </w:p>
    <w:p>
      <w:pPr>
        <w:pStyle w:val="Heading1"/>
        <w:pBdr>
          <w:bottom w:val="single" w:color="CC785C" w:sz="6" w:space="4"/>
        </w:pBdr>
        <w:spacing w:after="200" w:before="360"/>
      </w:pPr>
      <w:r>
        <w:rPr>
          <w:b/>
          <w:bCs/>
          <w:color w:val="CC785C"/>
        </w:rPr>
        <w:t xml:space="preserve">Étape 6 — Signaux d'intérêt à surveiller</w:t>
      </w:r>
    </w:p>
    <w:p>
      <w:pPr>
        <w:spacing w:after="160"/>
      </w:pPr>
      <w:r>
        <w:rPr>
          <w:b w:val="false"/>
          <w:bCs w:val="false"/>
          <w:i w:val="false"/>
          <w:iCs w:val="false"/>
          <w:color w:val="2B2724"/>
        </w:rPr>
        <w:t xml:space="preserve">Avant de relancer ou de proposer un RDV, vérifier si le prospect a manifesté un intérêt actif : ces signaux justifient une relance et permettent de personnaliser le message suivant.</w:t>
      </w:r>
    </w:p>
    <w:p>
      <w:pPr>
        <w:pStyle w:val="ListParagraph"/>
        <w:numPr>
          <w:ilvl w:val="0"/>
          <w:numId w:val="2"/>
        </w:numPr>
        <w:spacing w:after="80"/>
      </w:pPr>
      <w:r>
        <w:rPr>
          <w:b w:val="false"/>
          <w:bCs w:val="false"/>
          <w:color w:val="2B2724"/>
        </w:rPr>
        <w:t xml:space="preserve">Like ou commentaire sur une publication Claude Agency ou sur un post du compte utilisé pour l'outreach.</w:t>
      </w:r>
    </w:p>
    <w:p>
      <w:pPr>
        <w:pStyle w:val="ListParagraph"/>
        <w:numPr>
          <w:ilvl w:val="0"/>
          <w:numId w:val="2"/>
        </w:numPr>
        <w:spacing w:after="80"/>
      </w:pPr>
      <w:r>
        <w:rPr>
          <w:b w:val="false"/>
          <w:bCs w:val="false"/>
          <w:color w:val="2B2724"/>
        </w:rPr>
        <w:t xml:space="preserve">Visite du profil LinkedIn (visible dans la liste "qui a consulté mon profil").</w:t>
      </w:r>
    </w:p>
    <w:p>
      <w:pPr>
        <w:pStyle w:val="ListParagraph"/>
        <w:numPr>
          <w:ilvl w:val="0"/>
          <w:numId w:val="2"/>
        </w:numPr>
        <w:spacing w:after="80"/>
      </w:pPr>
      <w:r>
        <w:rPr>
          <w:b w:val="false"/>
          <w:bCs w:val="false"/>
          <w:color w:val="2B2724"/>
        </w:rPr>
        <w:t xml:space="preserve">Ouverture du profil après l'envoi d'une invitation, sans réponse immédiate (signe d'intérêt en attente).</w:t>
      </w:r>
    </w:p>
    <w:p>
      <w:pPr>
        <w:pStyle w:val="ListParagraph"/>
        <w:numPr>
          <w:ilvl w:val="0"/>
          <w:numId w:val="2"/>
        </w:numPr>
        <w:spacing w:after="80"/>
      </w:pPr>
      <w:r>
        <w:rPr>
          <w:b w:val="false"/>
          <w:bCs w:val="false"/>
          <w:color w:val="2B2724"/>
        </w:rPr>
        <w:t xml:space="preserve">Réaction à un post sectoriel sur l'IA ou la formation professionnelle, même sans interaction directe avec Claude Agency.</w:t>
      </w:r>
    </w:p>
    <w:p>
      <w:pPr>
        <w:spacing w:after="160"/>
      </w:pPr>
      <w:r>
        <w:rPr>
          <w:b w:val="false"/>
          <w:bCs w:val="false"/>
          <w:i/>
          <w:iCs/>
          <w:color w:val="2B2724"/>
        </w:rPr>
        <w:t xml:space="preserve">Pratique recommandée : tenir un tableau de suivi simple (nom, organisme, date de contact, dernier signal observé, statut) plutôt que de relancer à l'aveugle.</w:t>
      </w:r>
    </w:p>
    <w:p>
      <w:pPr>
        <w:pStyle w:val="Heading1"/>
        <w:pBdr>
          <w:bottom w:val="single" w:color="CC785C" w:sz="6" w:space="4"/>
        </w:pBdr>
        <w:spacing w:after="200" w:before="360"/>
      </w:pPr>
      <w:r>
        <w:rPr>
          <w:b/>
          <w:bCs/>
          <w:color w:val="CC785C"/>
        </w:rPr>
        <w:t xml:space="preserve">Étape 7 — Garde-fous anti-bannissement</w:t>
      </w:r>
    </w:p>
    <w:p>
      <w:pPr>
        <w:spacing w:after="160"/>
      </w:pPr>
      <w:r>
        <w:rPr>
          <w:b w:val="false"/>
          <w:bCs w:val="false"/>
          <w:i w:val="false"/>
          <w:iCs w:val="false"/>
          <w:color w:val="2B2724"/>
        </w:rPr>
        <w:t xml:space="preserve">Ces plafonds sont volontairement prudents : ils visent à rester sous le seuil de détection de LinkedIn, pas à maximiser le volume à court terme.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300"/>
            <w:shd w:fill="CC785C" w:val="clear"/>
            <w:tcMar>
              <w:top w:type="dxa" w:w="80"/>
              <w:left w:type="dxa" w:w="120"/>
              <w:bottom w:type="dxa" w:w="80"/>
              <w:right w:type="dxa" w:w="120"/>
            </w:tcMar>
          </w:tcPr>
          <w:p>
            <w:r>
              <w:rPr>
                <w:b/>
                <w:bCs/>
                <w:color w:val="FFFFFF"/>
              </w:rPr>
              <w:t xml:space="preserve">Période</w:t>
            </w:r>
          </w:p>
        </w:tc>
        <w:tc>
          <w:tcPr>
            <w:tcW w:type="dxa" w:w="2300"/>
            <w:shd w:fill="CC785C" w:val="clear"/>
            <w:tcMar>
              <w:top w:type="dxa" w:w="80"/>
              <w:left w:type="dxa" w:w="120"/>
              <w:bottom w:type="dxa" w:w="80"/>
              <w:right w:type="dxa" w:w="120"/>
            </w:tcMar>
          </w:tcPr>
          <w:p>
            <w:r>
              <w:rPr>
                <w:b/>
                <w:bCs/>
                <w:color w:val="FFFFFF"/>
              </w:rPr>
              <w:t xml:space="preserve">Invitations / jour</w:t>
            </w:r>
          </w:p>
        </w:tc>
        <w:tc>
          <w:tcPr>
            <w:tcW w:type="dxa" w:w="2300"/>
            <w:shd w:fill="CC785C" w:val="clear"/>
            <w:tcMar>
              <w:top w:type="dxa" w:w="80"/>
              <w:left w:type="dxa" w:w="120"/>
              <w:bottom w:type="dxa" w:w="80"/>
              <w:right w:type="dxa" w:w="120"/>
            </w:tcMar>
          </w:tcPr>
          <w:p>
            <w:r>
              <w:rPr>
                <w:b/>
                <w:bCs/>
                <w:color w:val="FFFFFF"/>
              </w:rPr>
              <w:t xml:space="preserve">Règles associées</w:t>
            </w:r>
          </w:p>
        </w:tc>
      </w:tr>
      <w:tr>
        <w:tc>
          <w:tcPr>
            <w:tcW w:type="dxa" w:w="2300"/>
            <w:tcMar>
              <w:top w:type="dxa" w:w="80"/>
              <w:left w:type="dxa" w:w="120"/>
              <w:bottom w:type="dxa" w:w="80"/>
              <w:right w:type="dxa" w:w="120"/>
            </w:tcMar>
          </w:tcPr>
          <w:p>
            <w:r>
              <w:rPr>
                <w:color w:val="2B2724"/>
              </w:rPr>
              <w:t xml:space="preserve">Semaines 1–2 (warm-up)</w:t>
            </w:r>
          </w:p>
        </w:tc>
        <w:tc>
          <w:tcPr>
            <w:tcW w:type="dxa" w:w="2300"/>
            <w:tcMar>
              <w:top w:type="dxa" w:w="80"/>
              <w:left w:type="dxa" w:w="120"/>
              <w:bottom w:type="dxa" w:w="80"/>
              <w:right w:type="dxa" w:w="120"/>
            </w:tcMar>
          </w:tcPr>
          <w:p>
            <w:r>
              <w:rPr>
                <w:color w:val="2B2724"/>
              </w:rPr>
              <w:t xml:space="preserve">5 à 10, envoyées manuellement</w:t>
            </w:r>
          </w:p>
        </w:tc>
        <w:tc>
          <w:tcPr>
            <w:tcW w:type="dxa" w:w="2300"/>
            <w:tcMar>
              <w:top w:type="dxa" w:w="80"/>
              <w:left w:type="dxa" w:w="120"/>
              <w:bottom w:type="dxa" w:w="80"/>
              <w:right w:type="dxa" w:w="120"/>
            </w:tcMar>
          </w:tcPr>
          <w:p>
            <w:r>
              <w:rPr>
                <w:color w:val="2B2724"/>
              </w:rPr>
              <w:t xml:space="preserve">Aucun outil tiers connecté. Activité organique (likes, commentaires) en plus des invitations.</w:t>
            </w:r>
          </w:p>
        </w:tc>
      </w:tr>
      <w:tr>
        <w:tc>
          <w:tcPr>
            <w:tcW w:type="dxa" w:w="2300"/>
            <w:tcMar>
              <w:top w:type="dxa" w:w="80"/>
              <w:left w:type="dxa" w:w="120"/>
              <w:bottom w:type="dxa" w:w="80"/>
              <w:right w:type="dxa" w:w="120"/>
            </w:tcMar>
          </w:tcPr>
          <w:p>
            <w:r>
              <w:rPr>
                <w:color w:val="2B2724"/>
              </w:rPr>
              <w:t xml:space="preserve">Semaines 3–4</w:t>
            </w:r>
          </w:p>
        </w:tc>
        <w:tc>
          <w:tcPr>
            <w:tcW w:type="dxa" w:w="2300"/>
            <w:tcMar>
              <w:top w:type="dxa" w:w="80"/>
              <w:left w:type="dxa" w:w="120"/>
              <w:bottom w:type="dxa" w:w="80"/>
              <w:right w:type="dxa" w:w="120"/>
            </w:tcMar>
          </w:tcPr>
          <w:p>
            <w:r>
              <w:rPr>
                <w:color w:val="2B2724"/>
              </w:rPr>
              <w:t xml:space="preserve">15 à 20, via l'outil choisi</w:t>
            </w:r>
          </w:p>
        </w:tc>
        <w:tc>
          <w:tcPr>
            <w:tcW w:type="dxa" w:w="2300"/>
            <w:tcMar>
              <w:top w:type="dxa" w:w="80"/>
              <w:left w:type="dxa" w:w="120"/>
              <w:bottom w:type="dxa" w:w="80"/>
              <w:right w:type="dxa" w:w="120"/>
            </w:tcMar>
          </w:tcPr>
          <w:p>
            <w:r>
              <w:rPr>
                <w:color w:val="2B2724"/>
              </w:rPr>
              <w:t xml:space="preserve">Délai minimum de 45 à 90 secondes entre deux actions automatisées. Personnalisation obligatoire sur chaque invitation (prénom + élément spécifique à l'organisme).</w:t>
            </w:r>
          </w:p>
        </w:tc>
      </w:tr>
      <w:tr>
        <w:tc>
          <w:tcPr>
            <w:tcW w:type="dxa" w:w="2300"/>
            <w:tcMar>
              <w:top w:type="dxa" w:w="80"/>
              <w:left w:type="dxa" w:w="120"/>
              <w:bottom w:type="dxa" w:w="80"/>
              <w:right w:type="dxa" w:w="120"/>
            </w:tcMar>
          </w:tcPr>
          <w:p>
            <w:r>
              <w:rPr>
                <w:color w:val="2B2724"/>
              </w:rPr>
              <w:t xml:space="preserve">Semaine 5 et au-delà (régime de croisière)</w:t>
            </w:r>
          </w:p>
        </w:tc>
        <w:tc>
          <w:tcPr>
            <w:tcW w:type="dxa" w:w="2300"/>
            <w:tcMar>
              <w:top w:type="dxa" w:w="80"/>
              <w:left w:type="dxa" w:w="120"/>
              <w:bottom w:type="dxa" w:w="80"/>
              <w:right w:type="dxa" w:w="120"/>
            </w:tcMar>
          </w:tcPr>
          <w:p>
            <w:r>
              <w:rPr>
                <w:color w:val="2B2724"/>
              </w:rPr>
              <w:t xml:space="preserve">20 à 25 maximum (≈ 100–125/semaine)</w:t>
            </w:r>
          </w:p>
        </w:tc>
        <w:tc>
          <w:tcPr>
            <w:tcW w:type="dxa" w:w="2300"/>
            <w:tcMar>
              <w:top w:type="dxa" w:w="80"/>
              <w:left w:type="dxa" w:w="120"/>
              <w:bottom w:type="dxa" w:w="80"/>
              <w:right w:type="dxa" w:w="120"/>
            </w:tcMar>
          </w:tcPr>
          <w:p>
            <w:r>
              <w:rPr>
                <w:color w:val="2B2724"/>
              </w:rPr>
              <w:t xml:space="preserve">Ne jamais dépasser ~150 invitations/semaine, seuil au-delà duquel le risque de restriction augmente nettement. Pause d'au moins 1 jour par semaine sans aucune action automatisée.</w:t>
            </w:r>
          </w:p>
        </w:tc>
      </w:tr>
    </w:tbl>
    <w:p>
      <w:pPr>
        <w:spacing w:after="80"/>
      </w:pPr>
      <w:r>
        <w:rPr>
          <w:b w:val="false"/>
          <w:bCs w:val="false"/>
          <w:i w:val="false"/>
          <w:iCs w:val="false"/>
          <w:color w:val="2B2724"/>
        </w:rPr>
        <w:t xml:space="preserve"> </w:t>
      </w:r>
    </w:p>
    <w:p>
      <w:pPr>
        <w:pStyle w:val="Heading2"/>
        <w:spacing w:after="120" w:before="240"/>
      </w:pPr>
      <w:r>
        <w:rPr>
          <w:b/>
          <w:bCs/>
          <w:color w:val="2B2724"/>
        </w:rPr>
        <w:t xml:space="preserve">Autres garde-fous obligatoires</w:t>
      </w:r>
    </w:p>
    <w:p>
      <w:pPr>
        <w:pStyle w:val="ListParagraph"/>
        <w:numPr>
          <w:ilvl w:val="0"/>
          <w:numId w:val="2"/>
        </w:numPr>
        <w:spacing w:after="80"/>
      </w:pPr>
      <w:r>
        <w:rPr>
          <w:b w:val="false"/>
          <w:bCs w:val="false"/>
          <w:color w:val="2B2724"/>
        </w:rPr>
        <w:t xml:space="preserve">Personnalisation minimale sur chaque message : prénom + référence concrète à l'organisme ou à un signal d'intérêt (jamais de message identique envoyé en masse).</w:t>
      </w:r>
    </w:p>
    <w:p>
      <w:pPr>
        <w:pStyle w:val="ListParagraph"/>
        <w:numPr>
          <w:ilvl w:val="0"/>
          <w:numId w:val="2"/>
        </w:numPr>
        <w:spacing w:after="80"/>
      </w:pPr>
      <w:r>
        <w:rPr>
          <w:b w:val="false"/>
          <w:bCs w:val="false"/>
          <w:color w:val="2B2724"/>
        </w:rPr>
        <w:t xml:space="preserve">Pas plus de 3 messages par séquence et par prospect (premier contact, relance, closing) — au-delà, le message devient intrusif et augmente le risque de signalement "spam" par le destinataire, ce qui pèse aussi sur la réputation du compte.</w:t>
      </w:r>
    </w:p>
    <w:p>
      <w:pPr>
        <w:pStyle w:val="ListParagraph"/>
        <w:numPr>
          <w:ilvl w:val="0"/>
          <w:numId w:val="2"/>
        </w:numPr>
        <w:spacing w:after="80"/>
      </w:pPr>
      <w:r>
        <w:rPr>
          <w:b w:val="false"/>
          <w:bCs w:val="false"/>
          <w:color w:val="2B2724"/>
        </w:rPr>
        <w:t xml:space="preserve">Toujours laisser une option de sortie claire ("dites-moi si ce sujet ne vous concerne pas, je ne vous relance pas").</w:t>
      </w:r>
    </w:p>
    <w:p>
      <w:pPr>
        <w:pStyle w:val="ListParagraph"/>
        <w:numPr>
          <w:ilvl w:val="0"/>
          <w:numId w:val="2"/>
        </w:numPr>
        <w:spacing w:after="80"/>
      </w:pPr>
      <w:r>
        <w:rPr>
          <w:b w:val="false"/>
          <w:bCs w:val="false"/>
          <w:color w:val="2B2724"/>
        </w:rPr>
        <w:t xml:space="preserve">Surveiller le taux d'acceptation des invitations : une chute brutale est souvent le premier signe avant une restriction — c'est le signal pour réduire immédiatement le volume.</w:t>
      </w:r>
    </w:p>
    <w:p>
      <w:pPr>
        <w:pStyle w:val="Heading1"/>
        <w:pBdr>
          <w:bottom w:val="single" w:color="CC785C" w:sz="6" w:space="4"/>
        </w:pBdr>
        <w:spacing w:after="200" w:before="360"/>
      </w:pPr>
      <w:r>
        <w:rPr>
          <w:b/>
          <w:bCs/>
          <w:color w:val="CC785C"/>
        </w:rPr>
        <w:t xml:space="preserve">Étape 8 — Séquence de 3 messages</w:t>
      </w:r>
    </w:p>
    <w:p>
      <w:pPr>
        <w:spacing w:after="160"/>
      </w:pPr>
      <w:r>
        <w:rPr>
          <w:b w:val="false"/>
          <w:bCs w:val="false"/>
          <w:i w:val="false"/>
          <w:iCs w:val="false"/>
          <w:color w:val="2B2724"/>
        </w:rPr>
        <w:t xml:space="preserve">Format DM (court), personnalisation obligatoire sur les éléments entre crochets. Ton Claude Agency : chaleureux, concret, vouvoiement, zéro jargon IA.</w:t>
      </w:r>
    </w:p>
    <w:p>
      <w:pPr>
        <w:pStyle w:val="Heading2"/>
        <w:spacing w:after="120" w:before="240"/>
      </w:pPr>
      <w:r>
        <w:rPr>
          <w:b/>
          <w:bCs/>
          <w:color w:val="2B2724"/>
        </w:rPr>
        <w:t xml:space="preserve">Message 1 — Premier contact (juste après acceptation de l'invitation)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85C" w:sz="4"/>
              <w:left w:val="single" w:color="CC785C" w:sz="24"/>
              <w:bottom w:val="single" w:color="CC785C" w:sz="4"/>
              <w:right w:val="single" w:color="CC785C" w:sz="4"/>
            </w:tcBorders>
            <w:shd w:fill="F4E9E2" w:val="clear"/>
            <w:tcMar>
              <w:top w:type="dxa" w:w="160"/>
              <w:left w:type="dxa" w:w="220"/>
              <w:bottom w:type="dxa" w:w="160"/>
              <w:right w:type="dxa" w:w="220"/>
            </w:tcMar>
          </w:tcPr>
          <w:p>
            <w:pPr>
              <w:spacing w:after="100"/>
            </w:pPr>
            <w:r>
              <w:rPr>
                <w:i/>
                <w:iCs/>
                <w:color w:val="2B2724"/>
              </w:rPr>
              <w:t xml:space="preserve">Bonjour [Prénom],</w:t>
            </w:r>
          </w:p>
          <w:p>
            <w:pPr>
              <w:spacing w:after="100"/>
            </w:pPr>
            <w:r>
              <w:rPr>
                <w:i/>
                <w:iCs/>
                <w:color w:val="2B2724"/>
              </w:rPr>
              <w:t xml:space="preserve">Merci pour votre connexion ! J'ai vu que [organisme] [signal récent : vient de lancer telle formation / recrute actuellement / fête ses X ans] — belle dynamique.</w:t>
            </w:r>
          </w:p>
          <w:p>
            <w:pPr>
              <w:spacing w:after="100"/>
            </w:pPr>
            <w:r>
              <w:rPr>
                <w:i/>
                <w:iCs/>
                <w:color w:val="2B2724"/>
              </w:rPr>
              <w:t xml:space="preserve">Je travaille avec des organismes de formation Qualiopi sur l'IA appliquée à leur quotidien : administratif, suivi des stagiaires, pédagogie. Je serais curieux de savoir comment vous gérez [point de friction probable, ex. les convocations et bilans] chez vous aujourd'hui.</w:t>
            </w:r>
          </w:p>
          <w:p>
            <w:pPr>
              <w:spacing w:after="100"/>
            </w:pPr>
            <w:r>
              <w:rPr>
                <w:i/>
                <w:iCs/>
                <w:color w:val="2B2724"/>
              </w:rPr>
              <w:t xml:space="preserve">Bonne journée,</w:t>
            </w:r>
          </w:p>
          <w:p>
            <w:pPr>
              <w:spacing w:after="0"/>
            </w:pPr>
            <w:r>
              <w:rPr>
                <w:i/>
                <w:iCs/>
                <w:color w:val="2B2724"/>
              </w:rPr>
              <w:t xml:space="preserve">[Votre prénom]</w:t>
            </w:r>
          </w:p>
        </w:tc>
      </w:tr>
    </w:tbl>
    <w:p>
      <w:pPr>
        <w:pStyle w:val="Heading2"/>
        <w:spacing w:after="120" w:before="240"/>
      </w:pPr>
      <w:r>
        <w:rPr>
          <w:b/>
          <w:bCs/>
          <w:color w:val="2B2724"/>
        </w:rPr>
        <w:t xml:space="preserve">Message 2 — Relance (si pas de réponse après 4 à 6 jours)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85C" w:sz="4"/>
              <w:left w:val="single" w:color="CC785C" w:sz="24"/>
              <w:bottom w:val="single" w:color="CC785C" w:sz="4"/>
              <w:right w:val="single" w:color="CC785C" w:sz="4"/>
            </w:tcBorders>
            <w:shd w:fill="F4E9E2" w:val="clear"/>
            <w:tcMar>
              <w:top w:type="dxa" w:w="160"/>
              <w:left w:type="dxa" w:w="220"/>
              <w:bottom w:type="dxa" w:w="160"/>
              <w:right w:type="dxa" w:w="220"/>
            </w:tcMar>
          </w:tcPr>
          <w:p>
            <w:pPr>
              <w:spacing w:after="100"/>
            </w:pPr>
            <w:r>
              <w:rPr>
                <w:i/>
                <w:iCs/>
                <w:color w:val="2B2724"/>
              </w:rPr>
              <w:t xml:space="preserve">Bonjour [Prénom],</w:t>
            </w:r>
          </w:p>
          <w:p>
            <w:pPr>
              <w:spacing w:after="100"/>
            </w:pPr>
            <w:r>
              <w:rPr>
                <w:i/>
                <w:iCs/>
                <w:color w:val="2B2724"/>
              </w:rPr>
              <w:t xml:space="preserve">Je reviens vers vous brièvement — pas de souci si le sujet IA n'est pas une priorité du moment.</w:t>
            </w:r>
          </w:p>
          <w:p>
            <w:pPr>
              <w:spacing w:after="100"/>
            </w:pPr>
            <w:r>
              <w:rPr>
                <w:i/>
                <w:iCs/>
                <w:color w:val="2B2724"/>
              </w:rPr>
              <w:t xml:space="preserve">Je partage souvent des retours concrets d'organismes de formation qui ont gagné plusieurs heures par semaine sur [tâche : émargements, convocations, bilans pédagogiques] grâce à des automatisations simples.</w:t>
            </w:r>
          </w:p>
          <w:p>
            <w:pPr>
              <w:spacing w:after="100"/>
            </w:pPr>
            <w:r>
              <w:rPr>
                <w:i/>
                <w:iCs/>
                <w:color w:val="2B2724"/>
              </w:rPr>
              <w:t xml:space="preserve">Si ça peut vous être utile, je peux vous envoyer un exemple concret, sans engagement.</w:t>
            </w:r>
          </w:p>
          <w:p>
            <w:pPr>
              <w:spacing w:after="100"/>
            </w:pPr>
            <w:r>
              <w:rPr>
                <w:i/>
                <w:iCs/>
                <w:color w:val="2B2724"/>
              </w:rPr>
              <w:t xml:space="preserve">Belle semaine,</w:t>
            </w:r>
          </w:p>
          <w:p>
            <w:pPr>
              <w:spacing w:after="0"/>
            </w:pPr>
            <w:r>
              <w:rPr>
                <w:i/>
                <w:iCs/>
                <w:color w:val="2B2724"/>
              </w:rPr>
              <w:t xml:space="preserve">[Votre prénom]</w:t>
            </w:r>
          </w:p>
        </w:tc>
      </w:tr>
    </w:tbl>
    <w:p>
      <w:pPr>
        <w:pStyle w:val="Heading2"/>
        <w:spacing w:after="120" w:before="240"/>
      </w:pPr>
      <w:r>
        <w:rPr>
          <w:b/>
          <w:bCs/>
          <w:color w:val="2B2724"/>
        </w:rPr>
        <w:t xml:space="preserve">Message 3 — Closing (si pas de réponse après 6 à 8 jours supplémentaires)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785C" w:sz="4"/>
              <w:left w:val="single" w:color="CC785C" w:sz="24"/>
              <w:bottom w:val="single" w:color="CC785C" w:sz="4"/>
              <w:right w:val="single" w:color="CC785C" w:sz="4"/>
            </w:tcBorders>
            <w:shd w:fill="F4E9E2" w:val="clear"/>
            <w:tcMar>
              <w:top w:type="dxa" w:w="160"/>
              <w:left w:type="dxa" w:w="220"/>
              <w:bottom w:type="dxa" w:w="160"/>
              <w:right w:type="dxa" w:w="220"/>
            </w:tcMar>
          </w:tcPr>
          <w:p>
            <w:pPr>
              <w:spacing w:after="100"/>
            </w:pPr>
            <w:r>
              <w:rPr>
                <w:i/>
                <w:iCs/>
                <w:color w:val="2B2724"/>
              </w:rPr>
              <w:t xml:space="preserve">Bonjour [Prénom],</w:t>
            </w:r>
          </w:p>
          <w:p>
            <w:pPr>
              <w:spacing w:after="100"/>
            </w:pPr>
            <w:r>
              <w:rPr>
                <w:i/>
                <w:iCs/>
                <w:color w:val="2B2724"/>
              </w:rPr>
              <w:t xml:space="preserve">Dernier message de ma part sur ce sujet, promis.</w:t>
            </w:r>
          </w:p>
          <w:p>
            <w:pPr>
              <w:spacing w:after="100"/>
            </w:pPr>
            <w:r>
              <w:rPr>
                <w:i/>
                <w:iCs/>
                <w:color w:val="2B2724"/>
              </w:rPr>
              <w:t xml:space="preserve">Je propose un audit IA gratuit de 30 minutes à quelques organismes de formation ce mois-ci, pour identifier 2 ou 3 actions concrètes et rapides à mettre en place chez vous.</w:t>
            </w:r>
          </w:p>
          <w:p>
            <w:pPr>
              <w:spacing w:after="100"/>
            </w:pPr>
            <w:r>
              <w:rPr>
                <w:i/>
                <w:iCs/>
                <w:color w:val="2B2724"/>
              </w:rPr>
              <w:t xml:space="preserve">Si ça vous intéresse, dites-moi simplement quel jour vous convient. Sinon, je vous laisse tranquille avec plaisir.</w:t>
            </w:r>
          </w:p>
          <w:p>
            <w:pPr>
              <w:spacing w:after="0"/>
            </w:pPr>
            <w:r>
              <w:rPr>
                <w:i/>
                <w:iCs/>
                <w:color w:val="2B2724"/>
              </w:rPr>
              <w:t xml:space="preserve">[Votre prénom]</w:t>
            </w:r>
          </w:p>
        </w:tc>
      </w:tr>
    </w:tbl>
    <w:p>
      <w:pPr>
        <w:spacing w:before="120"/>
      </w:pPr>
      <w:r>
        <w:rPr>
          <w:b w:val="false"/>
          <w:bCs w:val="false"/>
          <w:i/>
          <w:iCs/>
          <w:color w:val="2B2724"/>
        </w:rPr>
        <w:t xml:space="preserve">Règle de sortie : si aucune réponse après le message 3, classer le contact en "en sommeil" et ne pas relancer avant 4 à 6 mois, sauf nouveau signal d'intérêt observé (étape 6).</w:t>
      </w:r>
    </w:p>
    <w:p>
      <w:pPr>
        <w:pStyle w:val="Heading1"/>
        <w:pBdr>
          <w:bottom w:val="single" w:color="CC785C" w:sz="6" w:space="4"/>
        </w:pBdr>
        <w:spacing w:after="200" w:before="360"/>
      </w:pPr>
      <w:r>
        <w:rPr>
          <w:b/>
          <w:bCs/>
          <w:color w:val="CC785C"/>
        </w:rPr>
        <w:t xml:space="preserve">Étape 9 — Mesurer et piloter</w:t>
      </w:r>
    </w:p>
    <w:p>
      <w:pPr>
        <w:pStyle w:val="Heading2"/>
        <w:spacing w:after="120" w:before="240"/>
      </w:pPr>
      <w:r>
        <w:rPr>
          <w:b/>
          <w:bCs/>
          <w:color w:val="2B2724"/>
        </w:rPr>
        <w:t xml:space="preserve">Indicateurs à suivre chaque semaine</w:t>
      </w:r>
    </w:p>
    <w:p>
      <w:pPr>
        <w:pStyle w:val="ListParagraph"/>
        <w:numPr>
          <w:ilvl w:val="0"/>
          <w:numId w:val="2"/>
        </w:numPr>
        <w:spacing w:after="80"/>
      </w:pPr>
      <w:r>
        <w:rPr>
          <w:b w:val="false"/>
          <w:bCs w:val="false"/>
          <w:color w:val="2B2724"/>
        </w:rPr>
        <w:t xml:space="preserve">Invitations envoyées / taux d'acceptation.</w:t>
      </w:r>
    </w:p>
    <w:p>
      <w:pPr>
        <w:pStyle w:val="ListParagraph"/>
        <w:numPr>
          <w:ilvl w:val="0"/>
          <w:numId w:val="2"/>
        </w:numPr>
        <w:spacing w:after="80"/>
      </w:pPr>
      <w:r>
        <w:rPr>
          <w:b w:val="false"/>
          <w:bCs w:val="false"/>
          <w:color w:val="2B2724"/>
        </w:rPr>
        <w:t xml:space="preserve">Messages envoyés / taux de réponse (par message de la séquence).</w:t>
      </w:r>
    </w:p>
    <w:p>
      <w:pPr>
        <w:pStyle w:val="ListParagraph"/>
        <w:numPr>
          <w:ilvl w:val="0"/>
          <w:numId w:val="2"/>
        </w:numPr>
        <w:spacing w:after="80"/>
      </w:pPr>
      <w:r>
        <w:rPr>
          <w:b w:val="false"/>
          <w:bCs w:val="false"/>
          <w:color w:val="2B2724"/>
        </w:rPr>
        <w:t xml:space="preserve">Nombre de RDV qualifiés obtenus (indicateur prioritaire).</w:t>
      </w:r>
    </w:p>
    <w:p>
      <w:pPr>
        <w:pStyle w:val="ListParagraph"/>
        <w:numPr>
          <w:ilvl w:val="0"/>
          <w:numId w:val="2"/>
        </w:numPr>
        <w:spacing w:after="80"/>
      </w:pPr>
      <w:r>
        <w:rPr>
          <w:b w:val="false"/>
          <w:bCs w:val="false"/>
          <w:color w:val="2B2724"/>
        </w:rPr>
        <w:t xml:space="preserve">Signalements ou restrictions reçus de LinkedIn (indicateur d'alerte — doit rester à zéro).</w:t>
      </w:r>
    </w:p>
    <w:p>
      <w:pPr>
        <w:pStyle w:val="Heading2"/>
        <w:spacing w:after="120" w:before="240"/>
      </w:pPr>
      <w:r>
        <w:rPr>
          <w:b/>
          <w:bCs/>
          <w:color w:val="2B2724"/>
        </w:rPr>
        <w:t xml:space="preserve">Cadence de pilotage</w:t>
      </w:r>
    </w:p>
    <w:p>
      <w:pPr>
        <w:pStyle w:val="ListParagraph"/>
        <w:numPr>
          <w:ilvl w:val="0"/>
          <w:numId w:val="2"/>
        </w:numPr>
        <w:spacing w:after="80"/>
      </w:pPr>
      <w:r>
        <w:rPr>
          <w:b w:val="false"/>
          <w:bCs w:val="false"/>
          <w:color w:val="2B2724"/>
        </w:rPr>
        <w:t xml:space="preserve">Revue hebdomadaire légère : ajuster le volume si le taux d'acceptation chute sous 20 % ou si un avertissement LinkedIn apparaît.</w:t>
      </w:r>
    </w:p>
    <w:p>
      <w:pPr>
        <w:pStyle w:val="ListParagraph"/>
        <w:numPr>
          <w:ilvl w:val="0"/>
          <w:numId w:val="2"/>
        </w:numPr>
        <w:spacing w:after="80"/>
      </w:pPr>
      <w:r>
        <w:rPr>
          <w:b w:val="false"/>
          <w:bCs w:val="false"/>
          <w:color w:val="2B2724"/>
        </w:rPr>
        <w:t xml:space="preserve">Revue à 30 jours : comparer les résultats réels aux hypothèses de l'étape 1 et ajuster les cibles de volume et de quotas.</w:t>
      </w:r>
    </w:p>
    <w:p>
      <w:pPr>
        <w:pStyle w:val="ListParagraph"/>
        <w:numPr>
          <w:ilvl w:val="0"/>
          <w:numId w:val="2"/>
        </w:numPr>
        <w:spacing w:after="80"/>
      </w:pPr>
      <w:r>
        <w:rPr>
          <w:b w:val="false"/>
          <w:bCs w:val="false"/>
          <w:color w:val="2B2724"/>
        </w:rPr>
        <w:t xml:space="preserve">Revue à 60–90 jours : décider de la suite (maintenir, augmenter prudemment le volume, changer d'outil ou de message).</w:t>
      </w:r>
    </w:p>
    <w:p>
      <w:pPr>
        <w:pStyle w:val="Heading1"/>
        <w:pBdr>
          <w:bottom w:val="single" w:color="CC785C" w:sz="6" w:space="4"/>
        </w:pBdr>
        <w:spacing w:after="200" w:before="360"/>
      </w:pPr>
      <w:r>
        <w:rPr>
          <w:b/>
          <w:bCs/>
          <w:color w:val="CC785C"/>
        </w:rPr>
        <w:t xml:space="preserve">Étape 10 — Checklist de lancement</w:t>
      </w:r>
    </w:p>
    <w:p>
      <w:pPr>
        <w:pStyle w:val="ListParagraph"/>
        <w:numPr>
          <w:ilvl w:val="0"/>
          <w:numId w:val="3"/>
        </w:numPr>
        <w:spacing w:after="80"/>
      </w:pPr>
      <w:r>
        <w:rPr>
          <w:color w:val="2B2724"/>
        </w:rPr>
        <w:t xml:space="preserve">Valider le compte LinkedIn à utiliser (profil personnel recommandé).</w:t>
      </w:r>
    </w:p>
    <w:p>
      <w:pPr>
        <w:pStyle w:val="ListParagraph"/>
        <w:numPr>
          <w:ilvl w:val="0"/>
          <w:numId w:val="3"/>
        </w:numPr>
        <w:spacing w:after="80"/>
      </w:pPr>
      <w:r>
        <w:rPr>
          <w:color w:val="2B2724"/>
        </w:rPr>
        <w:t xml:space="preserve">Compléter le profil à 100 % et démarrer la phase de warm-up manuel (2 semaines).</w:t>
      </w:r>
    </w:p>
    <w:p>
      <w:pPr>
        <w:pStyle w:val="ListParagraph"/>
        <w:numPr>
          <w:ilvl w:val="0"/>
          <w:numId w:val="3"/>
        </w:numPr>
        <w:spacing w:after="80"/>
      </w:pPr>
      <w:r>
        <w:rPr>
          <w:color w:val="2B2724"/>
        </w:rPr>
        <w:t xml:space="preserve">Choisir l'outil (étape 4) en fonction du budget et de l'appétence au risque CGU — ou démarrer en mode natif.</w:t>
      </w:r>
    </w:p>
    <w:p>
      <w:pPr>
        <w:pStyle w:val="ListParagraph"/>
        <w:numPr>
          <w:ilvl w:val="0"/>
          <w:numId w:val="3"/>
        </w:numPr>
        <w:spacing w:after="80"/>
      </w:pPr>
      <w:r>
        <w:rPr>
          <w:color w:val="2B2724"/>
        </w:rPr>
        <w:t xml:space="preserve">Construire la première liste de cibles via les annuaires Qualiopi officiels (étape 5).</w:t>
      </w:r>
    </w:p>
    <w:p>
      <w:pPr>
        <w:pStyle w:val="ListParagraph"/>
        <w:numPr>
          <w:ilvl w:val="0"/>
          <w:numId w:val="3"/>
        </w:numPr>
        <w:spacing w:after="80"/>
      </w:pPr>
      <w:r>
        <w:rPr>
          <w:color w:val="2B2724"/>
        </w:rPr>
        <w:t xml:space="preserve">Paramétrer les quotas progressifs de l'outil selon le calendrier de l'étape 7 — jamais les maximums par défaut de l'outil.</w:t>
      </w:r>
    </w:p>
    <w:p>
      <w:pPr>
        <w:pStyle w:val="ListParagraph"/>
        <w:numPr>
          <w:ilvl w:val="0"/>
          <w:numId w:val="3"/>
        </w:numPr>
        <w:spacing w:after="80"/>
      </w:pPr>
      <w:r>
        <w:rPr>
          <w:color w:val="2B2724"/>
        </w:rPr>
        <w:t xml:space="preserve">Charger la séquence de 3 messages (étape 8) en personnalisant les variables entre crochets pour chaque cible.</w:t>
      </w:r>
    </w:p>
    <w:p>
      <w:pPr>
        <w:pStyle w:val="ListParagraph"/>
        <w:numPr>
          <w:ilvl w:val="0"/>
          <w:numId w:val="3"/>
        </w:numPr>
        <w:spacing w:after="80"/>
      </w:pPr>
      <w:r>
        <w:rPr>
          <w:color w:val="2B2724"/>
        </w:rPr>
        <w:t xml:space="preserve">Mettre en place le tableau de suivi des signaux d'intérêt et des RDV obtenus (étapes 6 et 9).</w:t>
      </w:r>
    </w:p>
    <w:p>
      <w:pPr>
        <w:pStyle w:val="ListParagraph"/>
        <w:numPr>
          <w:ilvl w:val="0"/>
          <w:numId w:val="3"/>
        </w:numPr>
        <w:spacing w:after="80"/>
      </w:pPr>
      <w:r>
        <w:rPr>
          <w:color w:val="2B2724"/>
        </w:rPr>
        <w:t xml:space="preserve">Lancer la première vague restreinte (semaine 3) et vérifier le taux d'acceptation avant d'augmenter le volume.</w:t>
      </w:r>
    </w:p>
    <w:p>
      <w:pPr>
        <w:pStyle w:val="ListParagraph"/>
        <w:numPr>
          <w:ilvl w:val="0"/>
          <w:numId w:val="3"/>
        </w:numPr>
        <w:spacing w:after="80"/>
      </w:pPr>
      <w:r>
        <w:rPr>
          <w:color w:val="2B2724"/>
        </w:rPr>
        <w:t xml:space="preserve">Tenir la revue hebdomadaire de pilotage dès la première semaine d'envoi automatisé.</w:t>
      </w:r>
    </w:p>
    <w:p>
      <w:pPr>
        <w:pStyle w:val="ListParagraph"/>
        <w:numPr>
          <w:ilvl w:val="0"/>
          <w:numId w:val="3"/>
        </w:numPr>
        <w:spacing w:after="80"/>
      </w:pPr>
      <w:r>
        <w:rPr>
          <w:color w:val="2B2724"/>
        </w:rPr>
        <w:t xml:space="preserve">Revoir l'ensemble de la stratégie à 30 jours avec les chiffres réels.</w:t>
      </w:r>
    </w:p>
    <w:p>
      <w:pPr>
        <w:pStyle w:val="Heading1"/>
        <w:pBdr>
          <w:bottom w:val="single" w:color="CC785C" w:sz="6" w:space="4"/>
        </w:pBdr>
        <w:spacing w:after="200" w:before="360"/>
      </w:pPr>
      <w:r>
        <w:rPr>
          <w:b/>
          <w:bCs/>
          <w:color w:val="CC785C"/>
        </w:rPr>
        <w:t xml:space="preserve">Sources</w:t>
      </w:r>
    </w:p>
    <w:p>
      <w:pPr>
        <w:spacing w:after="80"/>
      </w:pPr>
      <w:hyperlink w:history="1" r:id="rIdv4cvnpaeaj08_d7vdwodq">
        <w:r>
          <w:rPr>
            <w:rStyle w:val="Hyperlink"/>
            <w:color w:val="CC785C"/>
          </w:rPr>
          <w:t xml:space="preserve">LinkedIn — Conditions d'utilisation (User Agreement)</w:t>
        </w:r>
      </w:hyperlink>
    </w:p>
    <w:p>
      <w:pPr>
        <w:spacing w:after="80"/>
      </w:pPr>
      <w:hyperlink w:history="1" r:id="rIdiulcfjq5i3xdokint2dty">
        <w:r>
          <w:rPr>
            <w:rStyle w:val="Hyperlink"/>
            <w:color w:val="CC785C"/>
          </w:rPr>
          <w:t xml:space="preserve">LinkedIn Help — Logiciels et extensions interdits</w:t>
        </w:r>
      </w:hyperlink>
    </w:p>
    <w:p>
      <w:pPr>
        <w:spacing w:after="80"/>
      </w:pPr>
      <w:hyperlink w:history="1" r:id="rIdci0vhqlifawmtwhkxhoq8">
        <w:r>
          <w:rPr>
            <w:rStyle w:val="Hyperlink"/>
            <w:color w:val="CC785C"/>
          </w:rPr>
          <w:t xml:space="preserve">LinkedIn Help — Activité automatisée sur LinkedIn</w:t>
        </w:r>
      </w:hyperlink>
    </w:p>
    <w:p>
      <w:pPr>
        <w:spacing w:after="80"/>
      </w:pPr>
      <w:hyperlink w:history="1" r:id="rIdqedtsxtsysj40rfeybrfg">
        <w:r>
          <w:rPr>
            <w:rStyle w:val="Hyperlink"/>
            <w:color w:val="CC785C"/>
          </w:rPr>
          <w:t xml:space="preserve">ConnectSafely — Is LinkedIn Automation Safe in 2026?</w:t>
        </w:r>
      </w:hyperlink>
    </w:p>
    <w:p>
      <w:pPr>
        <w:spacing w:after="80"/>
      </w:pPr>
      <w:hyperlink w:history="1" r:id="rIdtdib_c6l03irafr-mv-ro">
        <w:r>
          <w:rPr>
            <w:rStyle w:val="Hyperlink"/>
            <w:color w:val="CC785C"/>
          </w:rPr>
          <w:t xml:space="preserve">Northlight — Is LinkedIn Automation Against the Rules? 2026 Guide</w:t>
        </w:r>
      </w:hyperlink>
    </w:p>
    <w:p>
      <w:pPr>
        <w:spacing w:after="80"/>
      </w:pPr>
      <w:hyperlink w:history="1" r:id="rId4bausd2tcplrti37i-5i1">
        <w:r>
          <w:rPr>
            <w:rStyle w:val="Hyperlink"/>
            <w:color w:val="CC785C"/>
          </w:rPr>
          <w:t xml:space="preserve">CNIL — La prospection commerciale par courrier électronique, SMS-MMS et automate d'appel</w:t>
        </w:r>
      </w:hyperlink>
    </w:p>
    <w:p>
      <w:pPr>
        <w:spacing w:after="80"/>
      </w:pPr>
      <w:hyperlink w:history="1" r:id="rIdfgh5da86l-ov08gw4lzfu">
        <w:r>
          <w:rPr>
            <w:rStyle w:val="Hyperlink"/>
            <w:color w:val="CC785C"/>
          </w:rPr>
          <w:t xml:space="preserve">Données Personnelles — Prospection commerciale RGPD : règles B2B/B2C et LinkedIn</w:t>
        </w:r>
      </w:hyperlink>
    </w:p>
    <w:p>
      <w:pPr>
        <w:spacing w:after="80"/>
      </w:pPr>
      <w:hyperlink w:history="1" r:id="rIdmcog2cixbe9w9kka2xrmg">
        <w:r>
          <w:rPr>
            <w:rStyle w:val="Hyperlink"/>
            <w:color w:val="CC785C"/>
          </w:rPr>
          <w:t xml:space="preserve">Leto Legal — RGPD et prospection B2B : intérêt légitime et opt-out</w:t>
        </w:r>
      </w:hyperlink>
    </w:p>
    <w:p>
      <w:pPr>
        <w:spacing w:after="80"/>
      </w:pPr>
      <w:hyperlink w:history="1" r:id="rIdwdw1ubvo7gzla1vlhdm75">
        <w:r>
          <w:rPr>
            <w:rStyle w:val="Hyperlink"/>
            <w:color w:val="CC785C"/>
          </w:rPr>
          <w:t xml:space="preserve">Waalaxy — Pricing</w:t>
        </w:r>
      </w:hyperlink>
    </w:p>
    <w:p>
      <w:pPr>
        <w:spacing w:after="80"/>
      </w:pPr>
      <w:hyperlink w:history="1" r:id="rIdcpnvqec3wpfeqcrf36xbk">
        <w:r>
          <w:rPr>
            <w:rStyle w:val="Hyperlink"/>
            <w:color w:val="CC785C"/>
          </w:rPr>
          <w:t xml:space="preserve">SalesDorado — Waalaxy, test complet 2026</w:t>
        </w:r>
      </w:hyperlink>
    </w:p>
    <w:p>
      <w:pPr>
        <w:spacing w:after="80"/>
      </w:pPr>
      <w:hyperlink w:history="1" r:id="rIdh3hzvejruep_e8hyhsccx">
        <w:r>
          <w:rPr>
            <w:rStyle w:val="Hyperlink"/>
            <w:color w:val="CC785C"/>
          </w:rPr>
          <w:t xml:space="preserve">Lemlist — Pricing</w:t>
        </w:r>
      </w:hyperlink>
    </w:p>
    <w:p>
      <w:pPr>
        <w:spacing w:after="80"/>
      </w:pPr>
      <w:hyperlink w:history="1" r:id="rId3hj1d1jz-bq8j19z0dai3">
        <w:r>
          <w:rPr>
            <w:rStyle w:val="Hyperlink"/>
            <w:color w:val="CC785C"/>
          </w:rPr>
          <w:t xml:space="preserve">Astra GTM — Lemlist Pricing 2026</w:t>
        </w:r>
      </w:hyperlink>
    </w:p>
    <w:p>
      <w:pPr>
        <w:spacing w:after="80"/>
      </w:pPr>
      <w:hyperlink w:history="1" r:id="rId8rwtkl8bx7qmhpva1ngsj">
        <w:r>
          <w:rPr>
            <w:rStyle w:val="Hyperlink"/>
            <w:color w:val="CC785C"/>
          </w:rPr>
          <w:t xml:space="preserve">data.gouv.fr — Liste publique des organismes de formation (L.6351-7-1 du Code du travail)</w:t>
        </w:r>
      </w:hyperlink>
    </w:p>
    <w:p>
      <w:pPr>
        <w:spacing w:after="80"/>
      </w:pPr>
      <w:hyperlink w:history="1" r:id="rId2kdvsrpei9kn0mr-fujqf">
        <w:r>
          <w:rPr>
            <w:rStyle w:val="Hyperlink"/>
            <w:color w:val="CC785C"/>
          </w:rPr>
          <w:t xml:space="preserve">Annuaire des Entreprises — Organismes de formation certifiés Qualiopi</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2B2724"/>
        <w:sz w:val="16"/>
        <w:szCs w:val="16"/>
      </w:rPr>
      <w:t xml:space="preserve">Page </w:t>
    </w:r>
    <w:r>
      <w:rPr>
        <w:rFonts w:ascii="Georgia" w:cs="Georgia" w:eastAsia="Georgia" w:hAnsi="Georgia"/>
        <w:color w:val="2B272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CC785C"/>
        <w:sz w:val="16"/>
        <w:szCs w:val="16"/>
      </w:rPr>
      <w:t xml:space="preserve">Claude Agency — Stratégie LinkedIn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C785C"/>
      </w:rPr>
    </w:lvl>
  </w:abstractNum>
  <w:abstractNum w:abstractNumId="3" w15:restartNumberingAfterBreak="0">
    <w:multiLevelType w:val="hybridMultilevel"/>
    <w:lvl w:ilvl="0" w15:tentative="1">
      <w:start w:val="1"/>
      <w:numFmt w:val="decimal"/>
      <w:lvlText w:val="%1."/>
      <w:lvlJc w:val="left"/>
      <w:pPr>
        <w:ind w:left="720" w:hanging="360"/>
      </w:pPr>
      <w:rPr>
        <w:b/>
        <w:bCs/>
        <w:color w:val="CC78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B27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CC785C"/>
      <w:sz w:val="32"/>
      <w:szCs w:val="32"/>
    </w:rPr>
  </w:style>
  <w:style w:type="paragraph" w:styleId="Heading2">
    <w:name w:val="Heading 2"/>
    <w:basedOn w:val="Normal"/>
    <w:next w:val="Normal"/>
    <w:qFormat/>
    <w:pPr>
      <w:spacing w:after="100" w:before="200"/>
      <w:outlineLvl w:val="1"/>
    </w:pPr>
    <w:rPr>
      <w:rFonts w:ascii="Georgia" w:cs="Georgia" w:eastAsia="Georgia" w:hAnsi="Georgia"/>
      <w:b/>
      <w:bCs/>
      <w:color w:val="2B272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4cvnpaeaj08_d7vdwodq" Type="http://schemas.openxmlformats.org/officeDocument/2006/relationships/hyperlink" Target="https://www.linkedin.com/legal/user-agreement" TargetMode="External"/><Relationship Id="rIdiulcfjq5i3xdokint2dty" Type="http://schemas.openxmlformats.org/officeDocument/2006/relationships/hyperlink" Target="https://www.linkedin.com/help/linkedin/answer/a1341387/prohibited-software-and-extensions?lang=en" TargetMode="External"/><Relationship Id="rIdci0vhqlifawmtwhkxhoq8" Type="http://schemas.openxmlformats.org/officeDocument/2006/relationships/hyperlink" Target="https://www.linkedin.com/help/linkedin/answer/a1340567" TargetMode="External"/><Relationship Id="rIdqedtsxtsysj40rfeybrfg" Type="http://schemas.openxmlformats.org/officeDocument/2006/relationships/hyperlink" Target="https://connectsafely.ai/articles/is-linkedin-automation-safe-tos-scraping-guide-2026" TargetMode="External"/><Relationship Id="rIdtdib_c6l03irafr-mv-ro" Type="http://schemas.openxmlformats.org/officeDocument/2006/relationships/hyperlink" Target="https://northlight.ai/blog/is-linkedin-automation-against-the-rules" TargetMode="External"/><Relationship Id="rId4bausd2tcplrti37i-5i1" Type="http://schemas.openxmlformats.org/officeDocument/2006/relationships/hyperlink" Target="https://www.cnil.fr/fr/la-prospection-commerciale-par-courrier-electronique" TargetMode="External"/><Relationship Id="rIdfgh5da86l-ov08gw4lzfu" Type="http://schemas.openxmlformats.org/officeDocument/2006/relationships/hyperlink" Target="https://www.donneespersonnelles.fr/prospection-commerciale-rgpd" TargetMode="External"/><Relationship Id="rIdmcog2cixbe9w9kka2xrmg" Type="http://schemas.openxmlformats.org/officeDocument/2006/relationships/hyperlink" Target="https://www.leto.legal/guides/rgpd-et-prospection-btob-quelles-regles-respecter" TargetMode="External"/><Relationship Id="rIdwdw1ubvo7gzla1vlhdm75" Type="http://schemas.openxmlformats.org/officeDocument/2006/relationships/hyperlink" Target="https://www.waalaxy.com/pricing" TargetMode="External"/><Relationship Id="rIdcpnvqec3wpfeqcrf36xbk" Type="http://schemas.openxmlformats.org/officeDocument/2006/relationships/hyperlink" Target="https://salesdorado.com/prospection-linkedin/avis-waalaxy/" TargetMode="External"/><Relationship Id="rIdh3hzvejruep_e8hyhsccx" Type="http://schemas.openxmlformats.org/officeDocument/2006/relationships/hyperlink" Target="https://www.lemlist.com/pricing" TargetMode="External"/><Relationship Id="rId3hj1d1jz-bq8j19z0dai3" Type="http://schemas.openxmlformats.org/officeDocument/2006/relationships/hyperlink" Target="https://astragtm.io/guides/lemlist-pricing-2026" TargetMode="External"/><Relationship Id="rId8rwtkl8bx7qmhpva1ngsj" Type="http://schemas.openxmlformats.org/officeDocument/2006/relationships/hyperlink" Target="https://www.data.gouv.fr/datasets/liste-publique-des-organismes-de-formation-l-6351-7-1-du-code-du-travail" TargetMode="External"/><Relationship Id="rId2kdvsrpei9kn0mr-fujqf" Type="http://schemas.openxmlformats.org/officeDocument/2006/relationships/hyperlink" Target="https://annuaire-entreprises.data.gouv.fr/lp/organisme-formation-qualiopi"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2026-06-25T08:29:23.485Z</dcterms:created>
  <dcterms:modified xsi:type="dcterms:W3CDTF">2026-06-25T08:29:23.486Z</dcterms:modified>
</cp:coreProperties>
</file>

<file path=docProps/custom.xml><?xml version="1.0" encoding="utf-8"?>
<Properties xmlns="http://schemas.openxmlformats.org/officeDocument/2006/custom-properties" xmlns:vt="http://schemas.openxmlformats.org/officeDocument/2006/docPropsVTypes"/>
</file>