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934E3A"/>
          <w:sz w:val="40"/>
          <w:szCs w:val="40"/>
        </w:rPr>
        <w:t xml:space="preserve">Challenge #3 — VSL claudeagency.fr</w:t>
      </w:r>
    </w:p>
    <w:p>
      <w:pPr>
        <w:spacing w:after="120"/>
      </w:pPr>
      <w:r>
        <w:rPr>
          <w:i/>
          <w:iCs/>
          <w:color w:val="7A6E60"/>
          <w:sz w:val="20"/>
          <w:szCs w:val="20"/>
        </w:rPr>
        <w:t xml:space="preserve">Script + storyboard pour validation · 25 juin 2026</w:t>
      </w:r>
    </w:p>
    <w:p>
      <w:pPr>
        <w:spacing w:after="200"/>
      </w:pPr>
      <w:r>
        <w:t xml:space="preserve">Durée cible : 60 secondes maximum. Cible : dirigeants d’organismes de formation francophones. Message : Claude Agency automatise les tâches administratives et booste la visibilité. Voix off non générée dans cette étape (à produire avec votre outil TTS) ; images IA non générées à ce stade — étape suivante après validation.</w:t>
      </w:r>
    </w:p>
    <w:p>
      <w:pPr>
        <w:pStyle w:val="Heading1"/>
      </w:pPr>
      <w:r>
        <w:t xml:space="preserve">1. Script (voix off minutée)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CC78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Minutage</w:t>
            </w:r>
          </w:p>
        </w:tc>
        <w:tc>
          <w:tcPr>
            <w:tcW w:type="dxa" w:w="18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CC78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Séquence</w:t>
            </w:r>
          </w:p>
        </w:tc>
        <w:tc>
          <w:tcPr>
            <w:tcW w:type="dxa" w:w="63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CC78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Voix off</w:t>
            </w:r>
          </w:p>
        </w:tc>
      </w:tr>
      <w:tr>
        <w:tc>
          <w:tcPr>
            <w:tcW w:type="dxa" w:w="12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0-5 s</w:t>
            </w:r>
          </w:p>
        </w:tc>
        <w:tc>
          <w:tcPr>
            <w:tcW w:type="dxa" w:w="18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 (1/2)</w:t>
            </w:r>
          </w:p>
        </w:tc>
        <w:tc>
          <w:tcPr>
            <w:tcW w:type="dxa" w:w="63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Diriger un organisme de formation, c’est faire dix métiers à la fois.</w:t>
            </w:r>
          </w:p>
        </w:tc>
      </w:tr>
      <w:tr>
        <w:tc>
          <w:tcPr>
            <w:tcW w:type="dxa" w:w="12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5-10 s</w:t>
            </w:r>
          </w:p>
        </w:tc>
        <w:tc>
          <w:tcPr>
            <w:tcW w:type="dxa" w:w="18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 (2/2)</w:t>
            </w:r>
          </w:p>
        </w:tc>
        <w:tc>
          <w:tcPr>
            <w:tcW w:type="dxa" w:w="63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 le marketing, l’administratif, les audits Qualiopi : ça passe toujours après.</w:t>
            </w:r>
          </w:p>
        </w:tc>
      </w:tr>
      <w:tr>
        <w:tc>
          <w:tcPr>
            <w:tcW w:type="dxa" w:w="12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10-20 s</w:t>
            </w:r>
          </w:p>
        </w:tc>
        <w:tc>
          <w:tcPr>
            <w:tcW w:type="dxa" w:w="18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Solution (1/2)</w:t>
            </w:r>
          </w:p>
        </w:tc>
        <w:tc>
          <w:tcPr>
            <w:tcW w:type="dxa" w:w="63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Agency est une équipe IA dédiée aux organismes de formation.</w:t>
            </w:r>
          </w:p>
        </w:tc>
      </w:tr>
      <w:tr>
        <w:tc>
          <w:tcPr>
            <w:tcW w:type="dxa" w:w="12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20-30 s</w:t>
            </w:r>
          </w:p>
        </w:tc>
        <w:tc>
          <w:tcPr>
            <w:tcW w:type="dxa" w:w="18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Solution (2/2)</w:t>
            </w:r>
          </w:p>
        </w:tc>
        <w:tc>
          <w:tcPr>
            <w:tcW w:type="dxa" w:w="63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Référencement, publicité, optimisation de votre site, gestion administrative : on prend en charge ce qui vous freine. Vous gardez la pédagogie.</w:t>
            </w:r>
          </w:p>
        </w:tc>
      </w:tr>
      <w:tr>
        <w:tc>
          <w:tcPr>
            <w:tcW w:type="dxa" w:w="12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30-40 s</w:t>
            </w:r>
          </w:p>
        </w:tc>
        <w:tc>
          <w:tcPr>
            <w:tcW w:type="dxa" w:w="18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Preuve</w:t>
            </w:r>
          </w:p>
        </w:tc>
        <w:tc>
          <w:tcPr>
            <w:tcW w:type="dxa" w:w="63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ne vend pas une promesse : on l’a fait dans notre propre organisme de formation, avant d’en faire notre métier.</w:t>
            </w:r>
          </w:p>
        </w:tc>
      </w:tr>
      <w:tr>
        <w:tc>
          <w:tcPr>
            <w:tcW w:type="dxa" w:w="12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40-50 s</w:t>
            </w:r>
          </w:p>
        </w:tc>
        <w:tc>
          <w:tcPr>
            <w:tcW w:type="dxa" w:w="18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Bénéfices</w:t>
            </w:r>
          </w:p>
        </w:tc>
        <w:tc>
          <w:tcPr>
            <w:tcW w:type="dxa" w:w="63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Résultat : des heures récupérées chaque semaine sur l’administratif, vos preuves Qualiopi tenues à jour, et une visibilité retrouvée sur Google.</w:t>
            </w:r>
          </w:p>
        </w:tc>
      </w:tr>
      <w:tr>
        <w:tc>
          <w:tcPr>
            <w:tcW w:type="dxa" w:w="12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50-60 s</w:t>
            </w:r>
          </w:p>
        </w:tc>
        <w:tc>
          <w:tcPr>
            <w:tcW w:type="dxa" w:w="18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Commencez par un audit gratuit : vous repartez avec une feuille de route claire, sans engagement. Claude Agency, l’IA au service de votre organisme de formation.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7A6E60"/>
        </w:rPr>
        <w:t xml:space="preserve">Total : ~135 mots, soit ~2,25 mots/seconde — rythme confortable pour une voix off publicitaire en français. Ton « vous », chaleureux et direct, sans jargon IA, sans donnée chiffrée inventée.</w:t>
      </w:r>
    </w:p>
    <w:p>
      <w:pPr>
        <w:pStyle w:val="Heading1"/>
      </w:pPr>
      <w:r>
        <w:t xml:space="preserve">2. Storyboard (scène par scène)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6160"/>
        <w:gridCol w:w="1700"/>
      </w:tblGrid>
      <w:tr>
        <w:trPr>
          <w:tblHeader/>
        </w:trPr>
        <w:tc>
          <w:tcPr>
            <w:tcW w:type="dxa" w:w="5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CC78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CC78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Temps</w:t>
            </w:r>
          </w:p>
        </w:tc>
        <w:tc>
          <w:tcPr>
            <w:tcW w:type="dxa" w:w="61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CC78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visuelle</w:t>
            </w:r>
          </w:p>
        </w:tc>
        <w:tc>
          <w:tcPr>
            <w:tcW w:type="dxa" w:w="17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CC78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Texte à l’écran</w:t>
            </w:r>
          </w:p>
        </w:tc>
      </w:tr>
      <w:tr>
        <w:tc>
          <w:tcPr>
            <w:tcW w:type="dxa" w:w="5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0-5 s</w:t>
            </w:r>
          </w:p>
        </w:tc>
        <w:tc>
          <w:tcPr>
            <w:tcW w:type="dxa" w:w="61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Gros plan sur un dirigeant d’OF (40-50 ans) à son bureau, dossiers empilés, lumière naturelle chaude, expression concentrée mais digne. Style photographique éditorial, cohérent avec les visuels déjà publiés sur claudeagency.fr (hero-pilotage-ia.jpg, dirigeant-surcharge.jpg). Fond cream-100, aucune couleur froide.</w:t>
            </w:r>
          </w:p>
        </w:tc>
        <w:tc>
          <w:tcPr>
            <w:tcW w:type="dxa" w:w="17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5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5-10 s</w:t>
            </w:r>
          </w:p>
        </w:tc>
        <w:tc>
          <w:tcPr>
            <w:tcW w:type="dxa" w:w="61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resserré sur les irritants concrets : pile de dossiers Qualiopi, écran flou en arrière-plan affichant une position Google basse, horloge murale. Même décor, continuité. Légère désaturation pour la lourdeur, toujours dans la gamme chaude (jamais de bleu froid).</w:t>
            </w:r>
          </w:p>
        </w:tc>
        <w:tc>
          <w:tcPr>
            <w:tcW w:type="dxa" w:w="17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5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10-20 s</w:t>
            </w:r>
          </w:p>
        </w:tc>
        <w:tc>
          <w:tcPr>
            <w:tcW w:type="dxa" w:w="61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Transition franche : bandeau terracotta plein (#CC785C) traverse l’écran. Apparition du logo Claude Agency en cream-50, typographie Bricolage Grotesque. Pas de robot ni d’icône IA générique (pas de cerveau lumineux, pas de circuit néon).</w:t>
            </w:r>
          </w:p>
        </w:tc>
        <w:tc>
          <w:tcPr>
            <w:tcW w:type="dxa" w:w="17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Claude Agency » (logo)</w:t>
            </w:r>
          </w:p>
        </w:tc>
      </w:tr>
      <w:tr>
        <w:tc>
          <w:tcPr>
            <w:tcW w:type="dxa" w:w="5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20-30 s</w:t>
            </w:r>
          </w:p>
        </w:tc>
        <w:tc>
          <w:tcPr>
            <w:tcW w:type="dxa" w:w="61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Retour sur le même dirigeant, posture détendue, à côté d’une liste éditoriale verticale des 4 expertises (texte aligné à gauche, pas de grille de cartes identiques). Fond cream-50.</w:t>
            </w:r>
          </w:p>
        </w:tc>
        <w:tc>
          <w:tcPr>
            <w:tcW w:type="dxa" w:w="17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· SEA · Site · Admin/Qualiopi</w:t>
            </w:r>
          </w:p>
        </w:tc>
      </w:tr>
      <w:tr>
        <w:tc>
          <w:tcPr>
            <w:tcW w:type="dxa" w:w="5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30-40 s</w:t>
            </w:r>
          </w:p>
        </w:tc>
        <w:tc>
          <w:tcPr>
            <w:tcW w:type="dxa" w:w="61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évoquant un tableau de bord sobre (cf. resultats-automatisation.jpg du site), sans gros chiffre affiché (conforme au choix « bénéfices génériques », pas de hero-metric). Ambiance confiante, lumière chaude.</w:t>
            </w:r>
          </w:p>
        </w:tc>
        <w:tc>
          <w:tcPr>
            <w:tcW w:type="dxa" w:w="17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Testé dans notre propre organisme » (discret)</w:t>
            </w:r>
          </w:p>
        </w:tc>
      </w:tr>
      <w:tr>
        <w:tc>
          <w:tcPr>
            <w:tcW w:type="dxa" w:w="5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40-50 s</w:t>
            </w:r>
          </w:p>
        </w:tc>
        <w:tc>
          <w:tcPr>
            <w:tcW w:type="dxa" w:w="61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dirigeant, souriant, en conversation avec un formateur ou un stagiaire (le temps gagné revient à la pédagogie, pas à la machine). Bandeau bas, fond cream-100.</w:t>
            </w:r>
          </w:p>
        </w:tc>
        <w:tc>
          <w:tcPr>
            <w:tcW w:type="dxa" w:w="17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BF7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Temps gagné · Qualiopi à jour · Visibilité Google</w:t>
            </w:r>
          </w:p>
        </w:tc>
      </w:tr>
      <w:tr>
        <w:tc>
          <w:tcPr>
            <w:tcW w:type="dxa" w:w="5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50-60 s</w:t>
            </w:r>
          </w:p>
        </w:tc>
        <w:tc>
          <w:tcPr>
            <w:tcW w:type="dxa" w:w="616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Bandeau terracotta plein (#CC785C) pleine largeur, logo Claude Agency en cream-50. Contraste vérifié (cream-50 sur brand-700, conforme DESIGN.md).</w:t>
            </w:r>
          </w:p>
        </w:tc>
        <w:tc>
          <w:tcPr>
            <w:tcW w:type="dxa" w:w="1700"/>
            <w:tcBorders>
              <w:top w:val="single" w:color="E5D9C7" w:sz="4"/>
              <w:left w:val="single" w:color="E5D9C7" w:sz="4"/>
              <w:bottom w:val="single" w:color="E5D9C7" w:sz="4"/>
              <w:right w:val="single" w:color="E5D9C7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« Demander un audit offert » + claudeagency.fr</w:t>
            </w:r>
          </w:p>
        </w:tc>
      </w:tr>
    </w:tbl>
    <w:p>
      <w:pPr>
        <w:pStyle w:val="Heading1"/>
      </w:pPr>
      <w:r>
        <w:t xml:space="preserve">3. Vérification charte visuelle</w:t>
      </w:r>
    </w:p>
    <w:p>
      <w:pPr>
        <w:spacing w:after="200"/>
      </w:pPr>
      <w:r>
        <w:rPr>
          <w:i/>
          <w:iCs/>
          <w:color w:val="7A6E60"/>
        </w:rPr>
        <w:t xml:space="preserve">Pas de skill « /frontend-design » disponible dans cette session : le contrôle de charte est intégré directement à la relecture du storyboard ci-dessus, sur la base de DESIGN.md et des règles anti-AI-slop.</w:t>
      </w:r>
    </w:p>
    <w:p>
      <w:pPr>
        <w:spacing w:after="100"/>
      </w:pPr>
      <w:r>
        <w:t xml:space="preserve">• Pas de gradient de texte, pas de glassmorphism, pas de hero-metric (gros chiffre + stats) : respecté.</w:t>
      </w:r>
    </w:p>
    <w:p>
      <w:pPr>
        <w:spacing w:after="100"/>
      </w:pPr>
      <w:r>
        <w:t xml:space="preserve">• Pas de grilles de cartes identiques : liste éditoriale (scène 4), pas de grille SaaS.</w:t>
      </w:r>
    </w:p>
    <w:p>
      <w:pPr>
        <w:spacing w:after="100"/>
      </w:pPr>
      <w:r>
        <w:t xml:space="preserve">• Pas d’eyebrow tracté ni de numéros de section décoratifs.</w:t>
      </w:r>
    </w:p>
    <w:p>
      <w:pPr>
        <w:spacing w:after="100"/>
      </w:pPr>
      <w:r>
        <w:t xml:space="preserve">• Pas de bordures latérales colorées comme accent.</w:t>
      </w:r>
    </w:p>
    <w:p>
      <w:pPr>
        <w:spacing w:after="100"/>
      </w:pPr>
      <w:r>
        <w:t xml:space="preserve">• Contraste texte vérifié : cream-50 sur brand-700 (scènes 3 et 7), ink sur cream-50/100 ailleurs — conforme DESIGN.md.</w:t>
      </w:r>
    </w:p>
    <w:p>
      <w:pPr>
        <w:spacing w:after="100"/>
      </w:pPr>
      <w:r>
        <w:t xml:space="preserve">• Pas d’iconographie IA générique (robot, cerveau lumineux, circuit néon, hologramme) : photographie éditoriale humaine, cohérente avec les visuels déjà publiés sur le site.</w:t>
      </w:r>
    </w:p>
    <w:p>
      <w:pPr>
        <w:spacing w:after="100"/>
      </w:pPr>
      <w:r>
        <w:t xml:space="preserve">• Aucun em dash dans le script ni les textes à l’écran.</w:t>
      </w:r>
    </w:p>
    <w:p>
      <w:pPr>
        <w:spacing w:after="100"/>
      </w:pPr>
      <w:r>
        <w:t xml:space="preserve">• Typographie : Bricolage Grotesque (titres/logos) et Schibsted Grotesk (textes à l’écran), cohérent avec le site.</w:t>
      </w:r>
    </w:p>
    <w:p>
      <w:pPr>
        <w:spacing w:after="100"/>
      </w:pPr>
      <w:r>
        <w:t xml:space="preserve">• Couleurs strictement issues de la palette officielle (#FBF7F1, #F5EFE6, #CC785C et sa rampe, #2B2724, #7A6E60) : aucune couleur inventée.</w:t>
      </w:r>
    </w:p>
    <w:p>
      <w:pPr>
        <w:pStyle w:val="Heading1"/>
      </w:pPr>
      <w:r>
        <w:t xml:space="preserve">4. Prochaines étapes</w:t>
      </w:r>
    </w:p>
    <w:p>
      <w:pPr>
        <w:pStyle w:val="Heading2"/>
      </w:pPr>
      <w:r>
        <w:t xml:space="preserve">Génération des images IA</w:t>
      </w:r>
    </w:p>
    <w:p>
      <w:pPr>
        <w:spacing w:after="200"/>
      </w:pPr>
      <w:r>
        <w:t xml:space="preserve">À lancer après validation de ce document, avec l’outil déjà disponible dans cette session (Gemini via la skill seo-image-gen), un prompt par scène basé sur les descriptions ci-dessus.</w:t>
      </w:r>
    </w:p>
    <w:p>
      <w:pPr>
        <w:pStyle w:val="Heading2"/>
      </w:pPr>
      <w:r>
        <w:t xml:space="preserve">Assemblage de la vidéo finale</w:t>
      </w:r>
    </w:p>
    <w:p>
      <w:pPr>
        <w:spacing w:after="100"/>
      </w:pPr>
      <w:r>
        <w:t xml:space="preserve">Recommandation : CapCut (gratuit, sous-titrage automatique, import direct de vos propres images et de votre piste voix off, léger zoom/pan pour animer des images statiques). Alternative tout-en-un si vous préférez partir d’un script vers une vidéo assemblée automatiquement : Fliki ou InVideo AI. Ces outils n’ont pas été testés dans cette session ; à vérifier côté tarifs et export avant usage.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7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934E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272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2026-06-25T12:14:40.033Z</dcterms:created>
  <dcterms:modified xsi:type="dcterms:W3CDTF">2026-06-25T12:14:40.055Z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