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400be8be6e932e99fe8b67a2d705bf63d83c74"/>
    <w:p>
      <w:pPr>
        <w:pStyle w:val="Heading1"/>
      </w:pPr>
      <w:r>
        <w:t xml:space="preserve">Counterintelligence &amp; Insider Threat Detection Lab</w:t>
      </w:r>
    </w:p>
    <w:p>
      <w:pPr>
        <w:pStyle w:val="FirstParagraph"/>
      </w:pPr>
      <w:r>
        <w:t xml:space="preserve">This lab shows how to establish a basic insider threat detection program, integrating user activity monitoring (UAM) with insider threat analysis. The National Insider Threat Task Force (NITTF) states that insider threat programs must include the capability to monitor user activity on all classified networks to detect indicators of insider threat behaviour【65178530542729†L2397-L2411】. User Activity Monitoring involves capturing keystrokes, full application content, screen images and file activity, and setting triggers for anomalous behaviour【65178530542729†L2430-L2442】. You will configure an open‑source UAM tool, define triggers, and develop an analysis and response workflow.</w:t>
      </w:r>
    </w:p>
    <w:bookmarkStart w:id="20" w:name="objectives"/>
    <w:p>
      <w:pPr>
        <w:pStyle w:val="Heading2"/>
      </w:pPr>
      <w:r>
        <w:t xml:space="preserve">Objectives</w:t>
      </w:r>
    </w:p>
    <w:p>
      <w:pPr>
        <w:numPr>
          <w:ilvl w:val="0"/>
          <w:numId w:val="1001"/>
        </w:numPr>
        <w:pStyle w:val="Compact"/>
      </w:pPr>
      <w:r>
        <w:t xml:space="preserve">Understand insider threat program requirements and the role of User Activity Monitoring (UAM).</w:t>
      </w:r>
    </w:p>
    <w:p>
      <w:pPr>
        <w:numPr>
          <w:ilvl w:val="0"/>
          <w:numId w:val="1001"/>
        </w:numPr>
        <w:pStyle w:val="Compact"/>
      </w:pPr>
      <w:r>
        <w:t xml:space="preserve">Install and configure an open‑source UAM solution on a lab network.</w:t>
      </w:r>
    </w:p>
    <w:p>
      <w:pPr>
        <w:numPr>
          <w:ilvl w:val="0"/>
          <w:numId w:val="1001"/>
        </w:numPr>
        <w:pStyle w:val="Compact"/>
      </w:pPr>
      <w:r>
        <w:t xml:space="preserve">Capture and analyse user activity data (keystrokes, application content, screen captures, file operations)【65178530542729†L2430-L2441】.</w:t>
      </w:r>
    </w:p>
    <w:p>
      <w:pPr>
        <w:numPr>
          <w:ilvl w:val="0"/>
          <w:numId w:val="1001"/>
        </w:numPr>
        <w:pStyle w:val="Compact"/>
      </w:pPr>
      <w:r>
        <w:t xml:space="preserve">Define triggers and alerts for suspicious activity.</w:t>
      </w:r>
    </w:p>
    <w:p>
      <w:pPr>
        <w:numPr>
          <w:ilvl w:val="0"/>
          <w:numId w:val="1001"/>
        </w:numPr>
        <w:pStyle w:val="Compact"/>
      </w:pPr>
      <w:r>
        <w:t xml:space="preserve">Integrate UAM output with other contextual data (HR, CI, security) to investigate potential insider threats.</w:t>
      </w:r>
    </w:p>
    <w:p>
      <w:pPr>
        <w:numPr>
          <w:ilvl w:val="0"/>
          <w:numId w:val="1001"/>
        </w:numPr>
        <w:pStyle w:val="Compact"/>
      </w:pPr>
      <w:r>
        <w:t xml:space="preserve">Create an insider threat response playbook outlining detection, analysis and mitigation steps.</w:t>
      </w:r>
    </w:p>
    <w:bookmarkEnd w:id="20"/>
    <w:bookmarkStart w:id="21" w:name="prerequisites"/>
    <w:p>
      <w:pPr>
        <w:pStyle w:val="Heading2"/>
      </w:pPr>
      <w:r>
        <w:t xml:space="preserve">Prerequisites</w:t>
      </w:r>
    </w:p>
    <w:p>
      <w:pPr>
        <w:numPr>
          <w:ilvl w:val="0"/>
          <w:numId w:val="1002"/>
        </w:numPr>
        <w:pStyle w:val="Compact"/>
      </w:pPr>
      <w:r>
        <w:t xml:space="preserve">A lab environment with a few test systems or virtual machines to simulate a small network.</w:t>
      </w:r>
    </w:p>
    <w:p>
      <w:pPr>
        <w:numPr>
          <w:ilvl w:val="0"/>
          <w:numId w:val="1002"/>
        </w:numPr>
        <w:pStyle w:val="Compact"/>
      </w:pPr>
      <w:r>
        <w:t xml:space="preserve">Administrative privileges to install monitoring software on the hosts.</w:t>
      </w:r>
    </w:p>
    <w:p>
      <w:pPr>
        <w:numPr>
          <w:ilvl w:val="0"/>
          <w:numId w:val="1002"/>
        </w:numPr>
        <w:pStyle w:val="Compact"/>
      </w:pPr>
      <w:r>
        <w:t xml:space="preserve">An open‑source UAM solution (e.g.,</w:t>
      </w:r>
      <w:r>
        <w:t xml:space="preserve"> </w:t>
      </w:r>
      <w:r>
        <w:rPr>
          <w:bCs/>
          <w:b/>
        </w:rPr>
        <w:t xml:space="preserve">Helk</w:t>
      </w:r>
      <w:r>
        <w:t xml:space="preserve">,</w:t>
      </w:r>
      <w:r>
        <w:t xml:space="preserve"> </w:t>
      </w:r>
      <w:r>
        <w:rPr>
          <w:bCs/>
          <w:b/>
        </w:rPr>
        <w:t xml:space="preserve">OSSEC</w:t>
      </w:r>
      <w:r>
        <w:t xml:space="preserve"> </w:t>
      </w:r>
      <w:r>
        <w:t xml:space="preserve">or</w:t>
      </w:r>
      <w:r>
        <w:t xml:space="preserve"> </w:t>
      </w:r>
      <w:r>
        <w:rPr>
          <w:bCs/>
          <w:b/>
        </w:rPr>
        <w:t xml:space="preserve">Auditd</w:t>
      </w:r>
      <w:r>
        <w:t xml:space="preserve">). Ensure compliance with local laws—monitor only systems you own and have permission to observe.</w:t>
      </w:r>
    </w:p>
    <w:bookmarkEnd w:id="21"/>
    <w:bookmarkStart w:id="22" w:name="step-1-review-insider-threat-standards"/>
    <w:p>
      <w:pPr>
        <w:pStyle w:val="Heading2"/>
      </w:pPr>
      <w:r>
        <w:t xml:space="preserve">Step 1 – Review Insider Threat Standards</w:t>
      </w:r>
    </w:p>
    <w:p>
      <w:pPr>
        <w:numPr>
          <w:ilvl w:val="0"/>
          <w:numId w:val="1003"/>
        </w:numPr>
        <w:pStyle w:val="Compact"/>
      </w:pPr>
      <w:r>
        <w:t xml:space="preserve">Read the NITTF Insider Threat Guide. It emphasises that insider threat programs must have the technical capability, subject to appropriate approvals, to monitor user activity on all classified networks【65178530542729†L2397-L2410】. Monitoring is conducted via UAM solutions that record keystrokes, full application content, screen captures and file shadowing【65178530542729†L2430-L2442】.</w:t>
      </w:r>
    </w:p>
    <w:p>
      <w:pPr>
        <w:numPr>
          <w:ilvl w:val="0"/>
          <w:numId w:val="1003"/>
        </w:numPr>
        <w:pStyle w:val="Compact"/>
      </w:pPr>
      <w:r>
        <w:t xml:space="preserve">Note the requirement for policies that protect, interpret, store and limit access to UAM data【65178530542729†L2381-L2383】, and for employee agreements acknowledging that their activity may be monitored【65178530542729†L2384-L2387】. Plan to implement these in your lab (e.g., inform participants they are being monitored).</w:t>
      </w:r>
    </w:p>
    <w:p>
      <w:pPr>
        <w:numPr>
          <w:ilvl w:val="0"/>
          <w:numId w:val="1003"/>
        </w:numPr>
        <w:pStyle w:val="Compact"/>
      </w:pPr>
      <w:r>
        <w:t xml:space="preserve">Understand that UAM is distinct from enterprise audit logs (EAM). It involves capturing deeper context (keystrokes, screen content) beyond standard audit trails【65178530542729†L2489-L2499】.</w:t>
      </w:r>
    </w:p>
    <w:bookmarkEnd w:id="22"/>
    <w:bookmarkStart w:id="23" w:name="step-2-set-up-the-lab-environment"/>
    <w:p>
      <w:pPr>
        <w:pStyle w:val="Heading2"/>
      </w:pPr>
      <w:r>
        <w:t xml:space="preserve">Step 2 – Set Up the Lab Environment</w:t>
      </w:r>
    </w:p>
    <w:p>
      <w:pPr>
        <w:numPr>
          <w:ilvl w:val="0"/>
          <w:numId w:val="1004"/>
        </w:numPr>
        <w:pStyle w:val="Compact"/>
      </w:pPr>
      <w:r>
        <w:rPr>
          <w:bCs/>
          <w:b/>
        </w:rPr>
        <w:t xml:space="preserve">Designate roles:</w:t>
      </w:r>
      <w:r>
        <w:t xml:space="preserve"> </w:t>
      </w:r>
      <w:r>
        <w:t xml:space="preserve">Identify a small group of test users and an insider threat analyst. The analyst will review UAM alerts and coordinate response.</w:t>
      </w:r>
    </w:p>
    <w:p>
      <w:pPr>
        <w:numPr>
          <w:ilvl w:val="0"/>
          <w:numId w:val="1004"/>
        </w:numPr>
        <w:pStyle w:val="Compact"/>
      </w:pPr>
      <w:r>
        <w:rPr>
          <w:bCs/>
          <w:b/>
        </w:rPr>
        <w:t xml:space="preserve">Install UAM software:</w:t>
      </w:r>
      <w:r>
        <w:t xml:space="preserve"> </w:t>
      </w:r>
      <w:r>
        <w:t xml:space="preserve">On each test system, install your chosen UAM tool (e.g., OSSEC with Syscheck/HIDS or Auditd on Linux). Configure agents to send activity logs to a central server. Ensure the tool can capture keystrokes, file operations and process execution.</w:t>
      </w:r>
    </w:p>
    <w:p>
      <w:pPr>
        <w:numPr>
          <w:ilvl w:val="0"/>
          <w:numId w:val="1004"/>
        </w:numPr>
        <w:pStyle w:val="Compact"/>
      </w:pPr>
      <w:r>
        <w:rPr>
          <w:bCs/>
          <w:b/>
        </w:rPr>
        <w:t xml:space="preserve">Configure central server:</w:t>
      </w:r>
      <w:r>
        <w:t xml:space="preserve"> </w:t>
      </w:r>
      <w:r>
        <w:t xml:space="preserve">Set up a logging server (e.g., an ELK stack or Wazuh) to aggregate UAM events. Enable secure communications between agents and server.</w:t>
      </w:r>
    </w:p>
    <w:p>
      <w:pPr>
        <w:numPr>
          <w:ilvl w:val="0"/>
          <w:numId w:val="1004"/>
        </w:numPr>
        <w:pStyle w:val="Compact"/>
      </w:pPr>
      <w:r>
        <w:rPr>
          <w:bCs/>
          <w:b/>
        </w:rPr>
        <w:t xml:space="preserve">Network baseline:</w:t>
      </w:r>
      <w:r>
        <w:t xml:space="preserve"> </w:t>
      </w:r>
      <w:r>
        <w:t xml:space="preserve">Generate normal user activity (document editing, email, code compilation) to establish baseline patterns. UAM should record these events.</w:t>
      </w:r>
    </w:p>
    <w:bookmarkEnd w:id="23"/>
    <w:bookmarkStart w:id="24" w:name="step-3-define-triggers-and-alerts"/>
    <w:p>
      <w:pPr>
        <w:pStyle w:val="Heading2"/>
      </w:pPr>
      <w:r>
        <w:t xml:space="preserve">Step 3 – Define Triggers and Alerts</w:t>
      </w:r>
    </w:p>
    <w:p>
      <w:pPr>
        <w:numPr>
          <w:ilvl w:val="0"/>
          <w:numId w:val="1005"/>
        </w:numPr>
        <w:pStyle w:val="Compact"/>
      </w:pPr>
      <w:r>
        <w:t xml:space="preserve">Based on the NITTF guide, define triggers that indicate potential insider threat behaviour. Examples include:</w:t>
      </w:r>
    </w:p>
    <w:p>
      <w:pPr>
        <w:numPr>
          <w:ilvl w:val="1"/>
          <w:numId w:val="1006"/>
        </w:numPr>
        <w:pStyle w:val="Compact"/>
      </w:pPr>
      <w:r>
        <w:t xml:space="preserve">Mass file downloads or copying sensitive files to external drives.</w:t>
      </w:r>
    </w:p>
    <w:p>
      <w:pPr>
        <w:numPr>
          <w:ilvl w:val="1"/>
          <w:numId w:val="1006"/>
        </w:numPr>
        <w:pStyle w:val="Compact"/>
      </w:pPr>
      <w:r>
        <w:t xml:space="preserve">Accessing systems or data outside normal job responsibilities.</w:t>
      </w:r>
    </w:p>
    <w:p>
      <w:pPr>
        <w:numPr>
          <w:ilvl w:val="1"/>
          <w:numId w:val="1006"/>
        </w:numPr>
        <w:pStyle w:val="Compact"/>
      </w:pPr>
      <w:r>
        <w:t xml:space="preserve">High‑volume printing or unusual network traffic.</w:t>
      </w:r>
    </w:p>
    <w:p>
      <w:pPr>
        <w:numPr>
          <w:ilvl w:val="1"/>
          <w:numId w:val="1006"/>
        </w:numPr>
        <w:pStyle w:val="Compact"/>
      </w:pPr>
      <w:r>
        <w:t xml:space="preserve">Use of privileged commands without authorization.</w:t>
      </w:r>
    </w:p>
    <w:p>
      <w:pPr>
        <w:numPr>
          <w:ilvl w:val="1"/>
          <w:numId w:val="1006"/>
        </w:numPr>
        <w:pStyle w:val="Compact"/>
      </w:pPr>
      <w:r>
        <w:t xml:space="preserve">Keystrokes containing suspicious terms (e.g.,</w:t>
      </w:r>
      <w:r>
        <w:t xml:space="preserve"> </w:t>
      </w:r>
      <w:r>
        <w:t xml:space="preserve">“</w:t>
      </w:r>
      <w:r>
        <w:t xml:space="preserve">password.csv</w:t>
      </w:r>
      <w:r>
        <w:t xml:space="preserve">”</w:t>
      </w:r>
      <w:r>
        <w:t xml:space="preserve">,</w:t>
      </w:r>
      <w:r>
        <w:t xml:space="preserve"> </w:t>
      </w:r>
      <w:r>
        <w:t xml:space="preserve">“</w:t>
      </w:r>
      <w:r>
        <w:t xml:space="preserve">classified</w:t>
      </w:r>
      <w:r>
        <w:t xml:space="preserve">”</w:t>
      </w:r>
      <w:r>
        <w:t xml:space="preserve">).</w:t>
      </w:r>
    </w:p>
    <w:p>
      <w:pPr>
        <w:numPr>
          <w:ilvl w:val="0"/>
          <w:numId w:val="1005"/>
        </w:numPr>
        <w:pStyle w:val="Compact"/>
      </w:pPr>
      <w:r>
        <w:t xml:space="preserve">Configure the UAM tool to generate alerts when triggers fire. For example, OSSEC rules can be written to raise an alert when a user reads /etc/passwd, deletes logs, or spawns shells under unusual accounts.</w:t>
      </w:r>
    </w:p>
    <w:p>
      <w:pPr>
        <w:numPr>
          <w:ilvl w:val="0"/>
          <w:numId w:val="1005"/>
        </w:numPr>
        <w:pStyle w:val="Compact"/>
      </w:pPr>
      <w:r>
        <w:t xml:space="preserve">Implement policy banners or login notices reminding users that activity is monitored and subject to review【65178530542729†L2384-L2387】.</w:t>
      </w:r>
    </w:p>
    <w:bookmarkEnd w:id="24"/>
    <w:bookmarkStart w:id="25" w:name="step-4-integrate-contextual-data"/>
    <w:p>
      <w:pPr>
        <w:pStyle w:val="Heading2"/>
      </w:pPr>
      <w:r>
        <w:t xml:space="preserve">Step 4 – Integrate Contextual Data</w:t>
      </w:r>
    </w:p>
    <w:p>
      <w:pPr>
        <w:numPr>
          <w:ilvl w:val="0"/>
          <w:numId w:val="1007"/>
        </w:numPr>
        <w:pStyle w:val="Compact"/>
      </w:pPr>
      <w:r>
        <w:t xml:space="preserve">Insider threat detection requires context. Combine UAM data with information from security (SIEM logs), human resources (e.g., recent performance issues or resignations), counterintelligence (background investigations) and law enforcement sources.</w:t>
      </w:r>
    </w:p>
    <w:p>
      <w:pPr>
        <w:numPr>
          <w:ilvl w:val="0"/>
          <w:numId w:val="1007"/>
        </w:numPr>
        <w:pStyle w:val="Compact"/>
      </w:pPr>
      <w:r>
        <w:t xml:space="preserve">Use correlation tools (e.g., a simple dashboard or Jupyter notebook) to merge UAM event timestamps with contextual information. For example, link an alert for mass USB file copying with the fact that the employee recently had a disciplinary issue.</w:t>
      </w:r>
    </w:p>
    <w:p>
      <w:pPr>
        <w:numPr>
          <w:ilvl w:val="0"/>
          <w:numId w:val="1007"/>
        </w:numPr>
        <w:pStyle w:val="Compact"/>
      </w:pPr>
      <w:r>
        <w:t xml:space="preserve">Develop an</w:t>
      </w:r>
      <w:r>
        <w:t xml:space="preserve"> </w:t>
      </w:r>
      <w:r>
        <w:t xml:space="preserve">“</w:t>
      </w:r>
      <w:r>
        <w:t xml:space="preserve">insider threat case file</w:t>
      </w:r>
      <w:r>
        <w:t xml:space="preserve">”</w:t>
      </w:r>
      <w:r>
        <w:t xml:space="preserve"> </w:t>
      </w:r>
      <w:r>
        <w:t xml:space="preserve">template where you record events, context, preliminary assessment and next steps.</w:t>
      </w:r>
    </w:p>
    <w:bookmarkEnd w:id="25"/>
    <w:bookmarkStart w:id="26" w:name="step-5-analyse-and-respond-to-alerts"/>
    <w:p>
      <w:pPr>
        <w:pStyle w:val="Heading2"/>
      </w:pPr>
      <w:r>
        <w:t xml:space="preserve">Step 5 – Analyse and Respond to Alerts</w:t>
      </w:r>
    </w:p>
    <w:p>
      <w:pPr>
        <w:numPr>
          <w:ilvl w:val="0"/>
          <w:numId w:val="1008"/>
        </w:numPr>
        <w:pStyle w:val="Compact"/>
      </w:pPr>
      <w:r>
        <w:t xml:space="preserve">When a trigger fires, the insider threat analyst reviews the UAM event: inspect the keystroke log, screen capture and file operations. Determine whether the behaviour is malicious, negligent or benign.</w:t>
      </w:r>
    </w:p>
    <w:p>
      <w:pPr>
        <w:numPr>
          <w:ilvl w:val="0"/>
          <w:numId w:val="1008"/>
        </w:numPr>
        <w:pStyle w:val="Compact"/>
      </w:pPr>
      <w:r>
        <w:t xml:space="preserve">If the alert appears serious, follow your organisation’s escalation process: involve security, HR and legal as appropriate. Document decisions and actions taken.</w:t>
      </w:r>
    </w:p>
    <w:p>
      <w:pPr>
        <w:numPr>
          <w:ilvl w:val="0"/>
          <w:numId w:val="1008"/>
        </w:numPr>
        <w:pStyle w:val="Compact"/>
      </w:pPr>
      <w:r>
        <w:t xml:space="preserve">Use statistical or behavioural analysis to refine triggers. The NITTF guide notes that advanced insider threat programs incorporate statistical and mathematical review processes to improve triggers and reduce false positives【65178530542729†L2421-L2428】.</w:t>
      </w:r>
    </w:p>
    <w:bookmarkEnd w:id="26"/>
    <w:bookmarkStart w:id="27" w:name="step-6-protect-and-store-monitoring-data"/>
    <w:p>
      <w:pPr>
        <w:pStyle w:val="Heading2"/>
      </w:pPr>
      <w:r>
        <w:t xml:space="preserve">Step 6 – Protect and Store Monitoring Data</w:t>
      </w:r>
    </w:p>
    <w:p>
      <w:pPr>
        <w:numPr>
          <w:ilvl w:val="0"/>
          <w:numId w:val="1009"/>
        </w:numPr>
        <w:pStyle w:val="Compact"/>
      </w:pPr>
      <w:r>
        <w:t xml:space="preserve">Implement policies to ensure that UAM data is stored securely and accessed only by authorised analysts【65178530542729†L2381-L2383】. Use encryption at rest and strong access controls.</w:t>
      </w:r>
    </w:p>
    <w:p>
      <w:pPr>
        <w:numPr>
          <w:ilvl w:val="0"/>
          <w:numId w:val="1009"/>
        </w:numPr>
        <w:pStyle w:val="Compact"/>
      </w:pPr>
      <w:r>
        <w:t xml:space="preserve">Establish retention periods and procedures for securely disposing of monitoring data that is no longer needed.</w:t>
      </w:r>
    </w:p>
    <w:p>
      <w:pPr>
        <w:numPr>
          <w:ilvl w:val="0"/>
          <w:numId w:val="1009"/>
        </w:numPr>
        <w:pStyle w:val="Compact"/>
      </w:pPr>
      <w:r>
        <w:t xml:space="preserve">Record user acknowledgment agreements: participants must sign or electronically agree to being monitored, as required by policy【65178530542729†L2384-L2387】.</w:t>
      </w:r>
    </w:p>
    <w:bookmarkEnd w:id="27"/>
    <w:bookmarkStart w:id="28" w:name="X938cf751c24e2613bb375e29ad9705c94cb3922"/>
    <w:p>
      <w:pPr>
        <w:pStyle w:val="Heading2"/>
      </w:pPr>
      <w:r>
        <w:t xml:space="preserve">Step 7 – Continuous Improvement and Training</w:t>
      </w:r>
    </w:p>
    <w:p>
      <w:pPr>
        <w:numPr>
          <w:ilvl w:val="0"/>
          <w:numId w:val="1010"/>
        </w:numPr>
        <w:pStyle w:val="Compact"/>
      </w:pPr>
      <w:r>
        <w:t xml:space="preserve">Periodically review insider threat cases and triggers. Update detection rules based on lessons learned and evolving threats.</w:t>
      </w:r>
    </w:p>
    <w:p>
      <w:pPr>
        <w:numPr>
          <w:ilvl w:val="0"/>
          <w:numId w:val="1010"/>
        </w:numPr>
        <w:pStyle w:val="Compact"/>
      </w:pPr>
      <w:r>
        <w:t xml:space="preserve">Provide regular training and awareness for employees about insider threat signs and reporting channels. Encourage a culture of security without creating a sense of surveillance.</w:t>
      </w:r>
    </w:p>
    <w:p>
      <w:pPr>
        <w:numPr>
          <w:ilvl w:val="0"/>
          <w:numId w:val="1010"/>
        </w:numPr>
        <w:pStyle w:val="Compact"/>
      </w:pPr>
      <w:r>
        <w:t xml:space="preserve">Align your lab’s practices with your organisation’s privacy and legal guidelines. Insider threat programs are designed to detect anomalous behaviour, not to target individuals【65178530542729†L2410-L2424】.</w:t>
      </w:r>
    </w:p>
    <w:bookmarkEnd w:id="28"/>
    <w:bookmarkStart w:id="29" w:name="deliverables"/>
    <w:p>
      <w:pPr>
        <w:pStyle w:val="Heading2"/>
      </w:pPr>
      <w:r>
        <w:t xml:space="preserve">Deliverables</w:t>
      </w:r>
    </w:p>
    <w:p>
      <w:pPr>
        <w:numPr>
          <w:ilvl w:val="0"/>
          <w:numId w:val="1011"/>
        </w:numPr>
        <w:pStyle w:val="Compact"/>
      </w:pPr>
      <w:r>
        <w:rPr>
          <w:bCs/>
          <w:b/>
        </w:rPr>
        <w:t xml:space="preserve">UAM Configuration Files:</w:t>
      </w:r>
      <w:r>
        <w:t xml:space="preserve"> </w:t>
      </w:r>
      <w:r>
        <w:t xml:space="preserve">Agent and server configuration files with triggers and alert rules.</w:t>
      </w:r>
    </w:p>
    <w:p>
      <w:pPr>
        <w:numPr>
          <w:ilvl w:val="0"/>
          <w:numId w:val="1011"/>
        </w:numPr>
        <w:pStyle w:val="Compact"/>
      </w:pPr>
      <w:r>
        <w:rPr>
          <w:bCs/>
          <w:b/>
        </w:rPr>
        <w:t xml:space="preserve">Insider Threat Playbook:</w:t>
      </w:r>
      <w:r>
        <w:t xml:space="preserve"> </w:t>
      </w:r>
      <w:r>
        <w:t xml:space="preserve">A document detailing detection triggers, analysis workflow, escalation procedures and mitigation steps.</w:t>
      </w:r>
    </w:p>
    <w:p>
      <w:pPr>
        <w:numPr>
          <w:ilvl w:val="0"/>
          <w:numId w:val="1011"/>
        </w:numPr>
        <w:pStyle w:val="Compact"/>
      </w:pPr>
      <w:r>
        <w:rPr>
          <w:bCs/>
          <w:b/>
        </w:rPr>
        <w:t xml:space="preserve">Case File Template:</w:t>
      </w:r>
      <w:r>
        <w:t xml:space="preserve"> </w:t>
      </w:r>
      <w:r>
        <w:t xml:space="preserve">A standardised form for recording and analysing insider threat cases.</w:t>
      </w:r>
    </w:p>
    <w:p>
      <w:pPr>
        <w:numPr>
          <w:ilvl w:val="0"/>
          <w:numId w:val="1011"/>
        </w:numPr>
        <w:pStyle w:val="Compact"/>
      </w:pPr>
      <w:r>
        <w:rPr>
          <w:bCs/>
          <w:b/>
        </w:rPr>
        <w:t xml:space="preserve">Training Materials:</w:t>
      </w:r>
      <w:r>
        <w:t xml:space="preserve"> </w:t>
      </w:r>
      <w:r>
        <w:t xml:space="preserve">Slides or handouts explaining insider threat awareness and user monitoring agreements.</w:t>
      </w:r>
    </w:p>
    <w:bookmarkEnd w:id="29"/>
    <w:bookmarkStart w:id="30" w:name="notes"/>
    <w:p>
      <w:pPr>
        <w:pStyle w:val="Heading2"/>
      </w:pPr>
      <w:r>
        <w:t xml:space="preserve">Notes</w:t>
      </w:r>
    </w:p>
    <w:p>
      <w:pPr>
        <w:pStyle w:val="FirstParagraph"/>
      </w:pPr>
      <w:r>
        <w:t xml:space="preserve">Insider threat detection is sensitive. Always respect legal and privacy frameworks. Inform all participants that their actions are being monitored and obtain consent. In real programmes, coordinate with human resources, legal counsel and leadership to ensure that monitoring is proportionate and focused on behaviours, not personal characteristics. This lab introduces core concepts using a small test environment; real‑world deployments must integrate with existing policy frameworks and tools.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2025-12-16T22:14:23Z</dcterms:created>
  <dcterms:modified xsi:type="dcterms:W3CDTF">2025-12-16T22:14:23Z</dcterms:modified>
</cp:coreProperties>
</file>

<file path=docProps/custom.xml><?xml version="1.0" encoding="utf-8"?>
<Properties xmlns="http://schemas.openxmlformats.org/officeDocument/2006/custom-properties" xmlns:vt="http://schemas.openxmlformats.org/officeDocument/2006/docPropsVTypes"/>
</file>