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fec2e27cf60ef9dd848c8b09466c1fb06fb97d0"/>
    <w:p>
      <w:pPr>
        <w:pStyle w:val="Heading1"/>
      </w:pPr>
      <w:r>
        <w:t xml:space="preserve">Dark‑Web Market &amp; Cryptocurrency Monitoring Lab</w:t>
      </w:r>
    </w:p>
    <w:bookmarkStart w:id="20" w:name="goal"/>
    <w:p>
      <w:pPr>
        <w:pStyle w:val="Heading2"/>
      </w:pPr>
      <w:r>
        <w:t xml:space="preserve">Goal</w:t>
      </w:r>
    </w:p>
    <w:p>
      <w:pPr>
        <w:pStyle w:val="FirstParagraph"/>
      </w:pPr>
      <w:r>
        <w:t xml:space="preserve">This lab guides you through setting up a safe environment to monitor dark‑web markets and track cryptocurrency transactions. You will use Tor to access hidden services, collect open‑source intelligence (OSINT) on goods and actors, and analyze blockchain transactions associated with illicit activity. The exercise demonstrates how all‑source analysts can fuse qualitative observations with quantitative blockchain data to build actor profiles and assess threats.</w:t>
      </w:r>
    </w:p>
    <w:bookmarkEnd w:id="20"/>
    <w:bookmarkStart w:id="21" w:name="prerequisites"/>
    <w:p>
      <w:pPr>
        <w:pStyle w:val="Heading2"/>
      </w:pPr>
      <w:r>
        <w:t xml:space="preserve">Prerequisites</w:t>
      </w:r>
    </w:p>
    <w:p>
      <w:pPr>
        <w:numPr>
          <w:ilvl w:val="0"/>
          <w:numId w:val="1001"/>
        </w:numPr>
        <w:pStyle w:val="Compact"/>
      </w:pPr>
      <w:r>
        <w:t xml:space="preserve">A computer or virtual machine you can dedicate to this lab. For safety, use a disposable VM (e.g., VirtualBox or VMware).</w:t>
      </w:r>
    </w:p>
    <w:p>
      <w:pPr>
        <w:numPr>
          <w:ilvl w:val="0"/>
          <w:numId w:val="1001"/>
        </w:numPr>
        <w:pStyle w:val="Compact"/>
      </w:pPr>
      <w:r>
        <w:t xml:space="preserve">An up‑to‑date Linux distribution (Ubuntu/Kali) with Python installed.</w:t>
      </w:r>
    </w:p>
    <w:p>
      <w:pPr>
        <w:numPr>
          <w:ilvl w:val="0"/>
          <w:numId w:val="1001"/>
        </w:numPr>
        <w:pStyle w:val="Compact"/>
      </w:pPr>
      <w:r>
        <w:t xml:space="preserve">Internet connectivity and the ability to install Tor Browser.</w:t>
      </w:r>
    </w:p>
    <w:p>
      <w:pPr>
        <w:numPr>
          <w:ilvl w:val="0"/>
          <w:numId w:val="1001"/>
        </w:numPr>
        <w:pStyle w:val="Compact"/>
      </w:pPr>
      <w:r>
        <w:t xml:space="preserve">Optional: accounts on blockchain explorers or analytics platforms (e.g., Blockchair, Etherscan) for deeper analysis.</w:t>
      </w:r>
    </w:p>
    <w:bookmarkEnd w:id="21"/>
    <w:bookmarkStart w:id="22" w:name="steps"/>
    <w:p>
      <w:pPr>
        <w:pStyle w:val="Heading2"/>
      </w:pPr>
      <w:r>
        <w:t xml:space="preserve">Steps</w:t>
      </w:r>
    </w:p>
    <w:p>
      <w:pPr>
        <w:numPr>
          <w:ilvl w:val="0"/>
          <w:numId w:val="1002"/>
        </w:numPr>
        <w:pStyle w:val="Compact"/>
      </w:pPr>
      <w:r>
        <w:rPr>
          <w:bCs/>
          <w:b/>
        </w:rPr>
        <w:t xml:space="preserve">Provision a virtual machine</w:t>
      </w:r>
    </w:p>
    <w:p>
      <w:pPr>
        <w:numPr>
          <w:ilvl w:val="1"/>
          <w:numId w:val="1003"/>
        </w:numPr>
        <w:pStyle w:val="Compact"/>
      </w:pPr>
      <w:r>
        <w:t xml:space="preserve">Create a new VM and install a fresh Linux OS. Update all packages using</w:t>
      </w:r>
      <w:r>
        <w:t xml:space="preserve"> </w:t>
      </w:r>
      <w:r>
        <w:rPr>
          <w:rStyle w:val="VerbatimChar"/>
        </w:rPr>
        <w:t xml:space="preserve">sudo apt update &amp;&amp; sudo apt upgrade</w:t>
      </w:r>
      <w:r>
        <w:t xml:space="preserve">.</w:t>
      </w:r>
    </w:p>
    <w:p>
      <w:pPr>
        <w:numPr>
          <w:ilvl w:val="1"/>
          <w:numId w:val="1003"/>
        </w:numPr>
        <w:pStyle w:val="Compact"/>
      </w:pPr>
      <w:r>
        <w:t xml:space="preserve">Snapshot the VM so you can revert to a clean state after the lab.</w:t>
      </w:r>
    </w:p>
    <w:p>
      <w:pPr>
        <w:numPr>
          <w:ilvl w:val="0"/>
          <w:numId w:val="1002"/>
        </w:numPr>
        <w:pStyle w:val="Compact"/>
      </w:pPr>
      <w:r>
        <w:rPr>
          <w:bCs/>
          <w:b/>
        </w:rPr>
        <w:t xml:space="preserve">Install Tor Browser</w:t>
      </w:r>
    </w:p>
    <w:p>
      <w:pPr>
        <w:numPr>
          <w:ilvl w:val="1"/>
          <w:numId w:val="1004"/>
        </w:numPr>
        <w:pStyle w:val="Compact"/>
      </w:pPr>
      <w:r>
        <w:t xml:space="preserve">Download the Tor Browser bundle from the official website (https://www.torproject.org/). Verify the download signature.</w:t>
      </w:r>
    </w:p>
    <w:p>
      <w:pPr>
        <w:numPr>
          <w:ilvl w:val="1"/>
          <w:numId w:val="1004"/>
        </w:numPr>
        <w:pStyle w:val="Compact"/>
      </w:pPr>
      <w:r>
        <w:t xml:space="preserve">Extract the archive and run</w:t>
      </w:r>
      <w:r>
        <w:t xml:space="preserve"> </w:t>
      </w:r>
      <w:r>
        <w:rPr>
          <w:rStyle w:val="VerbatimChar"/>
        </w:rPr>
        <w:t xml:space="preserve">./start-tor-browser</w:t>
      </w:r>
      <w:r>
        <w:t xml:space="preserve"> </w:t>
      </w:r>
      <w:r>
        <w:t xml:space="preserve">to launch. Configure Tor to connect through your normal internet connection.</w:t>
      </w:r>
    </w:p>
    <w:p>
      <w:pPr>
        <w:numPr>
          <w:ilvl w:val="0"/>
          <w:numId w:val="1002"/>
        </w:numPr>
        <w:pStyle w:val="Compact"/>
      </w:pPr>
      <w:r>
        <w:rPr>
          <w:bCs/>
          <w:b/>
        </w:rPr>
        <w:t xml:space="preserve">Access dark‑web marketplaces (for research)</w:t>
      </w:r>
    </w:p>
    <w:p>
      <w:pPr>
        <w:numPr>
          <w:ilvl w:val="1"/>
          <w:numId w:val="1005"/>
        </w:numPr>
        <w:pStyle w:val="Compact"/>
      </w:pPr>
      <w:r>
        <w:t xml:space="preserve">Within Tor Browser, navigate to a directory site or search engine (e.g., Ahmia) and locate marketplaces of interest.</w:t>
      </w:r>
      <w:r>
        <w:t xml:space="preserve"> </w:t>
      </w:r>
      <w:r>
        <w:rPr>
          <w:bCs/>
          <w:b/>
        </w:rPr>
        <w:t xml:space="preserve">Do not purchase anything</w:t>
      </w:r>
      <w:r>
        <w:t xml:space="preserve">—this lab is for observation.</w:t>
      </w:r>
    </w:p>
    <w:p>
      <w:pPr>
        <w:numPr>
          <w:ilvl w:val="1"/>
          <w:numId w:val="1005"/>
        </w:numPr>
        <w:pStyle w:val="Compact"/>
      </w:pPr>
      <w:r>
        <w:t xml:space="preserve">Record the</w:t>
      </w:r>
      <w:r>
        <w:t xml:space="preserve"> </w:t>
      </w:r>
      <w:r>
        <w:rPr>
          <w:rStyle w:val="VerbatimChar"/>
        </w:rPr>
        <w:t xml:space="preserve">.onion</w:t>
      </w:r>
      <w:r>
        <w:t xml:space="preserve"> </w:t>
      </w:r>
      <w:r>
        <w:t xml:space="preserve">addresses you intend to monitor. Make note of any CAPTCHAs or login requirements; some sites allow read‑only browsing.</w:t>
      </w:r>
    </w:p>
    <w:p>
      <w:pPr>
        <w:numPr>
          <w:ilvl w:val="0"/>
          <w:numId w:val="1002"/>
        </w:numPr>
        <w:pStyle w:val="Compact"/>
      </w:pPr>
      <w:r>
        <w:rPr>
          <w:bCs/>
          <w:b/>
        </w:rPr>
        <w:t xml:space="preserve">Collect OSINT from marketplace listings</w:t>
      </w:r>
    </w:p>
    <w:p>
      <w:pPr>
        <w:numPr>
          <w:ilvl w:val="1"/>
          <w:numId w:val="1006"/>
        </w:numPr>
        <w:pStyle w:val="Compact"/>
      </w:pPr>
      <w:r>
        <w:t xml:space="preserve">Browse product categories (e.g., malware, stolen data, contraband) and capture information such as vendor names, product descriptions, prices and payment methods.</w:t>
      </w:r>
    </w:p>
    <w:p>
      <w:pPr>
        <w:numPr>
          <w:ilvl w:val="1"/>
          <w:numId w:val="1006"/>
        </w:numPr>
        <w:pStyle w:val="Compact"/>
      </w:pPr>
      <w:r>
        <w:t xml:space="preserve">Use a note‑taking tool to build a ledger of observations. Track repeated vendor handles, the languages used and any cross‑platform identifiers (e.g., PGP keys, Telegram handles).</w:t>
      </w:r>
    </w:p>
    <w:p>
      <w:pPr>
        <w:numPr>
          <w:ilvl w:val="1"/>
          <w:numId w:val="1006"/>
        </w:numPr>
        <w:pStyle w:val="Compact"/>
      </w:pPr>
      <w:r>
        <w:t xml:space="preserve">Look for patterns in vendor feedback and shipping locations. Note if vendors offer escrow or use third‑party</w:t>
      </w:r>
      <w:r>
        <w:t xml:space="preserve"> </w:t>
      </w:r>
      <w:r>
        <w:t xml:space="preserve">“</w:t>
      </w:r>
      <w:r>
        <w:t xml:space="preserve">escrow services.</w:t>
      </w:r>
      <w:r>
        <w:t xml:space="preserve">”</w:t>
      </w:r>
    </w:p>
    <w:p>
      <w:pPr>
        <w:numPr>
          <w:ilvl w:val="0"/>
          <w:numId w:val="1002"/>
        </w:numPr>
        <w:pStyle w:val="Compact"/>
      </w:pPr>
      <w:r>
        <w:rPr>
          <w:bCs/>
          <w:b/>
        </w:rPr>
        <w:t xml:space="preserve">Identify cryptocurrency addresses</w:t>
      </w:r>
    </w:p>
    <w:p>
      <w:pPr>
        <w:numPr>
          <w:ilvl w:val="1"/>
          <w:numId w:val="1007"/>
        </w:numPr>
        <w:pStyle w:val="Compact"/>
      </w:pPr>
      <w:r>
        <w:t xml:space="preserve">Many marketplaces provide deposit addresses or vendor wallet addresses. Carefully record any Bitcoin or Monero addresses displayed on product pages or vendor profiles.</w:t>
      </w:r>
    </w:p>
    <w:p>
      <w:pPr>
        <w:numPr>
          <w:ilvl w:val="1"/>
          <w:numId w:val="1007"/>
        </w:numPr>
        <w:pStyle w:val="Compact"/>
      </w:pPr>
      <w:r>
        <w:t xml:space="preserve">Double‑check addresses for typographical errors; cryptocurrency addresses are case‑sensitive.</w:t>
      </w:r>
    </w:p>
    <w:p>
      <w:pPr>
        <w:numPr>
          <w:ilvl w:val="0"/>
          <w:numId w:val="1002"/>
        </w:numPr>
        <w:pStyle w:val="Compact"/>
      </w:pPr>
      <w:r>
        <w:rPr>
          <w:bCs/>
          <w:b/>
        </w:rPr>
        <w:t xml:space="preserve">Trace cryptocurrency transactions</w:t>
      </w:r>
    </w:p>
    <w:p>
      <w:pPr>
        <w:numPr>
          <w:ilvl w:val="1"/>
          <w:numId w:val="1008"/>
        </w:numPr>
        <w:pStyle w:val="Compact"/>
      </w:pPr>
      <w:r>
        <w:t xml:space="preserve">Use a blockchain explorer such as Blockchair to lookup recorded Bitcoin addresses.</w:t>
      </w:r>
    </w:p>
    <w:p>
      <w:pPr>
        <w:numPr>
          <w:ilvl w:val="1"/>
          <w:numId w:val="1008"/>
        </w:numPr>
        <w:pStyle w:val="Compact"/>
      </w:pPr>
      <w:r>
        <w:t xml:space="preserve">Examine transaction histories: incoming and outgoing transactions, transaction values and timestamps. Note addresses that send funds to or receive funds from the monitored wallet.</w:t>
      </w:r>
    </w:p>
    <w:p>
      <w:pPr>
        <w:numPr>
          <w:ilvl w:val="1"/>
          <w:numId w:val="1008"/>
        </w:numPr>
        <w:pStyle w:val="Compact"/>
      </w:pPr>
      <w:r>
        <w:t xml:space="preserve">Build a simple transaction graph using a spreadsheet or a Python library (e.g.,</w:t>
      </w:r>
      <w:r>
        <w:t xml:space="preserve"> </w:t>
      </w:r>
      <w:r>
        <w:rPr>
          <w:rStyle w:val="VerbatimChar"/>
        </w:rPr>
        <w:t xml:space="preserve">bitcoin-etl</w:t>
      </w:r>
      <w:r>
        <w:t xml:space="preserve">). Identify clusters of wallets that appear frequently.</w:t>
      </w:r>
    </w:p>
    <w:p>
      <w:pPr>
        <w:numPr>
          <w:ilvl w:val="0"/>
          <w:numId w:val="1002"/>
        </w:numPr>
        <w:pStyle w:val="Compact"/>
      </w:pPr>
      <w:r>
        <w:rPr>
          <w:bCs/>
          <w:b/>
        </w:rPr>
        <w:t xml:space="preserve">Correlate dark‑web activity with blockchain data</w:t>
      </w:r>
    </w:p>
    <w:p>
      <w:pPr>
        <w:numPr>
          <w:ilvl w:val="1"/>
          <w:numId w:val="1009"/>
        </w:numPr>
        <w:pStyle w:val="Compact"/>
      </w:pPr>
      <w:r>
        <w:t xml:space="preserve">Compare the timing of marketplace listings (e.g., a vendor posting a new product) with spikes in incoming payments to their wallet.</w:t>
      </w:r>
    </w:p>
    <w:p>
      <w:pPr>
        <w:numPr>
          <w:ilvl w:val="1"/>
          <w:numId w:val="1009"/>
        </w:numPr>
        <w:pStyle w:val="Compact"/>
      </w:pPr>
      <w:r>
        <w:t xml:space="preserve">Look for patterns such as multiple vendors using the same withdrawal address (possible exchange or mixer) or a vendor withdrawing funds immediately after a sale.</w:t>
      </w:r>
    </w:p>
    <w:p>
      <w:pPr>
        <w:numPr>
          <w:ilvl w:val="1"/>
          <w:numId w:val="1009"/>
        </w:numPr>
        <w:pStyle w:val="Compact"/>
      </w:pPr>
      <w:r>
        <w:t xml:space="preserve">Document anomalies or high‑value transfers for further investigation.</w:t>
      </w:r>
    </w:p>
    <w:p>
      <w:pPr>
        <w:numPr>
          <w:ilvl w:val="0"/>
          <w:numId w:val="1002"/>
        </w:numPr>
        <w:pStyle w:val="Compact"/>
      </w:pPr>
      <w:r>
        <w:rPr>
          <w:bCs/>
          <w:b/>
        </w:rPr>
        <w:t xml:space="preserve">Analyze and report</w:t>
      </w:r>
    </w:p>
    <w:p>
      <w:pPr>
        <w:numPr>
          <w:ilvl w:val="1"/>
          <w:numId w:val="1010"/>
        </w:numPr>
        <w:pStyle w:val="Compact"/>
      </w:pPr>
      <w:r>
        <w:t xml:space="preserve">Organize your observations into a structured format: vendor profiles, products, cryptocurrency activity and inferred patterns.</w:t>
      </w:r>
    </w:p>
    <w:p>
      <w:pPr>
        <w:numPr>
          <w:ilvl w:val="1"/>
          <w:numId w:val="1010"/>
        </w:numPr>
        <w:pStyle w:val="Compact"/>
      </w:pPr>
      <w:r>
        <w:t xml:space="preserve">Write an analytic note summarising your findings. Discuss possible motives, market trends and potential law enforcement implications. Use confidence language and note any assumptions.</w:t>
      </w:r>
    </w:p>
    <w:p>
      <w:pPr>
        <w:numPr>
          <w:ilvl w:val="1"/>
          <w:numId w:val="1010"/>
        </w:numPr>
        <w:pStyle w:val="Compact"/>
      </w:pPr>
      <w:r>
        <w:t xml:space="preserve">Highlight indicators and warnings (e.g., increasing sales of ransomware kits) that could impact your organization or clients.</w:t>
      </w:r>
    </w:p>
    <w:bookmarkEnd w:id="22"/>
    <w:bookmarkStart w:id="23" w:name="cleanup"/>
    <w:p>
      <w:pPr>
        <w:pStyle w:val="Heading2"/>
      </w:pPr>
      <w:r>
        <w:t xml:space="preserve">Cleanup</w:t>
      </w:r>
    </w:p>
    <w:p>
      <w:pPr>
        <w:numPr>
          <w:ilvl w:val="0"/>
          <w:numId w:val="1011"/>
        </w:numPr>
        <w:pStyle w:val="Compact"/>
      </w:pPr>
      <w:r>
        <w:t xml:space="preserve">Shut down and revert your VM to the snapshot taken earlier to remove browsing history and any residual data.</w:t>
      </w:r>
    </w:p>
    <w:p>
      <w:pPr>
        <w:numPr>
          <w:ilvl w:val="0"/>
          <w:numId w:val="1011"/>
        </w:numPr>
        <w:pStyle w:val="Compact"/>
      </w:pPr>
      <w:r>
        <w:t xml:space="preserve">Delete any downloaded files or screenshots that are no longer needed.</w:t>
      </w:r>
    </w:p>
    <w:bookmarkEnd w:id="23"/>
    <w:bookmarkStart w:id="24" w:name="next-steps"/>
    <w:p>
      <w:pPr>
        <w:pStyle w:val="Heading2"/>
      </w:pPr>
      <w:r>
        <w:t xml:space="preserve">Next Steps</w:t>
      </w:r>
    </w:p>
    <w:p>
      <w:pPr>
        <w:numPr>
          <w:ilvl w:val="0"/>
          <w:numId w:val="1012"/>
        </w:numPr>
        <w:pStyle w:val="Compact"/>
      </w:pPr>
      <w:r>
        <w:t xml:space="preserve">Expand the lab by integrating blockchain analytics APIs (e.g., Chainalysis or CipherTrace) to automate the transaction‑tracing process.</w:t>
      </w:r>
    </w:p>
    <w:p>
      <w:pPr>
        <w:numPr>
          <w:ilvl w:val="0"/>
          <w:numId w:val="1012"/>
        </w:numPr>
        <w:pStyle w:val="Compact"/>
      </w:pPr>
      <w:r>
        <w:t xml:space="preserve">Combine dark‑web monitoring with open‑source threat intelligence feeds to correlate vendor aliases with known threat actors.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2025-12-16T08:04:56Z</dcterms:created>
  <dcterms:modified xsi:type="dcterms:W3CDTF">2025-12-16T08:04:56Z</dcterms:modified>
</cp:coreProperties>
</file>

<file path=docProps/custom.xml><?xml version="1.0" encoding="utf-8"?>
<Properties xmlns="http://schemas.openxmlformats.org/officeDocument/2006/custom-properties" xmlns:vt="http://schemas.openxmlformats.org/officeDocument/2006/docPropsVTypes"/>
</file>