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ismanist-compliance-assessment-lab"/>
    <w:p>
      <w:pPr>
        <w:pStyle w:val="Heading1"/>
      </w:pPr>
      <w:r>
        <w:t xml:space="preserve">FISMA/NIST Compliance Assessment Lab</w:t>
      </w:r>
    </w:p>
    <w:p>
      <w:pPr>
        <w:pStyle w:val="FirstParagraph"/>
      </w:pPr>
      <w:r>
        <w:t xml:space="preserve">This lab walks you through building a</w:t>
      </w:r>
      <w:r>
        <w:t xml:space="preserve"> </w:t>
      </w:r>
      <w:r>
        <w:rPr>
          <w:bCs/>
          <w:b/>
        </w:rPr>
        <w:t xml:space="preserve">Federal Information Security Management Act (FISMA)</w:t>
      </w:r>
      <w:r>
        <w:t xml:space="preserve"> </w:t>
      </w:r>
      <w:r>
        <w:t xml:space="preserve">compliance assessment using the</w:t>
      </w:r>
      <w:r>
        <w:t xml:space="preserve"> </w:t>
      </w:r>
      <w:r>
        <w:rPr>
          <w:bCs/>
          <w:b/>
        </w:rPr>
        <w:t xml:space="preserve">NIST Risk Management Framework (RMF)</w:t>
      </w:r>
      <w:r>
        <w:t xml:space="preserve"> </w:t>
      </w:r>
      <w:r>
        <w:t xml:space="preserve">and NIST SP 800‑53 controls. The RMF provides a flexible 7‑step process for managing security and privacy risk and helps agencies meet FISMA requirements【312001265359508†L130-L149】. You will prepare a sample information system for compliance, categorize its impact level, select and implement security controls, assess the controls, authorize the system, and continuously monitor its security posture.</w:t>
      </w:r>
    </w:p>
    <w:bookmarkStart w:id="20" w:name="objectives"/>
    <w:p>
      <w:pPr>
        <w:pStyle w:val="Heading2"/>
      </w:pPr>
      <w:r>
        <w:t xml:space="preserve">Objectives</w:t>
      </w:r>
    </w:p>
    <w:p>
      <w:pPr>
        <w:numPr>
          <w:ilvl w:val="0"/>
          <w:numId w:val="1001"/>
        </w:numPr>
        <w:pStyle w:val="Compact"/>
      </w:pPr>
      <w:r>
        <w:t xml:space="preserve">Understand FISMA and the NIST RMF lifecycle.</w:t>
      </w:r>
    </w:p>
    <w:p>
      <w:pPr>
        <w:numPr>
          <w:ilvl w:val="0"/>
          <w:numId w:val="1001"/>
        </w:numPr>
        <w:pStyle w:val="Compact"/>
      </w:pPr>
      <w:r>
        <w:t xml:space="preserve">Perform system categorization to determine impact levels【420918021168504†L691-L717】.</w:t>
      </w:r>
    </w:p>
    <w:p>
      <w:pPr>
        <w:numPr>
          <w:ilvl w:val="0"/>
          <w:numId w:val="1001"/>
        </w:numPr>
        <w:pStyle w:val="Compact"/>
      </w:pPr>
      <w:r>
        <w:t xml:space="preserve">Conduct a risk assessment to identify threats and vulnerabilities【420918021168504†L719-L750】.</w:t>
      </w:r>
    </w:p>
    <w:p>
      <w:pPr>
        <w:numPr>
          <w:ilvl w:val="0"/>
          <w:numId w:val="1001"/>
        </w:numPr>
        <w:pStyle w:val="Compact"/>
      </w:pPr>
      <w:r>
        <w:t xml:space="preserve">Select applicable NIST SP 800‑53 control families based on the system’s impact【420918021168504†L753-L812】.</w:t>
      </w:r>
    </w:p>
    <w:p>
      <w:pPr>
        <w:numPr>
          <w:ilvl w:val="0"/>
          <w:numId w:val="1001"/>
        </w:numPr>
        <w:pStyle w:val="Compact"/>
      </w:pPr>
      <w:r>
        <w:t xml:space="preserve">Develop and document a System Security Plan (SSP)【420918021168504†L828-L843】.</w:t>
      </w:r>
    </w:p>
    <w:p>
      <w:pPr>
        <w:numPr>
          <w:ilvl w:val="0"/>
          <w:numId w:val="1001"/>
        </w:numPr>
        <w:pStyle w:val="Compact"/>
      </w:pPr>
      <w:r>
        <w:t xml:space="preserve">Implement technical and procedural security controls such as encryption, firewalls, access control, intrusion detection, training and incident response【420918021168504†L868-L913】.</w:t>
      </w:r>
    </w:p>
    <w:p>
      <w:pPr>
        <w:numPr>
          <w:ilvl w:val="0"/>
          <w:numId w:val="1001"/>
        </w:numPr>
        <w:pStyle w:val="Compact"/>
      </w:pPr>
      <w:r>
        <w:t xml:space="preserve">Define roles and responsibilities, assess controls, authorize operation, and establish continuous monitoring.</w:t>
      </w:r>
    </w:p>
    <w:p>
      <w:pPr>
        <w:numPr>
          <w:ilvl w:val="0"/>
          <w:numId w:val="1001"/>
        </w:numPr>
        <w:pStyle w:val="Compact"/>
      </w:pPr>
      <w:r>
        <w:t xml:space="preserve">Compile artifacts and evidence for audits and ongoing compliance【420918021168504†L932-L950】.</w:t>
      </w:r>
    </w:p>
    <w:bookmarkEnd w:id="20"/>
    <w:bookmarkStart w:id="21" w:name="prerequisites"/>
    <w:p>
      <w:pPr>
        <w:pStyle w:val="Heading2"/>
      </w:pPr>
      <w:r>
        <w:t xml:space="preserve">Prerequisites</w:t>
      </w:r>
    </w:p>
    <w:p>
      <w:pPr>
        <w:numPr>
          <w:ilvl w:val="0"/>
          <w:numId w:val="1002"/>
        </w:numPr>
        <w:pStyle w:val="Compact"/>
      </w:pPr>
      <w:r>
        <w:t xml:space="preserve">Familiarity with basic cybersecurity concepts and Linux/Windows system administration.</w:t>
      </w:r>
    </w:p>
    <w:p>
      <w:pPr>
        <w:numPr>
          <w:ilvl w:val="0"/>
          <w:numId w:val="1002"/>
        </w:numPr>
        <w:pStyle w:val="Compact"/>
      </w:pPr>
      <w:r>
        <w:t xml:space="preserve">A test environment (e.g. a virtual machine or cloud VM) on which you have administrative access.</w:t>
      </w:r>
      <w:r>
        <w:t xml:space="preserve"> </w:t>
      </w:r>
      <w:r>
        <w:rPr>
          <w:bCs/>
          <w:b/>
        </w:rPr>
        <w:t xml:space="preserve">Do not perform scanning or monitoring on production systems without proper authorization.</w:t>
      </w:r>
    </w:p>
    <w:p>
      <w:pPr>
        <w:numPr>
          <w:ilvl w:val="0"/>
          <w:numId w:val="1002"/>
        </w:numPr>
        <w:pStyle w:val="Compact"/>
      </w:pPr>
      <w:r>
        <w:t xml:space="preserve">Tools: a text editor,</w:t>
      </w:r>
      <w:r>
        <w:t xml:space="preserve"> </w:t>
      </w:r>
      <w:r>
        <w:rPr>
          <w:rStyle w:val="VerbatimChar"/>
        </w:rPr>
        <w:t xml:space="preserve">OpenSCAP</w:t>
      </w:r>
      <w:r>
        <w:t xml:space="preserve"> </w:t>
      </w:r>
      <w:r>
        <w:t xml:space="preserve">or similar compliance scanner (optional), and access to NIST SP 800‑53 documentation.</w:t>
      </w:r>
    </w:p>
    <w:bookmarkEnd w:id="21"/>
    <w:bookmarkStart w:id="22" w:name="step-1-preparation-and-fisma-overview"/>
    <w:p>
      <w:pPr>
        <w:pStyle w:val="Heading2"/>
      </w:pPr>
      <w:r>
        <w:t xml:space="preserve">Step 1 – Preparation and FISMA Overview</w:t>
      </w:r>
    </w:p>
    <w:p>
      <w:pPr>
        <w:numPr>
          <w:ilvl w:val="0"/>
          <w:numId w:val="1003"/>
        </w:numPr>
        <w:pStyle w:val="Compact"/>
      </w:pPr>
      <w:r>
        <w:t xml:space="preserve">Read the FISMA background and NIST RMF overview from NIST’s website. FISMA requires agencies to develop and implement an information security program to protect federal information systems【312001265359508†L153-L167】. The RMF consists of seven steps—prepare, categorize, select, implement, assess, authorize and monitor【312001265359508†L130-L149】.</w:t>
      </w:r>
    </w:p>
    <w:p>
      <w:pPr>
        <w:numPr>
          <w:ilvl w:val="0"/>
          <w:numId w:val="1003"/>
        </w:numPr>
        <w:pStyle w:val="Compact"/>
      </w:pPr>
      <w:r>
        <w:t xml:space="preserve">Review OMB Circular A‑130 requirements: agencies must plan for security, assign responsibility, periodically review controls and authorize system processing【312001265359508†L171-L183】. Make note of these requirements for your compliance plan.</w:t>
      </w:r>
    </w:p>
    <w:p>
      <w:pPr>
        <w:numPr>
          <w:ilvl w:val="0"/>
          <w:numId w:val="1003"/>
        </w:numPr>
        <w:pStyle w:val="Compact"/>
      </w:pPr>
      <w:r>
        <w:t xml:space="preserve">Identify the system to be assessed. Document its purpose, data handled (e.g. Controlled Unclassified Information or Public), stakeholders and environment.</w:t>
      </w:r>
    </w:p>
    <w:bookmarkEnd w:id="22"/>
    <w:bookmarkStart w:id="23" w:name="step-2-system-categorization"/>
    <w:p>
      <w:pPr>
        <w:pStyle w:val="Heading2"/>
      </w:pPr>
      <w:r>
        <w:t xml:space="preserve">Step 2 – System Categorization</w:t>
      </w:r>
    </w:p>
    <w:p>
      <w:pPr>
        <w:numPr>
          <w:ilvl w:val="0"/>
          <w:numId w:val="1004"/>
        </w:numPr>
        <w:pStyle w:val="Compact"/>
      </w:pPr>
      <w:r>
        <w:t xml:space="preserve">Use</w:t>
      </w:r>
      <w:r>
        <w:t xml:space="preserve"> </w:t>
      </w:r>
      <w:r>
        <w:rPr>
          <w:bCs/>
          <w:b/>
        </w:rPr>
        <w:t xml:space="preserve">FIPS 199</w:t>
      </w:r>
      <w:r>
        <w:t xml:space="preserve"> </w:t>
      </w:r>
      <w:r>
        <w:t xml:space="preserve">and</w:t>
      </w:r>
      <w:r>
        <w:t xml:space="preserve"> </w:t>
      </w:r>
      <w:r>
        <w:rPr>
          <w:bCs/>
          <w:b/>
        </w:rPr>
        <w:t xml:space="preserve">NIST SP 800‑60</w:t>
      </w:r>
      <w:r>
        <w:t xml:space="preserve"> </w:t>
      </w:r>
      <w:r>
        <w:t xml:space="preserve">to categorize the impact of a security breach (confidentiality, integrity, availability). Impact can be low, moderate or high【420918021168504†L691-L717】. Record the impact level for each security objective and derive the overall system category.</w:t>
      </w:r>
    </w:p>
    <w:p>
      <w:pPr>
        <w:numPr>
          <w:ilvl w:val="0"/>
          <w:numId w:val="1004"/>
        </w:numPr>
        <w:pStyle w:val="Compact"/>
      </w:pPr>
      <w:r>
        <w:t xml:space="preserve">Document why the system falls into this category (e.g. </w:t>
      </w:r>
      <w:r>
        <w:t xml:space="preserve">“</w:t>
      </w:r>
      <w:r>
        <w:t xml:space="preserve">Loss of confidentiality would cause serious adverse effects</w:t>
      </w:r>
      <w:r>
        <w:t xml:space="preserve">”</w:t>
      </w:r>
      <w:r>
        <w:t xml:space="preserve"> </w:t>
      </w:r>
      <w:r>
        <w:t xml:space="preserve">→</w:t>
      </w:r>
      <w:r>
        <w:t xml:space="preserve"> </w:t>
      </w:r>
      <w:r>
        <w:rPr>
          <w:bCs/>
          <w:b/>
        </w:rPr>
        <w:t xml:space="preserve">Moderate</w:t>
      </w:r>
      <w:r>
        <w:t xml:space="preserve">).</w:t>
      </w:r>
    </w:p>
    <w:p>
      <w:pPr>
        <w:numPr>
          <w:ilvl w:val="0"/>
          <w:numId w:val="1004"/>
        </w:numPr>
        <w:pStyle w:val="Compact"/>
      </w:pPr>
      <w:r>
        <w:t xml:space="preserve">The categorization forms the baseline for selecting control families and tailoring protections【420918021168504†L710-L716】.</w:t>
      </w:r>
    </w:p>
    <w:bookmarkEnd w:id="23"/>
    <w:bookmarkStart w:id="24" w:name="step-3-risk-assessment"/>
    <w:p>
      <w:pPr>
        <w:pStyle w:val="Heading2"/>
      </w:pPr>
      <w:r>
        <w:t xml:space="preserve">Step 3 – Risk Assessment</w:t>
      </w:r>
    </w:p>
    <w:p>
      <w:pPr>
        <w:numPr>
          <w:ilvl w:val="0"/>
          <w:numId w:val="1005"/>
        </w:numPr>
        <w:pStyle w:val="Compact"/>
      </w:pPr>
      <w:r>
        <w:t xml:space="preserve">Conduct a risk assessment to identify specific threats, vulnerabilities and risks associated with the system【420918021168504†L719-L750】. Consider unauthorized access, data breaches, insider threats, system failures and supply‑chain risks.</w:t>
      </w:r>
    </w:p>
    <w:p>
      <w:pPr>
        <w:numPr>
          <w:ilvl w:val="0"/>
          <w:numId w:val="1005"/>
        </w:numPr>
        <w:pStyle w:val="Compact"/>
      </w:pPr>
      <w:r>
        <w:t xml:space="preserve">Prioritize risks based on likelihood and impact. You may create a simple risk matrix (likelihood vs. impact) to visualise which risks require immediate mitigation【420918021168504†L736-L747】.</w:t>
      </w:r>
    </w:p>
    <w:p>
      <w:pPr>
        <w:numPr>
          <w:ilvl w:val="0"/>
          <w:numId w:val="1005"/>
        </w:numPr>
        <w:pStyle w:val="Compact"/>
      </w:pPr>
      <w:r>
        <w:t xml:space="preserve">Identify critical assets and data requiring protection—this influences which controls are most relevant【420918021168504†L731-L734】.</w:t>
      </w:r>
    </w:p>
    <w:bookmarkEnd w:id="24"/>
    <w:bookmarkStart w:id="25" w:name="X9b85e65aea070d8cc38a1f2e1d01278f7686ce1"/>
    <w:p>
      <w:pPr>
        <w:pStyle w:val="Heading2"/>
      </w:pPr>
      <w:r>
        <w:t xml:space="preserve">Step 4 – Select and Tailor Security Controls</w:t>
      </w:r>
    </w:p>
    <w:p>
      <w:pPr>
        <w:numPr>
          <w:ilvl w:val="0"/>
          <w:numId w:val="1006"/>
        </w:numPr>
        <w:pStyle w:val="Compact"/>
      </w:pPr>
      <w:r>
        <w:t xml:space="preserve">Review the NIST SP 800‑53 control families. There are 20 families covering access control, training, auditing, assessment, configuration management, contingency planning, identification and authentication, incident response, maintenance, media protection, physical and environmental protection, planning, program management, personnel security, privacy, risk assessment, acquisition, communications protection, information integrity and supply chain risk management【420918021168504†L753-L812】.</w:t>
      </w:r>
    </w:p>
    <w:p>
      <w:pPr>
        <w:numPr>
          <w:ilvl w:val="0"/>
          <w:numId w:val="1006"/>
        </w:numPr>
        <w:pStyle w:val="Compact"/>
      </w:pPr>
      <w:r>
        <w:t xml:space="preserve">Based on your risk assessment and system categorization, choose which control families apply. For example, systems handling highly sensitive data require strong</w:t>
      </w:r>
      <w:r>
        <w:t xml:space="preserve"> </w:t>
      </w:r>
      <w:r>
        <w:rPr>
          <w:bCs/>
          <w:b/>
        </w:rPr>
        <w:t xml:space="preserve">Access Control (AC)</w:t>
      </w:r>
      <w:r>
        <w:t xml:space="preserve">,</w:t>
      </w:r>
      <w:r>
        <w:t xml:space="preserve"> </w:t>
      </w:r>
      <w:r>
        <w:rPr>
          <w:bCs/>
          <w:b/>
        </w:rPr>
        <w:t xml:space="preserve">System and Communications Protection (SC)</w:t>
      </w:r>
      <w:r>
        <w:t xml:space="preserve"> </w:t>
      </w:r>
      <w:r>
        <w:t xml:space="preserve">and</w:t>
      </w:r>
      <w:r>
        <w:t xml:space="preserve"> </w:t>
      </w:r>
      <w:r>
        <w:rPr>
          <w:bCs/>
          <w:b/>
        </w:rPr>
        <w:t xml:space="preserve">System and Information Integrity (SI)</w:t>
      </w:r>
      <w:r>
        <w:t xml:space="preserve"> </w:t>
      </w:r>
      <w:r>
        <w:t xml:space="preserve">controls【420918021168504†L813-L815】.</w:t>
      </w:r>
    </w:p>
    <w:p>
      <w:pPr>
        <w:numPr>
          <w:ilvl w:val="0"/>
          <w:numId w:val="1006"/>
        </w:numPr>
        <w:pStyle w:val="Compact"/>
      </w:pPr>
      <w:r>
        <w:t xml:space="preserve">Tailor the controls to your organization. If third‑party vendors are involved, emphasise</w:t>
      </w:r>
      <w:r>
        <w:t xml:space="preserve"> </w:t>
      </w:r>
      <w:r>
        <w:rPr>
          <w:bCs/>
          <w:b/>
        </w:rPr>
        <w:t xml:space="preserve">Supply Chain Risk Management (SR)</w:t>
      </w:r>
      <w:r>
        <w:t xml:space="preserve"> </w:t>
      </w:r>
      <w:r>
        <w:t xml:space="preserve">and</w:t>
      </w:r>
      <w:r>
        <w:t xml:space="preserve"> </w:t>
      </w:r>
      <w:r>
        <w:rPr>
          <w:bCs/>
          <w:b/>
        </w:rPr>
        <w:t xml:space="preserve">Systems and Services Acquisition (SA)</w:t>
      </w:r>
      <w:r>
        <w:t xml:space="preserve">【420918021168504†L816-L821】. Document any control tailoring decisions.</w:t>
      </w:r>
    </w:p>
    <w:bookmarkEnd w:id="25"/>
    <w:bookmarkStart w:id="26" w:name="X96d6e7735204d1950cb46017c1e9ceab28c20d3"/>
    <w:p>
      <w:pPr>
        <w:pStyle w:val="Heading2"/>
      </w:pPr>
      <w:r>
        <w:t xml:space="preserve">Step 5 – Develop a System Security Plan (SSP)</w:t>
      </w:r>
    </w:p>
    <w:p>
      <w:pPr>
        <w:numPr>
          <w:ilvl w:val="0"/>
          <w:numId w:val="1007"/>
        </w:numPr>
        <w:pStyle w:val="Compact"/>
      </w:pPr>
      <w:r>
        <w:t xml:space="preserve">Create a System Security Plan that describes the system’s purpose, environment, hardware/software components, data flow and selected controls【420918021168504†L828-L843】.</w:t>
      </w:r>
    </w:p>
    <w:p>
      <w:pPr>
        <w:numPr>
          <w:ilvl w:val="0"/>
          <w:numId w:val="1007"/>
        </w:numPr>
        <w:pStyle w:val="Compact"/>
      </w:pPr>
      <w:r>
        <w:t xml:space="preserve">For each selected control, describe how it will be implemented and maintained. The SSP should also include risk assessment results, role assignments and connections to other systems.</w:t>
      </w:r>
    </w:p>
    <w:p>
      <w:pPr>
        <w:numPr>
          <w:ilvl w:val="0"/>
          <w:numId w:val="1007"/>
        </w:numPr>
        <w:pStyle w:val="Compact"/>
      </w:pPr>
      <w:r>
        <w:t xml:space="preserve">Store the SSP in a secure repository and update it whenever the system or environment changes.</w:t>
      </w:r>
    </w:p>
    <w:bookmarkEnd w:id="26"/>
    <w:bookmarkStart w:id="27" w:name="step-6-implement-security-controls"/>
    <w:p>
      <w:pPr>
        <w:pStyle w:val="Heading2"/>
      </w:pPr>
      <w:r>
        <w:t xml:space="preserve">Step 6 – Implement Security Controls</w:t>
      </w:r>
    </w:p>
    <w:p>
      <w:pPr>
        <w:numPr>
          <w:ilvl w:val="0"/>
          <w:numId w:val="1008"/>
        </w:numPr>
        <w:pStyle w:val="Compact"/>
      </w:pPr>
      <w:r>
        <w:rPr>
          <w:bCs/>
          <w:b/>
        </w:rPr>
        <w:t xml:space="preserve">Technical controls:</w:t>
      </w:r>
      <w:r>
        <w:t xml:space="preserve"> </w:t>
      </w:r>
      <w:r>
        <w:t xml:space="preserve">Implement encryption for data at rest and in transit【420918021168504†L883-L886】. Configure firewalls to filter inbound/outbound traffic【420918021168504†L887-L889】. Enforce</w:t>
      </w:r>
      <w:r>
        <w:t xml:space="preserve"> </w:t>
      </w:r>
      <w:r>
        <w:rPr>
          <w:bCs/>
          <w:b/>
        </w:rPr>
        <w:t xml:space="preserve">role‑based access control (RBAC)</w:t>
      </w:r>
      <w:r>
        <w:t xml:space="preserve"> </w:t>
      </w:r>
      <w:r>
        <w:t xml:space="preserve">or multi‑factor authentication【420918021168504†L889-L892】. Deploy an Intrusion Detection System (IDS) to monitor for suspicious activity【420918021168504†L893-L895】.</w:t>
      </w:r>
    </w:p>
    <w:p>
      <w:pPr>
        <w:numPr>
          <w:ilvl w:val="0"/>
          <w:numId w:val="1008"/>
        </w:numPr>
        <w:pStyle w:val="Compact"/>
      </w:pPr>
      <w:r>
        <w:rPr>
          <w:bCs/>
          <w:b/>
        </w:rPr>
        <w:t xml:space="preserve">Procedural controls:</w:t>
      </w:r>
      <w:r>
        <w:t xml:space="preserve"> </w:t>
      </w:r>
      <w:r>
        <w:t xml:space="preserve">Deliver staff training on cybersecurity and insider threat awareness【420918021168504†L904-L906】. Develop clear security policies and incident response plans【420918021168504†L908-L913】. Establish a supply‑chain risk management process to assess vendors and enforce security clauses【420918021168504†L915-L929】.</w:t>
      </w:r>
    </w:p>
    <w:p>
      <w:pPr>
        <w:numPr>
          <w:ilvl w:val="0"/>
          <w:numId w:val="1008"/>
        </w:numPr>
        <w:pStyle w:val="Compact"/>
      </w:pPr>
      <w:r>
        <w:t xml:space="preserve">Document the implementation of each control in the SSP. Optionally use automated compliance tools (e.g.,</w:t>
      </w:r>
      <w:r>
        <w:t xml:space="preserve"> </w:t>
      </w:r>
      <w:r>
        <w:rPr>
          <w:bCs/>
          <w:b/>
        </w:rPr>
        <w:t xml:space="preserve">OpenSCAP</w:t>
      </w:r>
      <w:r>
        <w:t xml:space="preserve">,</w:t>
      </w:r>
      <w:r>
        <w:t xml:space="preserve"> </w:t>
      </w:r>
      <w:r>
        <w:rPr>
          <w:bCs/>
          <w:b/>
        </w:rPr>
        <w:t xml:space="preserve">AWS Inspector</w:t>
      </w:r>
      <w:r>
        <w:t xml:space="preserve"> </w:t>
      </w:r>
      <w:r>
        <w:t xml:space="preserve">or</w:t>
      </w:r>
      <w:r>
        <w:t xml:space="preserve"> </w:t>
      </w:r>
      <w:r>
        <w:rPr>
          <w:bCs/>
          <w:b/>
        </w:rPr>
        <w:t xml:space="preserve">Azure Security Benchmark</w:t>
      </w:r>
      <w:r>
        <w:t xml:space="preserve">) to scan for control gaps.</w:t>
      </w:r>
    </w:p>
    <w:bookmarkEnd w:id="27"/>
    <w:bookmarkStart w:id="28" w:name="step-7-assess-controls"/>
    <w:p>
      <w:pPr>
        <w:pStyle w:val="Heading2"/>
      </w:pPr>
      <w:r>
        <w:t xml:space="preserve">Step 7 – Assess Controls</w:t>
      </w:r>
    </w:p>
    <w:p>
      <w:pPr>
        <w:numPr>
          <w:ilvl w:val="0"/>
          <w:numId w:val="1009"/>
        </w:numPr>
        <w:pStyle w:val="Compact"/>
      </w:pPr>
      <w:r>
        <w:t xml:space="preserve">Evaluate whether the controls are implemented correctly, operating as intended and producing the desired outcome. This can involve technical testing (penetration tests, vulnerability scans) and policy audits.</w:t>
      </w:r>
    </w:p>
    <w:p>
      <w:pPr>
        <w:numPr>
          <w:ilvl w:val="0"/>
          <w:numId w:val="1009"/>
        </w:numPr>
        <w:pStyle w:val="Compact"/>
      </w:pPr>
      <w:r>
        <w:t xml:space="preserve">If using an external compliance scanner, generate a report and map findings back to NIST controls. Address any deficiencies.</w:t>
      </w:r>
    </w:p>
    <w:p>
      <w:pPr>
        <w:numPr>
          <w:ilvl w:val="0"/>
          <w:numId w:val="1009"/>
        </w:numPr>
        <w:pStyle w:val="Compact"/>
      </w:pPr>
      <w:r>
        <w:t xml:space="preserve">Update the SSP and risk assessment based on assessment results.</w:t>
      </w:r>
    </w:p>
    <w:bookmarkEnd w:id="28"/>
    <w:bookmarkStart w:id="29" w:name="step-8-authorize-the-system-to-operate"/>
    <w:p>
      <w:pPr>
        <w:pStyle w:val="Heading2"/>
      </w:pPr>
      <w:r>
        <w:t xml:space="preserve">Step 8 – Authorize the System to Operate</w:t>
      </w:r>
    </w:p>
    <w:p>
      <w:pPr>
        <w:numPr>
          <w:ilvl w:val="0"/>
          <w:numId w:val="1010"/>
        </w:numPr>
        <w:pStyle w:val="Compact"/>
      </w:pPr>
      <w:r>
        <w:t xml:space="preserve">Compile an authorization package comprising the SSP, risk assessment, assessment results and a Plan of Actions &amp; Milestones (POA&amp;M) for unresolved issues.</w:t>
      </w:r>
    </w:p>
    <w:p>
      <w:pPr>
        <w:numPr>
          <w:ilvl w:val="0"/>
          <w:numId w:val="1010"/>
        </w:numPr>
        <w:pStyle w:val="Compact"/>
      </w:pPr>
      <w:r>
        <w:t xml:space="preserve">Present this package to the Authorizing Official (AO). The AO evaluates the residual risk and decides whether to grant an Authorization to Operate (ATO).</w:t>
      </w:r>
    </w:p>
    <w:p>
      <w:pPr>
        <w:numPr>
          <w:ilvl w:val="0"/>
          <w:numId w:val="1010"/>
        </w:numPr>
        <w:pStyle w:val="Compact"/>
      </w:pPr>
      <w:r>
        <w:t xml:space="preserve">Record the authorization decision and any conditions for operation (e.g.,</w:t>
      </w:r>
      <w:r>
        <w:t xml:space="preserve"> </w:t>
      </w:r>
      <w:r>
        <w:t xml:space="preserve">“</w:t>
      </w:r>
      <w:r>
        <w:t xml:space="preserve">ATO granted for one year pending resolution of finding X</w:t>
      </w:r>
      <w:r>
        <w:t xml:space="preserve">”</w:t>
      </w:r>
      <w:r>
        <w:t xml:space="preserve">).</w:t>
      </w:r>
    </w:p>
    <w:bookmarkEnd w:id="29"/>
    <w:bookmarkStart w:id="30" w:name="X05fbc3d090296043f87f0b79248458140433ddb"/>
    <w:p>
      <w:pPr>
        <w:pStyle w:val="Heading2"/>
      </w:pPr>
      <w:r>
        <w:t xml:space="preserve">Step 9 – Continuous Monitoring and Maintenance</w:t>
      </w:r>
    </w:p>
    <w:p>
      <w:pPr>
        <w:numPr>
          <w:ilvl w:val="0"/>
          <w:numId w:val="1011"/>
        </w:numPr>
        <w:pStyle w:val="Compact"/>
      </w:pPr>
      <w:r>
        <w:t xml:space="preserve">Implement continuous monitoring to track changes to the system and environment and detect new vulnerabilities. This includes logging user access, configuration changes and security events【420918021168504†L932-L950】.</w:t>
      </w:r>
    </w:p>
    <w:p>
      <w:pPr>
        <w:numPr>
          <w:ilvl w:val="0"/>
          <w:numId w:val="1011"/>
        </w:numPr>
        <w:pStyle w:val="Compact"/>
      </w:pPr>
      <w:r>
        <w:t xml:space="preserve">Regularly review and update documentation: system configurations, policies, incident response procedures and training materials【420918021168504†L942-L950】.</w:t>
      </w:r>
    </w:p>
    <w:p>
      <w:pPr>
        <w:numPr>
          <w:ilvl w:val="0"/>
          <w:numId w:val="1011"/>
        </w:numPr>
        <w:pStyle w:val="Compact"/>
      </w:pPr>
      <w:r>
        <w:t xml:space="preserve">Perform periodic internal audits and consider independent assessments to validate compliance【420918021168504†L962-L967】.</w:t>
      </w:r>
    </w:p>
    <w:p>
      <w:pPr>
        <w:numPr>
          <w:ilvl w:val="0"/>
          <w:numId w:val="1011"/>
        </w:numPr>
        <w:pStyle w:val="Compact"/>
      </w:pPr>
      <w:r>
        <w:t xml:space="preserve">Stay informed about updates to NIST guidance and evolving threats. Adjust controls, policies and training accordingly.</w:t>
      </w:r>
    </w:p>
    <w:bookmarkEnd w:id="30"/>
    <w:bookmarkStart w:id="31" w:name="deliverables"/>
    <w:p>
      <w:pPr>
        <w:pStyle w:val="Heading2"/>
      </w:pPr>
      <w:r>
        <w:t xml:space="preserve">Deliverables</w:t>
      </w:r>
    </w:p>
    <w:p>
      <w:pPr>
        <w:numPr>
          <w:ilvl w:val="0"/>
          <w:numId w:val="1012"/>
        </w:numPr>
        <w:pStyle w:val="Compact"/>
      </w:pPr>
      <w:r>
        <w:rPr>
          <w:bCs/>
          <w:b/>
        </w:rPr>
        <w:t xml:space="preserve">System Security Plan (SSP):</w:t>
      </w:r>
      <w:r>
        <w:t xml:space="preserve"> </w:t>
      </w:r>
      <w:r>
        <w:t xml:space="preserve">Describes the system, selected controls, implementation details and risk assessment.</w:t>
      </w:r>
    </w:p>
    <w:p>
      <w:pPr>
        <w:numPr>
          <w:ilvl w:val="0"/>
          <w:numId w:val="1012"/>
        </w:numPr>
        <w:pStyle w:val="Compact"/>
      </w:pPr>
      <w:r>
        <w:rPr>
          <w:bCs/>
          <w:b/>
        </w:rPr>
        <w:t xml:space="preserve">Risk Assessment Report:</w:t>
      </w:r>
      <w:r>
        <w:t xml:space="preserve"> </w:t>
      </w:r>
      <w:r>
        <w:t xml:space="preserve">Outlines identified threats, vulnerabilities, impacts and risk prioritization.</w:t>
      </w:r>
    </w:p>
    <w:p>
      <w:pPr>
        <w:numPr>
          <w:ilvl w:val="0"/>
          <w:numId w:val="1012"/>
        </w:numPr>
        <w:pStyle w:val="Compact"/>
      </w:pPr>
      <w:r>
        <w:rPr>
          <w:bCs/>
          <w:b/>
        </w:rPr>
        <w:t xml:space="preserve">Authorization Package:</w:t>
      </w:r>
      <w:r>
        <w:t xml:space="preserve"> </w:t>
      </w:r>
      <w:r>
        <w:t xml:space="preserve">SSP, assessment results, POA&amp;M and authorization decision.</w:t>
      </w:r>
    </w:p>
    <w:p>
      <w:pPr>
        <w:numPr>
          <w:ilvl w:val="0"/>
          <w:numId w:val="1012"/>
        </w:numPr>
        <w:pStyle w:val="Compact"/>
      </w:pPr>
      <w:r>
        <w:rPr>
          <w:bCs/>
          <w:b/>
        </w:rPr>
        <w:t xml:space="preserve">Compliance Artifacts:</w:t>
      </w:r>
      <w:r>
        <w:t xml:space="preserve"> </w:t>
      </w:r>
      <w:r>
        <w:t xml:space="preserve">Policies, procedures, configuration baselines, logs, training records and audit reports.</w:t>
      </w:r>
    </w:p>
    <w:bookmarkEnd w:id="31"/>
    <w:bookmarkStart w:id="32" w:name="notes"/>
    <w:p>
      <w:pPr>
        <w:pStyle w:val="Heading2"/>
      </w:pPr>
      <w:r>
        <w:t xml:space="preserve">Notes</w:t>
      </w:r>
    </w:p>
    <w:p>
      <w:pPr>
        <w:pStyle w:val="FirstParagraph"/>
      </w:pPr>
      <w:r>
        <w:t xml:space="preserve">This lab provides a structured approach for understanding FISMA compliance. It does not constitute legal advice. Always consult your agency’s security officers and legal counsel when implementing compliance programs. Only perform scans and monitoring on systems for which you have authorization. Remember that FISMA is a continuous process: achieving compliance is not a one‑time event but an ongoing cycle of risk management.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2025-12-16T22:13:23Z</dcterms:created>
  <dcterms:modified xsi:type="dcterms:W3CDTF">2025-12-16T22:13:23Z</dcterms:modified>
</cp:coreProperties>
</file>

<file path=docProps/custom.xml><?xml version="1.0" encoding="utf-8"?>
<Properties xmlns="http://schemas.openxmlformats.org/officeDocument/2006/custom-properties" xmlns:vt="http://schemas.openxmlformats.org/officeDocument/2006/docPropsVTypes"/>
</file>