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da4479adea36f55743951657d3c02ebe01fd18c"/>
    <w:p>
      <w:pPr>
        <w:pStyle w:val="Heading1"/>
      </w:pPr>
      <w:r>
        <w:t xml:space="preserve">Supply‑Chain &amp; Geoeconomic Threat Assessment Lab</w:t>
      </w:r>
    </w:p>
    <w:bookmarkStart w:id="20" w:name="goal"/>
    <w:p>
      <w:pPr>
        <w:pStyle w:val="Heading2"/>
      </w:pPr>
      <w:r>
        <w:t xml:space="preserve">Goal</w:t>
      </w:r>
    </w:p>
    <w:p>
      <w:pPr>
        <w:pStyle w:val="FirstParagraph"/>
      </w:pPr>
      <w:r>
        <w:t xml:space="preserve">This lab teaches you how to assess supply‑chain dependencies and geoeconomic risks using publicly available data. You will collect trade statistics, corporate filings and sanctions lists to map relationships between suppliers and buyers, identify chokepoints and evaluate potential disruptions. The result is a structured analytic assessment suitable for strategic intelligence reporting.</w:t>
      </w:r>
    </w:p>
    <w:bookmarkEnd w:id="20"/>
    <w:bookmarkStart w:id="21" w:name="prerequisites"/>
    <w:p>
      <w:pPr>
        <w:pStyle w:val="Heading2"/>
      </w:pPr>
      <w:r>
        <w:t xml:space="preserve">Prerequisites</w:t>
      </w:r>
    </w:p>
    <w:p>
      <w:pPr>
        <w:numPr>
          <w:ilvl w:val="0"/>
          <w:numId w:val="1001"/>
        </w:numPr>
        <w:pStyle w:val="Compact"/>
      </w:pPr>
      <w:r>
        <w:t xml:space="preserve">A workstation with Python and a spreadsheet tool (e.g., Excel or LibreOffice Calc).</w:t>
      </w:r>
    </w:p>
    <w:p>
      <w:pPr>
        <w:numPr>
          <w:ilvl w:val="0"/>
          <w:numId w:val="1001"/>
        </w:numPr>
        <w:pStyle w:val="Compact"/>
      </w:pPr>
      <w:r>
        <w:t xml:space="preserve">Internet access to retrieve public datasets (UN Comtrade, World Bank, corporate registries, sanctions lists).</w:t>
      </w:r>
    </w:p>
    <w:p>
      <w:pPr>
        <w:numPr>
          <w:ilvl w:val="0"/>
          <w:numId w:val="1001"/>
        </w:numPr>
        <w:pStyle w:val="Compact"/>
      </w:pPr>
      <w:r>
        <w:t xml:space="preserve">Basic familiarity with network diagrams and OSINT methodology.</w:t>
      </w:r>
    </w:p>
    <w:bookmarkEnd w:id="21"/>
    <w:bookmarkStart w:id="22" w:name="steps"/>
    <w:p>
      <w:pPr>
        <w:pStyle w:val="Heading2"/>
      </w:pPr>
      <w:r>
        <w:t xml:space="preserve">Steps</w:t>
      </w:r>
    </w:p>
    <w:p>
      <w:pPr>
        <w:numPr>
          <w:ilvl w:val="0"/>
          <w:numId w:val="1002"/>
        </w:numPr>
        <w:pStyle w:val="Compact"/>
      </w:pPr>
      <w:r>
        <w:rPr>
          <w:bCs/>
          <w:b/>
        </w:rPr>
        <w:t xml:space="preserve">Define the scope</w:t>
      </w:r>
    </w:p>
    <w:p>
      <w:pPr>
        <w:numPr>
          <w:ilvl w:val="1"/>
          <w:numId w:val="1003"/>
        </w:numPr>
        <w:pStyle w:val="Compact"/>
      </w:pPr>
      <w:r>
        <w:t xml:space="preserve">Choose an industry or product to analyze (e.g., semiconductors, rare‑earth metals, energy infrastructure). Specify the geographic focus and time horizon.</w:t>
      </w:r>
    </w:p>
    <w:p>
      <w:pPr>
        <w:numPr>
          <w:ilvl w:val="1"/>
          <w:numId w:val="1003"/>
        </w:numPr>
        <w:pStyle w:val="Compact"/>
      </w:pPr>
      <w:r>
        <w:t xml:space="preserve">Develop intelligence questions such as:</w:t>
      </w:r>
      <w:r>
        <w:t xml:space="preserve"> </w:t>
      </w:r>
      <w:r>
        <w:rPr>
          <w:iCs/>
          <w:i/>
        </w:rPr>
        <w:t xml:space="preserve">Which countries control the majority of rare‑earth processing?</w:t>
      </w:r>
      <w:r>
        <w:t xml:space="preserve"> </w:t>
      </w:r>
      <w:r>
        <w:t xml:space="preserve">or</w:t>
      </w:r>
      <w:r>
        <w:t xml:space="preserve"> </w:t>
      </w:r>
      <w:r>
        <w:rPr>
          <w:iCs/>
          <w:i/>
        </w:rPr>
        <w:t xml:space="preserve">How dependent is country X on imports from region Y?</w:t>
      </w:r>
    </w:p>
    <w:p>
      <w:pPr>
        <w:numPr>
          <w:ilvl w:val="0"/>
          <w:numId w:val="1002"/>
        </w:numPr>
        <w:pStyle w:val="Compact"/>
      </w:pPr>
      <w:r>
        <w:rPr>
          <w:bCs/>
          <w:b/>
        </w:rPr>
        <w:t xml:space="preserve">Collect trade data</w:t>
      </w:r>
    </w:p>
    <w:p>
      <w:pPr>
        <w:numPr>
          <w:ilvl w:val="1"/>
          <w:numId w:val="1004"/>
        </w:numPr>
        <w:pStyle w:val="Compact"/>
      </w:pPr>
      <w:r>
        <w:t xml:space="preserve">Visit the UN Comtrade database (https://comtrade.un.org) and download import/export statistics for your chosen product category. Filter by country and year range.</w:t>
      </w:r>
    </w:p>
    <w:p>
      <w:pPr>
        <w:numPr>
          <w:ilvl w:val="1"/>
          <w:numId w:val="1004"/>
        </w:numPr>
        <w:pStyle w:val="Compact"/>
      </w:pPr>
      <w:r>
        <w:t xml:space="preserve">Retrieve complementary economic indicators (e.g., GDP, inflation, political risk) from the World Bank’s open data portal.</w:t>
      </w:r>
    </w:p>
    <w:p>
      <w:pPr>
        <w:numPr>
          <w:ilvl w:val="0"/>
          <w:numId w:val="1002"/>
        </w:numPr>
        <w:pStyle w:val="Compact"/>
      </w:pPr>
      <w:r>
        <w:rPr>
          <w:bCs/>
          <w:b/>
        </w:rPr>
        <w:t xml:space="preserve">Identify key companies and facilities</w:t>
      </w:r>
    </w:p>
    <w:p>
      <w:pPr>
        <w:numPr>
          <w:ilvl w:val="1"/>
          <w:numId w:val="1005"/>
        </w:numPr>
        <w:pStyle w:val="Compact"/>
      </w:pPr>
      <w:r>
        <w:t xml:space="preserve">Search corporate registries and financial filings to find major producers, suppliers and logistics providers. Note ownership structures, headquarters locations and production capacity.</w:t>
      </w:r>
    </w:p>
    <w:p>
      <w:pPr>
        <w:numPr>
          <w:ilvl w:val="1"/>
          <w:numId w:val="1005"/>
        </w:numPr>
        <w:pStyle w:val="Compact"/>
      </w:pPr>
      <w:r>
        <w:t xml:space="preserve">Cross‑reference with sanctions lists (e.g., OFAC, EU, UN) to flag entities under restrictions.</w:t>
      </w:r>
    </w:p>
    <w:p>
      <w:pPr>
        <w:numPr>
          <w:ilvl w:val="0"/>
          <w:numId w:val="1002"/>
        </w:numPr>
        <w:pStyle w:val="Compact"/>
      </w:pPr>
      <w:r>
        <w:rPr>
          <w:bCs/>
          <w:b/>
        </w:rPr>
        <w:t xml:space="preserve">Map the supply chain</w:t>
      </w:r>
    </w:p>
    <w:p>
      <w:pPr>
        <w:numPr>
          <w:ilvl w:val="1"/>
          <w:numId w:val="1006"/>
        </w:numPr>
        <w:pStyle w:val="Compact"/>
      </w:pPr>
      <w:r>
        <w:t xml:space="preserve">Use a spreadsheet or network‑analysis tool to link producers, suppliers, distributors and end users. Represent flows of goods, capital and information.</w:t>
      </w:r>
    </w:p>
    <w:p>
      <w:pPr>
        <w:numPr>
          <w:ilvl w:val="1"/>
          <w:numId w:val="1006"/>
        </w:numPr>
        <w:pStyle w:val="Compact"/>
      </w:pPr>
      <w:r>
        <w:t xml:space="preserve">Identify single points of failure (e.g., one factory producing 80 % of a critical component) and key transit routes (straits, canals, ports).</w:t>
      </w:r>
    </w:p>
    <w:p>
      <w:pPr>
        <w:numPr>
          <w:ilvl w:val="0"/>
          <w:numId w:val="1002"/>
        </w:numPr>
        <w:pStyle w:val="Compact"/>
      </w:pPr>
      <w:r>
        <w:rPr>
          <w:bCs/>
          <w:b/>
        </w:rPr>
        <w:t xml:space="preserve">Assess geoeconomic risks</w:t>
      </w:r>
    </w:p>
    <w:p>
      <w:pPr>
        <w:numPr>
          <w:ilvl w:val="1"/>
          <w:numId w:val="1007"/>
        </w:numPr>
        <w:pStyle w:val="Compact"/>
      </w:pPr>
      <w:r>
        <w:t xml:space="preserve">Evaluate how geopolitical events (trade disputes, sanctions, conflict, natural disasters) could disrupt supply. Look at historical examples of disruption.</w:t>
      </w:r>
    </w:p>
    <w:p>
      <w:pPr>
        <w:numPr>
          <w:ilvl w:val="1"/>
          <w:numId w:val="1007"/>
        </w:numPr>
        <w:pStyle w:val="Compact"/>
      </w:pPr>
      <w:r>
        <w:t xml:space="preserve">Rate the likelihood and impact of each risk factor. Consider alternative suppliers or substitute materials as mitigations.</w:t>
      </w:r>
    </w:p>
    <w:p>
      <w:pPr>
        <w:numPr>
          <w:ilvl w:val="0"/>
          <w:numId w:val="1002"/>
        </w:numPr>
        <w:pStyle w:val="Compact"/>
      </w:pPr>
      <w:r>
        <w:rPr>
          <w:bCs/>
          <w:b/>
        </w:rPr>
        <w:t xml:space="preserve">Develop analytic judgments</w:t>
      </w:r>
    </w:p>
    <w:p>
      <w:pPr>
        <w:numPr>
          <w:ilvl w:val="1"/>
          <w:numId w:val="1008"/>
        </w:numPr>
        <w:pStyle w:val="Compact"/>
      </w:pPr>
      <w:r>
        <w:t xml:space="preserve">Write key judgments summarizing your findings. Distinguish between facts (e.g., import volumes) and assessments (e.g.,</w:t>
      </w:r>
      <w:r>
        <w:t xml:space="preserve"> </w:t>
      </w:r>
      <w:r>
        <w:t xml:space="preserve">“</w:t>
      </w:r>
      <w:r>
        <w:t xml:space="preserve">High likelihood of disruption if country X imposes export controls</w:t>
      </w:r>
      <w:r>
        <w:t xml:space="preserve">”</w:t>
      </w:r>
      <w:r>
        <w:t xml:space="preserve">).</w:t>
      </w:r>
    </w:p>
    <w:p>
      <w:pPr>
        <w:numPr>
          <w:ilvl w:val="1"/>
          <w:numId w:val="1008"/>
        </w:numPr>
        <w:pStyle w:val="Compact"/>
      </w:pPr>
      <w:r>
        <w:t xml:space="preserve">Use confidence language and note assumptions and collection gaps.</w:t>
      </w:r>
    </w:p>
    <w:p>
      <w:pPr>
        <w:numPr>
          <w:ilvl w:val="1"/>
          <w:numId w:val="1008"/>
        </w:numPr>
        <w:pStyle w:val="Compact"/>
      </w:pPr>
      <w:r>
        <w:t xml:space="preserve">Create visuals—charts showing import dependencies, maps of supply routes—to support your narrative.</w:t>
      </w:r>
    </w:p>
    <w:bookmarkEnd w:id="22"/>
    <w:bookmarkStart w:id="23" w:name="deliverables"/>
    <w:p>
      <w:pPr>
        <w:pStyle w:val="Heading2"/>
      </w:pPr>
      <w:r>
        <w:t xml:space="preserve">Deliverables</w:t>
      </w:r>
    </w:p>
    <w:p>
      <w:pPr>
        <w:numPr>
          <w:ilvl w:val="0"/>
          <w:numId w:val="1009"/>
        </w:numPr>
        <w:pStyle w:val="Compact"/>
      </w:pPr>
      <w:r>
        <w:t xml:space="preserve">A spreadsheet or diagram of the supply chain, highlighting critical nodes and dependencies.</w:t>
      </w:r>
    </w:p>
    <w:p>
      <w:pPr>
        <w:numPr>
          <w:ilvl w:val="0"/>
          <w:numId w:val="1009"/>
        </w:numPr>
        <w:pStyle w:val="Compact"/>
      </w:pPr>
      <w:r>
        <w:t xml:space="preserve">An analytic memo with key judgments, evidence and recommended monitoring indicators.</w:t>
      </w:r>
    </w:p>
    <w:p>
      <w:pPr>
        <w:numPr>
          <w:ilvl w:val="0"/>
          <w:numId w:val="1009"/>
        </w:numPr>
        <w:pStyle w:val="Compact"/>
      </w:pPr>
      <w:r>
        <w:t xml:space="preserve">A list of sources consulted (public datasets, filings, reports) with an evaluation of their reliability.</w:t>
      </w:r>
    </w:p>
    <w:bookmarkEnd w:id="23"/>
    <w:bookmarkStart w:id="24" w:name="cleanup"/>
    <w:p>
      <w:pPr>
        <w:pStyle w:val="Heading2"/>
      </w:pPr>
      <w:r>
        <w:t xml:space="preserve">Cleanup</w:t>
      </w:r>
    </w:p>
    <w:p>
      <w:pPr>
        <w:numPr>
          <w:ilvl w:val="0"/>
          <w:numId w:val="1010"/>
        </w:numPr>
        <w:pStyle w:val="Compact"/>
      </w:pPr>
      <w:r>
        <w:t xml:space="preserve">Store datasets securely and comply with any licensing terms.</w:t>
      </w:r>
    </w:p>
    <w:p>
      <w:pPr>
        <w:numPr>
          <w:ilvl w:val="0"/>
          <w:numId w:val="1010"/>
        </w:numPr>
        <w:pStyle w:val="Compact"/>
      </w:pPr>
      <w:r>
        <w:t xml:space="preserve">If you created accounts on commercial platforms, ensure they are secured or closed when no longer needed.</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2025-12-16T08:04:56Z</dcterms:created>
  <dcterms:modified xsi:type="dcterms:W3CDTF">2025-12-16T08:04:56Z</dcterms:modified>
</cp:coreProperties>
</file>

<file path=docProps/custom.xml><?xml version="1.0" encoding="utf-8"?>
<Properties xmlns="http://schemas.openxmlformats.org/officeDocument/2006/custom-properties" xmlns:vt="http://schemas.openxmlformats.org/officeDocument/2006/docPropsVTypes"/>
</file>