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FIT-HUB</w:t>
            </w:r>
          </w:p>
          <w:p>
            <w:pPr>
              <w:jc w:val="center"/>
            </w:pPr>
            <w:r>
              <w:rPr>
                <w:rFonts w:ascii="Arial" w:cs="Arial" w:eastAsia="Arial" w:hAnsi="Arial"/>
                <w:color w:val="D5E8F4"/>
                <w:sz w:val="28"/>
                <w:szCs w:val="28"/>
              </w:rPr>
              <w:t xml:space="preserve">Code Audit &amp; Architecture Report</w:t>
            </w:r>
          </w:p>
        </w:tc>
      </w:tr>
    </w:tbl>
    <w:p>
      <w:pPr>
        <w:spacing w:after="160"/>
      </w:pPr>
      <w:r>
        <w:t xml:space="preserve"/>
      </w:r>
    </w:p>
    <w:p>
      <w:pPr>
        <w:spacing w:after="120" w:before="480"/>
        <w:jc w:val="center"/>
      </w:pPr>
      <w:r>
        <w:rPr>
          <w:rFonts w:ascii="Arial" w:cs="Arial" w:eastAsia="Arial" w:hAnsi="Arial"/>
          <w:b/>
          <w:bCs/>
          <w:color w:val="1E3A5F"/>
          <w:sz w:val="22"/>
          <w:szCs w:val="22"/>
        </w:rPr>
        <w:t xml:space="preserve">Prepared for: Ralphy Luis</w:t>
      </w:r>
    </w:p>
    <w:p>
      <w:pPr>
        <w:jc w:val="center"/>
      </w:pPr>
      <w:r>
        <w:rPr>
          <w:rFonts w:ascii="Arial" w:cs="Arial" w:eastAsia="Arial" w:hAnsi="Arial"/>
          <w:color w:val="5F6B7A"/>
          <w:sz w:val="22"/>
          <w:szCs w:val="22"/>
        </w:rPr>
        <w:t xml:space="preserve">Date: March 9, 2026</w:t>
      </w:r>
    </w:p>
    <w:p>
      <w:pPr>
        <w:jc w:val="center"/>
      </w:pPr>
      <w:r>
        <w:rPr>
          <w:rFonts w:ascii="Arial" w:cs="Arial" w:eastAsia="Arial" w:hAnsi="Arial"/>
          <w:color w:val="5F6B7A"/>
          <w:sz w:val="22"/>
          <w:szCs w:val="22"/>
        </w:rPr>
        <w:t xml:space="preserve">Version: 1.0</w:t>
      </w:r>
    </w:p>
    <w:p>
      <w:pPr>
        <w:spacing w:after="160"/>
      </w:pPr>
      <w:r>
        <w:t xml:space="preserve"/>
      </w:r>
    </w:p>
    <w:p>
      <w:pPr>
        <w:spacing w:after="160"/>
      </w:pPr>
      <w:r>
        <w:t xml:space="preserve"/>
      </w:r>
    </w:p>
    <w:p>
      <w:pPr>
        <w:pBdr>
          <w:bottom w:val="single" w:color="2E75B6" w:sz="4" w:space="4"/>
        </w:pBdr>
        <w:spacing w:after="120" w:before="120"/>
      </w:pPr>
      <w:r>
        <w:t xml:space="preserve"/>
      </w:r>
    </w:p>
    <w:p>
      <w:pPr>
        <w:spacing w:after="160"/>
      </w:pPr>
      <w:r>
        <w:t xml:space="preserve"/>
      </w:r>
    </w:p>
    <w:p>
      <w:pPr>
        <w:jc w:val="center"/>
      </w:pPr>
      <w:r>
        <w:rPr>
          <w:rFonts w:ascii="Arial" w:cs="Arial" w:eastAsia="Arial" w:hAnsi="Arial"/>
          <w:b/>
          <w:bCs/>
          <w:color w:val="1E3A5F"/>
          <w:sz w:val="24"/>
          <w:szCs w:val="24"/>
        </w:rPr>
        <w:t xml:space="preserve">EXECUTIVE SUMMARY</w:t>
      </w:r>
    </w:p>
    <w:p>
      <w:pPr>
        <w:spacing w:after="160"/>
      </w:pPr>
      <w:r>
        <w:t xml:space="preserve"/>
      </w:r>
    </w:p>
    <w:p>
      <w:pPr>
        <w:spacing w:after="120"/>
        <w:jc w:val="center"/>
      </w:pPr>
      <w:r>
        <w:rPr>
          <w:rFonts w:ascii="Arial" w:cs="Arial" w:eastAsia="Arial" w:hAnsi="Arial"/>
          <w:color w:val="5F6B7A"/>
          <w:sz w:val="20"/>
          <w:szCs w:val="20"/>
        </w:rPr>
        <w:t xml:space="preserve">Fit-Hub is a mature, feature-rich fitness and health tracking platform built on a solid technical foundation. This report maps every module and user flow, surfaces security vulnerabilities and technical debt, and provides a phased roadmap for safely scaling to the next set of features.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4" w:val="clear"/>
            <w:tcMar>
              <w:top w:type="dxa" w:w="160"/>
              <w:left w:type="dxa" w:w="120"/>
              <w:bottom w:type="dxa" w:w="160"/>
              <w:right w:type="dxa" w:w="120"/>
            </w:tcMar>
            <w:vAlign w:val="center"/>
          </w:tcPr>
          <w:p>
            <w:pPr>
              <w:jc w:val="center"/>
            </w:pPr>
            <w:r>
              <w:rPr>
                <w:rFonts w:ascii="Arial" w:cs="Arial" w:eastAsia="Arial" w:hAnsi="Arial"/>
                <w:b/>
                <w:bCs/>
                <w:color w:val="1E3A5F"/>
                <w:sz w:val="40"/>
                <w:szCs w:val="40"/>
              </w:rPr>
              <w:t xml:space="preserve">70+</w:t>
            </w:r>
          </w:p>
          <w:p>
            <w:pPr>
              <w:jc w:val="center"/>
            </w:pPr>
            <w:r>
              <w:rPr>
                <w:rFonts w:ascii="Arial" w:cs="Arial" w:eastAsia="Arial" w:hAnsi="Arial"/>
                <w:color w:val="5F6B7A"/>
                <w:sz w:val="16"/>
                <w:szCs w:val="16"/>
              </w:rPr>
              <w:t xml:space="preserve">API Routes</w:t>
            </w:r>
          </w:p>
        </w:tc>
        <w:tc>
          <w:tcPr>
            <w:tcW w:type="dxa" w:w="2340"/>
            <w:tcBorders>
              <w:top w:val="single" w:color="CCCCCC" w:sz="1"/>
              <w:left w:val="single" w:color="CCCCCC" w:sz="1"/>
              <w:bottom w:val="single" w:color="CCCCCC" w:sz="1"/>
              <w:right w:val="single" w:color="CCCCCC" w:sz="1"/>
            </w:tcBorders>
            <w:shd w:fill="D5E8F4" w:val="clear"/>
            <w:tcMar>
              <w:top w:type="dxa" w:w="160"/>
              <w:left w:type="dxa" w:w="120"/>
              <w:bottom w:type="dxa" w:w="160"/>
              <w:right w:type="dxa" w:w="120"/>
            </w:tcMar>
            <w:vAlign w:val="center"/>
          </w:tcPr>
          <w:p>
            <w:pPr>
              <w:jc w:val="center"/>
            </w:pPr>
            <w:r>
              <w:rPr>
                <w:rFonts w:ascii="Arial" w:cs="Arial" w:eastAsia="Arial" w:hAnsi="Arial"/>
                <w:b/>
                <w:bCs/>
                <w:color w:val="1E3A5F"/>
                <w:sz w:val="40"/>
                <w:szCs w:val="40"/>
              </w:rPr>
              <w:t xml:space="preserve">20+</w:t>
            </w:r>
          </w:p>
          <w:p>
            <w:pPr>
              <w:jc w:val="center"/>
            </w:pPr>
            <w:r>
              <w:rPr>
                <w:rFonts w:ascii="Arial" w:cs="Arial" w:eastAsia="Arial" w:hAnsi="Arial"/>
                <w:color w:val="5F6B7A"/>
                <w:sz w:val="16"/>
                <w:szCs w:val="16"/>
              </w:rPr>
              <w:t xml:space="preserve">Feature Flags</w:t>
            </w:r>
          </w:p>
        </w:tc>
        <w:tc>
          <w:tcPr>
            <w:tcW w:type="dxa" w:w="2340"/>
            <w:tcBorders>
              <w:top w:val="single" w:color="CCCCCC" w:sz="1"/>
              <w:left w:val="single" w:color="CCCCCC" w:sz="1"/>
              <w:bottom w:val="single" w:color="CCCCCC" w:sz="1"/>
              <w:right w:val="single" w:color="CCCCCC" w:sz="1"/>
            </w:tcBorders>
            <w:shd w:fill="D5E8F4" w:val="clear"/>
            <w:tcMar>
              <w:top w:type="dxa" w:w="160"/>
              <w:left w:type="dxa" w:w="120"/>
              <w:bottom w:type="dxa" w:w="160"/>
              <w:right w:type="dxa" w:w="120"/>
            </w:tcMar>
            <w:vAlign w:val="center"/>
          </w:tcPr>
          <w:p>
            <w:pPr>
              <w:jc w:val="center"/>
            </w:pPr>
            <w:r>
              <w:rPr>
                <w:rFonts w:ascii="Arial" w:cs="Arial" w:eastAsia="Arial" w:hAnsi="Arial"/>
                <w:b/>
                <w:bCs/>
                <w:color w:val="1E3A5F"/>
                <w:sz w:val="40"/>
                <w:szCs w:val="40"/>
              </w:rPr>
              <w:t xml:space="preserve">17</w:t>
            </w:r>
          </w:p>
          <w:p>
            <w:pPr>
              <w:jc w:val="center"/>
            </w:pPr>
            <w:r>
              <w:rPr>
                <w:rFonts w:ascii="Arial" w:cs="Arial" w:eastAsia="Arial" w:hAnsi="Arial"/>
                <w:color w:val="5F6B7A"/>
                <w:sz w:val="16"/>
                <w:szCs w:val="16"/>
              </w:rPr>
              <w:t xml:space="preserve">DB Tables</w:t>
            </w:r>
          </w:p>
        </w:tc>
        <w:tc>
          <w:tcPr>
            <w:tcW w:type="dxa" w:w="2340"/>
            <w:tcBorders>
              <w:top w:val="single" w:color="CCCCCC" w:sz="1"/>
              <w:left w:val="single" w:color="CCCCCC" w:sz="1"/>
              <w:bottom w:val="single" w:color="CCCCCC" w:sz="1"/>
              <w:right w:val="single" w:color="CCCCCC" w:sz="1"/>
            </w:tcBorders>
            <w:shd w:fill="D5E8F4" w:val="clear"/>
            <w:tcMar>
              <w:top w:type="dxa" w:w="160"/>
              <w:left w:type="dxa" w:w="120"/>
              <w:bottom w:type="dxa" w:w="160"/>
              <w:right w:type="dxa" w:w="120"/>
            </w:tcMar>
            <w:vAlign w:val="center"/>
          </w:tcPr>
          <w:p>
            <w:pPr>
              <w:jc w:val="center"/>
            </w:pPr>
            <w:r>
              <w:rPr>
                <w:rFonts w:ascii="Arial" w:cs="Arial" w:eastAsia="Arial" w:hAnsi="Arial"/>
                <w:b/>
                <w:bCs/>
                <w:color w:val="1E3A5F"/>
                <w:sz w:val="40"/>
                <w:szCs w:val="40"/>
              </w:rPr>
              <w:t xml:space="preserve">5</w:t>
            </w:r>
          </w:p>
          <w:p>
            <w:pPr>
              <w:jc w:val="center"/>
            </w:pPr>
            <w:r>
              <w:rPr>
                <w:rFonts w:ascii="Arial" w:cs="Arial" w:eastAsia="Arial" w:hAnsi="Arial"/>
                <w:color w:val="5F6B7A"/>
                <w:sz w:val="16"/>
                <w:szCs w:val="16"/>
              </w:rPr>
              <w:t xml:space="preserve">Security Flags</w:t>
            </w:r>
          </w:p>
        </w:tc>
      </w:tr>
    </w:tbl>
    <w:p>
      <w:pPr>
        <w:spacing w:after="160"/>
      </w:pPr>
      <w:r>
        <w:t xml:space="preserve"/>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rPr>
        <w:t xml:space="preserve">Section 1: Complete Feature &amp; Capability Blueprint</w:t>
      </w:r>
    </w:p>
    <w:p>
      <w:pPr>
        <w:pBdr>
          <w:bottom w:val="single" w:color="2E75B6" w:sz="4" w:space="4"/>
        </w:pBdr>
        <w:spacing w:after="120" w:before="120"/>
      </w:pPr>
      <w:r>
        <w:t xml:space="preserve"/>
      </w:r>
    </w:p>
    <w:p>
      <w:pPr>
        <w:spacing w:after="120"/>
      </w:pPr>
      <w:r>
        <w:rPr>
          <w:rFonts w:ascii="Arial" w:cs="Arial" w:eastAsia="Arial" w:hAnsi="Arial"/>
          <w:sz w:val="20"/>
          <w:szCs w:val="20"/>
        </w:rPr>
        <w:t xml:space="preserve">Fit-Hub is a comprehensive fitness and health tracking application. The stack is Next.js 16 (App Router), Supabase (Postgres + Auth + RLS), TypeScript, Tailwind CSS v4, shadcn/ui, and Capacitor for native iOS and Android deployments. The architecture follows a server-first pattern with API routes handling all data mutations, Zustand for client-side state, and IndexedDB for offline support.</w:t>
      </w:r>
    </w:p>
    <w:p>
      <w:pPr>
        <w:spacing w:after="160"/>
      </w:pPr>
      <w:r>
        <w:t xml:space="preserve"/>
      </w:r>
    </w:p>
    <w:p>
      <w:pPr>
        <w:pStyle w:val="Heading2"/>
        <w:spacing w:after="120" w:before="240"/>
      </w:pPr>
      <w:r>
        <w:rPr>
          <w:rFonts w:ascii="Arial" w:cs="Arial" w:eastAsia="Arial" w:hAnsi="Arial"/>
          <w:b/>
          <w:bCs/>
        </w:rPr>
        <w:t xml:space="preserve">1.1  Core Application Modules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 &amp; Capabilities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Authentication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Email/password via Supabase Auth. Middleware enforces route protection on all /app/* routes. Onboarding flow gates users without a completed profile. Session cookies are httpOnly, secure in production, sameSite=lax.</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Workout Tracking</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Live session logging with per-set details (weight, reps, RPE, duration, set type, notes). Rest timer with audio. Drag-and-drop exercise reordering. Zustand store with localStorage backup for session recovery. Previous performance display for progressive overload.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Workout Templates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edit, share, and import templates. Preset library of 6 workouts. Public/private visibility with save-count tracking. Atomic import RPC prevents duplicates. Template Marketplace with fuzzy search, filters, and pagination.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Nutrition Tracking</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Daily food log by meal type. OpenFoodFacts + USDA barcode lookup with DB caching. Custom food item creation. Macro and micronutrient tracking (calories, protein, carbs, fat, fiber, sugar, sodium). Versioned daily nutrition goals. AI food &amp; menu scanning.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Social Features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Follow/unfollow system. Public profile discovery. TikTok-style workout clips feed (Sets) with likes and mutual-follow-gated comments. Pings (encouragement messages). Template and meal-day sharing via JSONB snapshots. Shared item inbox.</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Analytics &amp; Progress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Per-exercise strength trend charts. Volume tracking. Personal record (PR) detection. Workout streak system via DB trigger. GitHub-style 90-day workout calendar. Body weight and measurement tracking with trend visualization.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Pods (Groups)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and manage accountability pods. Pod messaging. Member invites. Pod Challenges (volume, consistency, distance types) with live leaderboard via SECURITY DEFINER RPC. Weekly commitment tracking.</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AI Features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AI Coach (streaming SSE, 30/day rate limit, persistent memory). Voice logging (speech-to-set parsing). Text-to-speech coach responses. Food scanner (vision). Menu scanner (vision). Workout recap generator. Onboarding coach. AI Program Builder. Form analysis (video upload, frame extraction, Claude Vision).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Programs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Multi-week structured workout programs. AI-generated programs with progressive overload. Program import (public). Session advance. Active program tracking per user.</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Offline Support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IndexedDB operation queue (idb-keyval). Sync registry for pending mutations. Queue integration tested with Vitest. Designed for graceful degradation on mobile.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Health Integrations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HealthKit sync (iOS). Health data import API. Readiness score calculated from HRV, sleep, fatigue, and soreness signals.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Notifications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Firebase Admin / FCM push notifications. Notification preferences endpoint. Momentum protection cron (streak risk detection). Weekly report cron. Capacitor local notifications.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Export &amp; Reporting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export (jsPDF + html2canvas). CSV export. Full user data export endpoint (/api/user/export). Weekly email reports.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Feature Flags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20+ feature flags via NEXT_PUBLIC_ env vars in src/lib/features.ts. All advanced features gated (marketplace, pods challenges, AI coach, form analysis, voice logging,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State Management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Zustand for workout session and rest timer. React Hook Form + Zod for all form validation. TanStack Virtual for large list virtualization. Optimistic UI updates for food log and clip likes.</w:t>
            </w:r>
          </w:p>
        </w:tc>
      </w:tr>
    </w:tbl>
    <w:p>
      <w:pPr>
        <w:spacing w:after="160"/>
      </w:pPr>
      <w:r>
        <w:t xml:space="preserve"/>
      </w:r>
    </w:p>
    <w:p>
      <w:pPr>
        <w:pStyle w:val="Heading2"/>
        <w:spacing w:after="120" w:before="240"/>
      </w:pPr>
      <w:r>
        <w:rPr>
          <w:rFonts w:ascii="Arial" w:cs="Arial" w:eastAsia="Arial" w:hAnsi="Arial"/>
          <w:b/>
          <w:bCs/>
        </w:rPr>
        <w:t xml:space="preserve">1.2  API Surface (70+ Endpoints)</w:t>
      </w:r>
    </w:p>
    <w:p>
      <w:pPr>
        <w:spacing w:after="120"/>
      </w:pPr>
      <w:r>
        <w:rPr>
          <w:rFonts w:ascii="Arial" w:cs="Arial" w:eastAsia="Arial" w:hAnsi="Arial"/>
          <w:sz w:val="20"/>
          <w:szCs w:val="20"/>
        </w:rPr>
        <w:t xml:space="preserve">The following route groups are registered under /api/: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 &amp; Capabilities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Coach (streaming), onboarding coach, program builder, TTS, voice intent, workout recap, form check (analyze + latest)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/api/analytics/*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Volume analytics aggregation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Ensure-profile (called post-signup to create profile row)</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/api/body/*</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Weight log (CRUD), body measurements (CRUD)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/api/cron/*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Streak check, weekly report, form video retention (all Bearer-token protected)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/api/exercises/*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Exercise CRUD, search with muscle/equipment/category filters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/api/export/*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export generation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/api/fatigue/*</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Fatigue model, muscle group fatigue, session RPE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/api/form-check/*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Video upload and analysis, latest result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/api/health*</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App health check, HealthKit sync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Workout stats aggregation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/api/notifications/*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FCM token registration, preferences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/api/nutrition/*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Food log, search (OpenFoodFacts + USDA), barcode lookup, food scan, menu scan, grocery list, meal templates, quick log, today summary</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/api/pods/*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Pod CRUD, challenges, leaderboards, messages, invites, commitments, leave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/api/programs/*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Program CRUD, discover, import, start, advance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/api/readiness/*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Readiness score calculation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/api/reports/*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Weekly report generation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/api/runtime-config</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Returns maintenance mode + disabled features list (unauthenticated)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/api/social/*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Social feed aggregation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/api/templates/*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Template CRUD, exercises, discover marketplace, import, save/unsave, reviews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/api/user/*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data export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/api/workout/*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Adaptive workout generation, smart launcher</w:t>
            </w:r>
          </w:p>
        </w:tc>
      </w:tr>
    </w:tbl>
    <w:p>
      <w:pPr>
        <w:spacing w:after="160"/>
      </w:pPr>
      <w:r>
        <w:t xml:space="preserve"/>
      </w:r>
    </w:p>
    <w:p>
      <w:pPr>
        <w:pStyle w:val="Heading2"/>
        <w:spacing w:after="120" w:before="240"/>
      </w:pPr>
      <w:r>
        <w:rPr>
          <w:rFonts w:ascii="Arial" w:cs="Arial" w:eastAsia="Arial" w:hAnsi="Arial"/>
          <w:b/>
          <w:bCs/>
        </w:rPr>
        <w:t xml:space="preserve">1.3  Database Architecture (Supabase Postgres)</w:t>
      </w:r>
    </w:p>
    <w:p>
      <w:pPr>
        <w:spacing w:after="120"/>
      </w:pPr>
      <w:r>
        <w:rPr>
          <w:rFonts w:ascii="Arial" w:cs="Arial" w:eastAsia="Arial" w:hAnsi="Arial"/>
          <w:sz w:val="20"/>
          <w:szCs w:val="20"/>
        </w:rPr>
        <w:t xml:space="preserve">Row Level Security (RLS) is enforced on all user-facing tables. Key tables and their purposes: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 &amp; Capabilities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profiles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info, preferences, onboarding status, streak, unit preference, theme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exercises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Exercise library (built-in + user-created). Filterable by muscle, equipment, category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workout_templates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Templates with is_public flag and save_count (trigger-maintained)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template_exercises / template_exercise_sets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Normalized exercise and set targets per template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workout_sessions / workout_sets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Completed session log. Foreign keyed to templates and exercises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food_items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Barcode-indexed food database cached from OpenFoodFacts and USDA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food_log / nutrition_goals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food entries and versioned macro targets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user_follows / pings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Follow graph and encouragement message inbox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workout_clips / clip_likes / clip_comments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Video clips with social interactions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template_favorites / template_saves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User favorites and marketplace save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shared_items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JSONB snapshots of shared templates and meal days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active_workout_sessions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Live workout presence tracking with 4-hour auto-cleanup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pod_challenges / get_pod_challenge_leaderboard RPC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Competitive challenges with SECURITY DEFINER aggregation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body_weight / body_measurements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Body composition tracking over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coach_memories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Persistent AI coach memory per user</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programs / program_sessions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Structured multi-week program definitions and user progress</w:t>
            </w:r>
          </w:p>
        </w:tc>
      </w:tr>
    </w:tbl>
    <w:p>
      <w:pPr>
        <w:spacing w:after="160"/>
      </w:pPr>
      <w:r>
        <w:t xml:space="preserve"/>
      </w:r>
    </w:p>
    <w:p>
      <w:r>
        <w:br w:type="page"/>
      </w:r>
    </w:p>
    <w:p>
      <w:pPr>
        <w:pStyle w:val="Heading1"/>
        <w:spacing w:after="180" w:before="360"/>
      </w:pPr>
      <w:r>
        <w:rPr>
          <w:rFonts w:ascii="Arial" w:cs="Arial" w:eastAsia="Arial" w:hAnsi="Arial"/>
          <w:b/>
          <w:bCs/>
        </w:rPr>
        <w:t xml:space="preserve">Section 2: Full Code Audit &amp; Security Assessment</w:t>
      </w:r>
    </w:p>
    <w:p>
      <w:pPr>
        <w:pBdr>
          <w:bottom w:val="single" w:color="2E75B6" w:sz="4" w:space="4"/>
        </w:pBdr>
        <w:spacing w:after="120" w:before="120"/>
      </w:pPr>
      <w:r>
        <w:t xml:space="preserve"/>
      </w:r>
    </w:p>
    <w:p>
      <w:pPr>
        <w:pStyle w:val="Heading2"/>
        <w:spacing w:after="120" w:before="240"/>
      </w:pPr>
      <w:r>
        <w:rPr>
          <w:rFonts w:ascii="Arial" w:cs="Arial" w:eastAsia="Arial" w:hAnsi="Arial"/>
          <w:b/>
          <w:bCs/>
        </w:rPr>
        <w:t xml:space="preserve">2.1  Security Strengths</w:t>
      </w:r>
    </w:p>
    <w:p>
      <w:pPr>
        <w:spacing w:after="120"/>
      </w:pPr>
      <w:r>
        <w:rPr>
          <w:rFonts w:ascii="Arial" w:cs="Arial" w:eastAsia="Arial" w:hAnsi="Arial"/>
          <w:sz w:val="20"/>
          <w:szCs w:val="20"/>
        </w:rPr>
        <w:t xml:space="preserve">The codebase demonstrates a strong security baseline. The following protections are consistently in place:</w:t>
      </w:r>
    </w:p>
    <w:p>
      <w:pPr>
        <w:spacing w:after="160"/>
      </w:pPr>
      <w:r>
        <w:t xml:space="preserve"/>
      </w:r>
    </w:p>
    <w:p>
      <w:pPr>
        <w:pStyle w:val="ListParagraph"/>
        <w:numPr>
          <w:ilvl w:val="0"/>
          <w:numId w:val="2"/>
        </w:numPr>
        <w:spacing w:after="80"/>
      </w:pPr>
      <w:r>
        <w:rPr>
          <w:rFonts w:ascii="Arial" w:cs="Arial" w:eastAsia="Arial" w:hAnsi="Arial"/>
          <w:b w:val="false"/>
          <w:bCs w:val="false"/>
          <w:sz w:val="20"/>
          <w:szCs w:val="20"/>
        </w:rPr>
        <w:t xml:space="preserve">Row Level Security (RLS) enforced on all Supabase tables — users can only read and write their own data unless explicit public access is granted</w:t>
      </w:r>
    </w:p>
    <w:p>
      <w:pPr>
        <w:pStyle w:val="ListParagraph"/>
        <w:numPr>
          <w:ilvl w:val="0"/>
          <w:numId w:val="2"/>
        </w:numPr>
        <w:spacing w:after="80"/>
      </w:pPr>
      <w:r>
        <w:rPr>
          <w:rFonts w:ascii="Arial" w:cs="Arial" w:eastAsia="Arial" w:hAnsi="Arial"/>
          <w:b w:val="false"/>
          <w:bCs w:val="false"/>
          <w:sz w:val="20"/>
          <w:szCs w:val="20"/>
        </w:rPr>
        <w:t xml:space="preserve">requireAuth() utility used consistently across all API routes, calling supabase.auth.getUser() server-side (not client-side token decode)</w:t>
      </w:r>
    </w:p>
    <w:p>
      <w:pPr>
        <w:pStyle w:val="ListParagraph"/>
        <w:numPr>
          <w:ilvl w:val="0"/>
          <w:numId w:val="2"/>
        </w:numPr>
        <w:spacing w:after="80"/>
      </w:pPr>
      <w:r>
        <w:rPr>
          <w:rFonts w:ascii="Arial" w:cs="Arial" w:eastAsia="Arial" w:hAnsi="Arial"/>
          <w:b w:val="false"/>
          <w:bCs w:val="false"/>
          <w:sz w:val="20"/>
          <w:szCs w:val="20"/>
        </w:rPr>
        <w:t xml:space="preserve">Zod validation schemas applied to all form inputs and most API request bodies, with typed enums for muscle groups, equipment, set types, and other constrained fields</w:t>
      </w:r>
    </w:p>
    <w:p>
      <w:pPr>
        <w:pStyle w:val="ListParagraph"/>
        <w:numPr>
          <w:ilvl w:val="0"/>
          <w:numId w:val="2"/>
        </w:numPr>
        <w:spacing w:after="80"/>
      </w:pPr>
      <w:r>
        <w:rPr>
          <w:rFonts w:ascii="Arial" w:cs="Arial" w:eastAsia="Arial" w:hAnsi="Arial"/>
          <w:b w:val="false"/>
          <w:bCs w:val="false"/>
          <w:sz w:val="20"/>
          <w:szCs w:val="20"/>
        </w:rPr>
        <w:t xml:space="preserve">HttpOnly, SameSite=lax, Secure (production) cookies for session management — no auth state exposed to JavaScript</w:t>
      </w:r>
    </w:p>
    <w:p>
      <w:pPr>
        <w:pStyle w:val="ListParagraph"/>
        <w:numPr>
          <w:ilvl w:val="0"/>
          <w:numId w:val="2"/>
        </w:numPr>
        <w:spacing w:after="80"/>
      </w:pPr>
      <w:r>
        <w:rPr>
          <w:rFonts w:ascii="Arial" w:cs="Arial" w:eastAsia="Arial" w:hAnsi="Arial"/>
          <w:b w:val="false"/>
          <w:bCs w:val="false"/>
          <w:sz w:val="20"/>
          <w:szCs w:val="20"/>
        </w:rPr>
        <w:t xml:space="preserve">Distributed rate limiting via Upstash Redis on all AI endpoints (coach, form check, program builder, etc.)</w:t>
      </w:r>
    </w:p>
    <w:p>
      <w:pPr>
        <w:pStyle w:val="ListParagraph"/>
        <w:numPr>
          <w:ilvl w:val="0"/>
          <w:numId w:val="2"/>
        </w:numPr>
        <w:spacing w:after="80"/>
      </w:pPr>
      <w:r>
        <w:rPr>
          <w:rFonts w:ascii="Arial" w:cs="Arial" w:eastAsia="Arial" w:hAnsi="Arial"/>
          <w:b w:val="false"/>
          <w:bCs w:val="false"/>
          <w:sz w:val="20"/>
          <w:szCs w:val="20"/>
        </w:rPr>
        <w:t xml:space="preserve">Bearer token protection on all /api/cron/* endpoints using CRON_SECRET env var</w:t>
      </w:r>
    </w:p>
    <w:p>
      <w:pPr>
        <w:pStyle w:val="ListParagraph"/>
        <w:numPr>
          <w:ilvl w:val="0"/>
          <w:numId w:val="2"/>
        </w:numPr>
        <w:spacing w:after="80"/>
      </w:pPr>
      <w:r>
        <w:rPr>
          <w:rFonts w:ascii="Arial" w:cs="Arial" w:eastAsia="Arial" w:hAnsi="Arial"/>
          <w:b w:val="false"/>
          <w:bCs w:val="false"/>
          <w:sz w:val="20"/>
          <w:szCs w:val="20"/>
        </w:rPr>
        <w:t xml:space="preserve">Sentry error monitoring configured on client, server, and edge runtimes</w:t>
      </w:r>
    </w:p>
    <w:p>
      <w:pPr>
        <w:pStyle w:val="ListParagraph"/>
        <w:numPr>
          <w:ilvl w:val="0"/>
          <w:numId w:val="2"/>
        </w:numPr>
        <w:spacing w:after="80"/>
      </w:pPr>
      <w:r>
        <w:rPr>
          <w:rFonts w:ascii="Arial" w:cs="Arial" w:eastAsia="Arial" w:hAnsi="Arial"/>
          <w:b w:val="false"/>
          <w:bCs w:val="false"/>
          <w:sz w:val="20"/>
          <w:szCs w:val="20"/>
        </w:rPr>
        <w:t xml:space="preserve">TypeScript strict typing throughout — no implicit any, consistent use of generated Supabase DB types</w:t>
      </w:r>
    </w:p>
    <w:p>
      <w:pPr>
        <w:pStyle w:val="ListParagraph"/>
        <w:numPr>
          <w:ilvl w:val="0"/>
          <w:numId w:val="2"/>
        </w:numPr>
        <w:spacing w:after="80"/>
      </w:pPr>
      <w:r>
        <w:rPr>
          <w:rFonts w:ascii="Arial" w:cs="Arial" w:eastAsia="Arial" w:hAnsi="Arial"/>
          <w:b w:val="false"/>
          <w:bCs w:val="false"/>
          <w:sz w:val="20"/>
          <w:szCs w:val="20"/>
        </w:rPr>
        <w:t xml:space="preserve">SECURITY DEFINER RPC for pod challenge leaderboard includes internal auth.uid() membership check</w:t>
      </w:r>
    </w:p>
    <w:p>
      <w:pPr>
        <w:pStyle w:val="ListParagraph"/>
        <w:numPr>
          <w:ilvl w:val="0"/>
          <w:numId w:val="2"/>
        </w:numPr>
        <w:spacing w:after="80"/>
      </w:pPr>
      <w:r>
        <w:rPr>
          <w:rFonts w:ascii="Arial" w:cs="Arial" w:eastAsia="Arial" w:hAnsi="Arial"/>
          <w:b w:val="false"/>
          <w:bCs w:val="false"/>
          <w:sz w:val="20"/>
          <w:szCs w:val="20"/>
        </w:rPr>
        <w:t xml:space="preserve">Template import uses an atomic Postgres RPC to prevent duplicates and race conditions</w:t>
      </w:r>
    </w:p>
    <w:p>
      <w:pPr>
        <w:spacing w:after="160"/>
      </w:pPr>
      <w:r>
        <w:t xml:space="preserve"/>
      </w:r>
    </w:p>
    <w:p>
      <w:pPr>
        <w:pStyle w:val="Heading2"/>
        <w:spacing w:after="120" w:before="240"/>
      </w:pPr>
      <w:r>
        <w:rPr>
          <w:rFonts w:ascii="Arial" w:cs="Arial" w:eastAsia="Arial" w:hAnsi="Arial"/>
          <w:b/>
          <w:bCs/>
        </w:rPr>
        <w:t xml:space="preserve">2.2  Issues Found</w:t>
      </w:r>
    </w:p>
    <w:p>
      <w:pPr>
        <w:spacing w:after="120"/>
      </w:pPr>
      <w:r>
        <w:rPr>
          <w:rFonts w:ascii="Arial" w:cs="Arial" w:eastAsia="Arial" w:hAnsi="Arial"/>
          <w:sz w:val="20"/>
          <w:szCs w:val="20"/>
        </w:rPr>
        <w:t xml:space="preserve">The following issues are ranked by severity. Each includes an actionable remediation path.</w:t>
      </w:r>
    </w:p>
    <w:p>
      <w:pPr>
        <w:spacing w:after="160"/>
      </w:pPr>
      <w:r>
        <w:t xml:space="preserve"/>
      </w:r>
    </w:p>
    <w:p>
      <w:pPr>
        <w:pStyle w:val="Heading3"/>
        <w:spacing w:after="80" w:before="180"/>
      </w:pPr>
      <w:r>
        <w:rPr>
          <w:rFonts w:ascii="Arial" w:cs="Arial" w:eastAsia="Arial" w:hAnsi="Arial"/>
          <w:b/>
          <w:bCs/>
        </w:rPr>
        <w:t xml:space="preserve">Critical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FDE8E8"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CRITICAL</w:t>
            </w:r>
          </w:p>
        </w:tc>
        <w:tc>
          <w:tcPr>
            <w:tcW w:type="dxa" w:w="8160"/>
            <w:tcBorders>
              <w:top w:val="single" w:color="C0392B" w:sz="1"/>
              <w:left w:val="single" w:color="C0392B" w:sz="1"/>
              <w:bottom w:val="single" w:color="C0392B" w:sz="1"/>
              <w:right w:val="single" w:color="C0392B" w:sz="1"/>
            </w:tcBorders>
            <w:shd w:fill="FDE8E8" w:val="clear"/>
            <w:tcMar>
              <w:top w:type="dxa" w:w="100"/>
              <w:left w:type="dxa" w:w="160"/>
              <w:bottom w:type="dxa" w:w="100"/>
              <w:right w:type="dxa" w:w="120"/>
            </w:tcMar>
          </w:tcPr>
          <w:p>
            <w:r>
              <w:rPr>
                <w:rFonts w:ascii="Arial" w:cs="Arial" w:eastAsia="Arial" w:hAnsi="Arial"/>
                <w:b/>
                <w:bCs/>
                <w:color w:val="C0392B"/>
                <w:sz w:val="20"/>
                <w:szCs w:val="20"/>
              </w:rPr>
              <w:t xml:space="preserve">Unauthenticated /api/runtime-config Endpoint</w:t>
            </w:r>
          </w:p>
          <w:p>
            <w:pPr>
              <w:spacing w:after="0"/>
            </w:pPr>
            <w:r>
              <w:rPr>
                <w:rFonts w:ascii="Arial" w:cs="Arial" w:eastAsia="Arial" w:hAnsi="Arial"/>
                <w:color w:val="1E3A5F"/>
                <w:sz w:val="18"/>
                <w:szCs w:val="18"/>
              </w:rPr>
              <w:t xml:space="preserve">The GET /api/runtime-config route returns maintenance mode status and a list of disabled features with no authentication check. Any anonymous user or bot can call this endpoint to map out your feature landscape, confirm which features are disabled, and use that information to probe other endpoints.</w:t>
            </w:r>
          </w:p>
        </w:tc>
      </w:tr>
    </w:tbl>
    <w:p>
      <w:pPr>
        <w:spacing w:after="160"/>
      </w:pPr>
      <w:r>
        <w:t xml:space="preserve"/>
      </w:r>
    </w:p>
    <w:p>
      <w:pPr>
        <w:spacing w:after="120"/>
      </w:pPr>
      <w:r>
        <w:rPr>
          <w:rFonts w:ascii="Arial" w:cs="Arial" w:eastAsia="Arial" w:hAnsi="Arial"/>
          <w:i/>
          <w:iCs/>
          <w:color w:val="5F6B7A"/>
          <w:sz w:val="20"/>
          <w:szCs w:val="20"/>
        </w:rPr>
        <w:t xml:space="preserve">Remediation: Add the requireAuth guard to this route, or serve the configuration via a server component at layout level rather than a public API endpoint. If it must remain public, ensure it reveals no sensitive operational state.</w:t>
      </w:r>
    </w:p>
    <w:p>
      <w:pPr>
        <w:spacing w:after="160"/>
      </w:pPr>
      <w:r>
        <w:t xml:space="preserve"/>
      </w:r>
    </w:p>
    <w:p>
      <w:pPr>
        <w:pStyle w:val="Heading3"/>
        <w:spacing w:after="80" w:before="180"/>
      </w:pPr>
      <w:r>
        <w:rPr>
          <w:rFonts w:ascii="Arial" w:cs="Arial" w:eastAsia="Arial" w:hAnsi="Arial"/>
          <w:b/>
          <w:bCs/>
        </w:rPr>
        <w:t xml:space="preserve">High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E67E22" w:sz="1"/>
              <w:left w:val="single" w:color="E67E22" w:sz="1"/>
              <w:bottom w:val="single" w:color="E67E22" w:sz="1"/>
              <w:right w:val="single" w:color="E67E22" w:sz="1"/>
            </w:tcBorders>
            <w:shd w:fill="FEF0E6"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HIGH</w:t>
            </w:r>
          </w:p>
        </w:tc>
        <w:tc>
          <w:tcPr>
            <w:tcW w:type="dxa" w:w="8160"/>
            <w:tcBorders>
              <w:top w:val="single" w:color="E67E22" w:sz="1"/>
              <w:left w:val="single" w:color="E67E22" w:sz="1"/>
              <w:bottom w:val="single" w:color="E67E22" w:sz="1"/>
              <w:right w:val="single" w:color="E67E22" w:sz="1"/>
            </w:tcBorders>
            <w:shd w:fill="FEF0E6" w:val="clear"/>
            <w:tcMar>
              <w:top w:type="dxa" w:w="100"/>
              <w:left w:type="dxa" w:w="160"/>
              <w:bottom w:type="dxa" w:w="100"/>
              <w:right w:type="dxa" w:w="120"/>
            </w:tcMar>
          </w:tcPr>
          <w:p>
            <w:r>
              <w:rPr>
                <w:rFonts w:ascii="Arial" w:cs="Arial" w:eastAsia="Arial" w:hAnsi="Arial"/>
                <w:b/>
                <w:bCs/>
                <w:color w:val="E67E22"/>
                <w:sz w:val="20"/>
                <w:szCs w:val="20"/>
              </w:rPr>
              <w:t xml:space="preserve">Rate Limiting Fails Open (Silent Fallback to No Limiting)</w:t>
            </w:r>
          </w:p>
          <w:p>
            <w:pPr>
              <w:spacing w:after="0"/>
            </w:pPr>
            <w:r>
              <w:rPr>
                <w:rFonts w:ascii="Arial" w:cs="Arial" w:eastAsia="Arial" w:hAnsi="Arial"/>
                <w:color w:val="1E3A5F"/>
                <w:sz w:val="18"/>
                <w:szCs w:val="18"/>
              </w:rPr>
              <w:t xml:space="preserve">The rateLimit() function in src/lib/rate-limit.ts returns true (allow all) when Upstash Redis is not configured or unreachable. This is a fail-open design. If Redis is temporarily unavailable in production, all AI endpoints become completely unprotected. A malicious actor could exploit a Redis outage window to exhaust your Anthropic API quota.</w:t>
            </w:r>
          </w:p>
        </w:tc>
      </w:tr>
    </w:tbl>
    <w:p>
      <w:pPr>
        <w:spacing w:after="160"/>
      </w:pPr>
      <w:r>
        <w:t xml:space="preserve"/>
      </w:r>
    </w:p>
    <w:p>
      <w:pPr>
        <w:spacing w:after="120"/>
      </w:pPr>
      <w:r>
        <w:rPr>
          <w:rFonts w:ascii="Arial" w:cs="Arial" w:eastAsia="Arial" w:hAnsi="Arial"/>
          <w:i/>
          <w:iCs/>
          <w:color w:val="5F6B7A"/>
          <w:sz w:val="20"/>
          <w:szCs w:val="20"/>
        </w:rPr>
        <w:t xml:space="preserve">Remediation: At minimum, log a warning when the rate limiter falls back to allow-all in production (NODE_ENV === 'production'). Consider implementing a local in-memory fallback limiter (e.g., a simple sliding window using a Map) as a secondary layer when Redis is unavailable.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E67E22" w:sz="1"/>
              <w:left w:val="single" w:color="E67E22" w:sz="1"/>
              <w:bottom w:val="single" w:color="E67E22" w:sz="1"/>
              <w:right w:val="single" w:color="E67E22" w:sz="1"/>
            </w:tcBorders>
            <w:shd w:fill="FEF0E6"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HIGH</w:t>
            </w:r>
          </w:p>
        </w:tc>
        <w:tc>
          <w:tcPr>
            <w:tcW w:type="dxa" w:w="8160"/>
            <w:tcBorders>
              <w:top w:val="single" w:color="E67E22" w:sz="1"/>
              <w:left w:val="single" w:color="E67E22" w:sz="1"/>
              <w:bottom w:val="single" w:color="E67E22" w:sz="1"/>
              <w:right w:val="single" w:color="E67E22" w:sz="1"/>
            </w:tcBorders>
            <w:shd w:fill="FEF0E6" w:val="clear"/>
            <w:tcMar>
              <w:top w:type="dxa" w:w="100"/>
              <w:left w:type="dxa" w:w="160"/>
              <w:bottom w:type="dxa" w:w="100"/>
              <w:right w:type="dxa" w:w="120"/>
            </w:tcMar>
          </w:tcPr>
          <w:p>
            <w:r>
              <w:rPr>
                <w:rFonts w:ascii="Arial" w:cs="Arial" w:eastAsia="Arial" w:hAnsi="Arial"/>
                <w:b/>
                <w:bCs/>
                <w:color w:val="E67E22"/>
                <w:sz w:val="20"/>
                <w:szCs w:val="20"/>
              </w:rPr>
              <w:t xml:space="preserve">Feature Flags Use NEXT_PUBLIC_ Prefix — Values Are Client-Bundle Exposed</w:t>
            </w:r>
          </w:p>
          <w:p>
            <w:pPr>
              <w:spacing w:after="0"/>
            </w:pPr>
            <w:r>
              <w:rPr>
                <w:rFonts w:ascii="Arial" w:cs="Arial" w:eastAsia="Arial" w:hAnsi="Arial"/>
                <w:color w:val="1E3A5F"/>
                <w:sz w:val="18"/>
                <w:szCs w:val="18"/>
              </w:rPr>
              <w:t xml:space="preserve">All 20+ feature flags in src/lib/features.ts use NEXT_PUBLIC_ environment variables. While this is correct for client-side rendering, it means the values of every flag are embedded in the JavaScript bundle and visible to any user who inspects the source. Your full feature rollout strategy (which features are in dev, which are disabled) is publicly readable.</w:t>
            </w:r>
          </w:p>
        </w:tc>
      </w:tr>
    </w:tbl>
    <w:p>
      <w:pPr>
        <w:spacing w:after="160"/>
      </w:pPr>
      <w:r>
        <w:t xml:space="preserve"/>
      </w:r>
    </w:p>
    <w:p>
      <w:pPr>
        <w:spacing w:after="120"/>
      </w:pPr>
      <w:r>
        <w:rPr>
          <w:rFonts w:ascii="Arial" w:cs="Arial" w:eastAsia="Arial" w:hAnsi="Arial"/>
          <w:i/>
          <w:iCs/>
          <w:color w:val="5F6B7A"/>
          <w:sz w:val="20"/>
          <w:szCs w:val="20"/>
        </w:rPr>
        <w:t xml:space="preserve">Remediation: For flags only needed server-side (e.g., WEEKLY_REPORT_ENABLED, MOMENTUM_PROTECTION_ENABLED used only in cron routes), switch to non-public env vars (remove NEXT_PUBLIC_ prefix). Only flags that need to drive client-side rendering decisions require the NEXT_PUBLIC_ prefix.</w:t>
      </w:r>
    </w:p>
    <w:p>
      <w:pPr>
        <w:spacing w:after="160"/>
      </w:pPr>
      <w:r>
        <w:t xml:space="preserve"/>
      </w:r>
    </w:p>
    <w:p>
      <w:pPr>
        <w:pStyle w:val="Heading3"/>
        <w:spacing w:after="80" w:before="180"/>
      </w:pPr>
      <w:r>
        <w:rPr>
          <w:rFonts w:ascii="Arial" w:cs="Arial" w:eastAsia="Arial" w:hAnsi="Arial"/>
          <w:b/>
          <w:bCs/>
        </w:rPr>
        <w:t xml:space="preserve">Medium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B7950B" w:sz="1"/>
              <w:left w:val="single" w:color="B7950B" w:sz="1"/>
              <w:bottom w:val="single" w:color="B7950B" w:sz="1"/>
              <w:right w:val="single" w:color="B7950B" w:sz="1"/>
            </w:tcBorders>
            <w:shd w:fill="FEFCE6" w:val="clear"/>
            <w:tcMar>
              <w:top w:type="dxa" w:w="100"/>
              <w:left w:type="dxa" w:w="120"/>
              <w:bottom w:type="dxa" w:w="100"/>
              <w:right w:type="dxa" w:w="120"/>
            </w:tcMar>
            <w:vAlign w:val="center"/>
          </w:tcPr>
          <w:p>
            <w:pPr>
              <w:jc w:val="center"/>
            </w:pPr>
            <w:r>
              <w:rPr>
                <w:rFonts w:ascii="Arial" w:cs="Arial" w:eastAsia="Arial" w:hAnsi="Arial"/>
                <w:b/>
                <w:bCs/>
                <w:color w:val="B7950B"/>
                <w:sz w:val="18"/>
                <w:szCs w:val="18"/>
              </w:rPr>
              <w:t xml:space="preserve">MEDIUM</w:t>
            </w:r>
          </w:p>
        </w:tc>
        <w:tc>
          <w:tcPr>
            <w:tcW w:type="dxa" w:w="8160"/>
            <w:tcBorders>
              <w:top w:val="single" w:color="B7950B" w:sz="1"/>
              <w:left w:val="single" w:color="B7950B" w:sz="1"/>
              <w:bottom w:val="single" w:color="B7950B" w:sz="1"/>
              <w:right w:val="single" w:color="B7950B" w:sz="1"/>
            </w:tcBorders>
            <w:shd w:fill="FEFCE6" w:val="clear"/>
            <w:tcMar>
              <w:top w:type="dxa" w:w="100"/>
              <w:left w:type="dxa" w:w="160"/>
              <w:bottom w:type="dxa" w:w="100"/>
              <w:right w:type="dxa" w:w="120"/>
            </w:tcMar>
          </w:tcPr>
          <w:p>
            <w:r>
              <w:rPr>
                <w:rFonts w:ascii="Arial" w:cs="Arial" w:eastAsia="Arial" w:hAnsi="Arial"/>
                <w:b/>
                <w:bCs/>
                <w:color w:val="B7950B"/>
                <w:sz w:val="20"/>
                <w:szCs w:val="20"/>
              </w:rPr>
              <w:t xml:space="preserve">Barcode Endpoint Has No Rate Limiting</w:t>
            </w:r>
          </w:p>
          <w:p>
            <w:pPr>
              <w:spacing w:after="0"/>
            </w:pPr>
            <w:r>
              <w:rPr>
                <w:rFonts w:ascii="Arial" w:cs="Arial" w:eastAsia="Arial" w:hAnsi="Arial"/>
                <w:color w:val="1E3A5F"/>
                <w:sz w:val="18"/>
                <w:szCs w:val="18"/>
              </w:rPr>
              <w:t xml:space="preserve">GET /api/nutrition/barcode/[code] authenticates the user but applies no rate limit. The endpoint makes an outbound HTTP request to OpenFoodFacts and performs a database upsert on every cache miss. An authenticated user could loop through thousands of barcodes to populate the food_items table arbitrarily or exhaust your OpenFoodFacts API goodwill.</w:t>
            </w:r>
          </w:p>
        </w:tc>
      </w:tr>
    </w:tbl>
    <w:p>
      <w:pPr>
        <w:spacing w:after="160"/>
      </w:pPr>
      <w:r>
        <w:t xml:space="preserve"/>
      </w:r>
    </w:p>
    <w:p>
      <w:pPr>
        <w:spacing w:after="120"/>
      </w:pPr>
      <w:r>
        <w:rPr>
          <w:rFonts w:ascii="Arial" w:cs="Arial" w:eastAsia="Arial" w:hAnsi="Arial"/>
          <w:i/>
          <w:iCs/>
          <w:color w:val="5F6B7A"/>
          <w:sz w:val="20"/>
          <w:szCs w:val="20"/>
        </w:rPr>
        <w:t xml:space="preserve">Remediation: Apply rateLimit() with a reasonable limit (e.g., 200 lookups per hour per user). Also consider validating barcode format: EAN-13, UPC-A, and UPC-E codes are numeric strings of specific lengths. Non-numeric or oversized barcodes can be rejected immediately before any DB or network call.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B7950B" w:sz="1"/>
              <w:left w:val="single" w:color="B7950B" w:sz="1"/>
              <w:bottom w:val="single" w:color="B7950B" w:sz="1"/>
              <w:right w:val="single" w:color="B7950B" w:sz="1"/>
            </w:tcBorders>
            <w:shd w:fill="FEFCE6" w:val="clear"/>
            <w:tcMar>
              <w:top w:type="dxa" w:w="100"/>
              <w:left w:type="dxa" w:w="120"/>
              <w:bottom w:type="dxa" w:w="100"/>
              <w:right w:type="dxa" w:w="120"/>
            </w:tcMar>
            <w:vAlign w:val="center"/>
          </w:tcPr>
          <w:p>
            <w:pPr>
              <w:jc w:val="center"/>
            </w:pPr>
            <w:r>
              <w:rPr>
                <w:rFonts w:ascii="Arial" w:cs="Arial" w:eastAsia="Arial" w:hAnsi="Arial"/>
                <w:b/>
                <w:bCs/>
                <w:color w:val="B7950B"/>
                <w:sz w:val="18"/>
                <w:szCs w:val="18"/>
              </w:rPr>
              <w:t xml:space="preserve">MEDIUM</w:t>
            </w:r>
          </w:p>
        </w:tc>
        <w:tc>
          <w:tcPr>
            <w:tcW w:type="dxa" w:w="8160"/>
            <w:tcBorders>
              <w:top w:val="single" w:color="B7950B" w:sz="1"/>
              <w:left w:val="single" w:color="B7950B" w:sz="1"/>
              <w:bottom w:val="single" w:color="B7950B" w:sz="1"/>
              <w:right w:val="single" w:color="B7950B" w:sz="1"/>
            </w:tcBorders>
            <w:shd w:fill="FEFCE6" w:val="clear"/>
            <w:tcMar>
              <w:top w:type="dxa" w:w="100"/>
              <w:left w:type="dxa" w:w="160"/>
              <w:bottom w:type="dxa" w:w="100"/>
              <w:right w:type="dxa" w:w="120"/>
            </w:tcMar>
          </w:tcPr>
          <w:p>
            <w:r>
              <w:rPr>
                <w:rFonts w:ascii="Arial" w:cs="Arial" w:eastAsia="Arial" w:hAnsi="Arial"/>
                <w:b/>
                <w:bCs/>
                <w:color w:val="B7950B"/>
                <w:sz w:val="20"/>
                <w:szCs w:val="20"/>
              </w:rPr>
              <w:t xml:space="preserve">No Content Security Policy (CSP) Headers</w:t>
            </w:r>
          </w:p>
          <w:p>
            <w:pPr>
              <w:spacing w:after="0"/>
            </w:pPr>
            <w:r>
              <w:rPr>
                <w:rFonts w:ascii="Arial" w:cs="Arial" w:eastAsia="Arial" w:hAnsi="Arial"/>
                <w:color w:val="1E3A5F"/>
                <w:sz w:val="18"/>
                <w:szCs w:val="18"/>
              </w:rPr>
              <w:t xml:space="preserve">No Content-Security-Policy headers are configured in the middleware or next.config.ts. Without a CSP, the app is more vulnerable to cross-site scripting (XSS) attacks if user-generated content (bios, exercise names, template descriptions, clip captions, ping messages) ever renders unsanitized. The app uses server components and Supabase data which reduces XSS surface, but the protection layer is absent.</w:t>
            </w:r>
          </w:p>
        </w:tc>
      </w:tr>
    </w:tbl>
    <w:p>
      <w:pPr>
        <w:spacing w:after="160"/>
      </w:pPr>
      <w:r>
        <w:t xml:space="preserve"/>
      </w:r>
    </w:p>
    <w:p>
      <w:pPr>
        <w:spacing w:after="120"/>
      </w:pPr>
      <w:r>
        <w:rPr>
          <w:rFonts w:ascii="Arial" w:cs="Arial" w:eastAsia="Arial" w:hAnsi="Arial"/>
          <w:i/>
          <w:iCs/>
          <w:color w:val="5F6B7A"/>
          <w:sz w:val="20"/>
          <w:szCs w:val="20"/>
        </w:rPr>
        <w:t xml:space="preserve">Remediation: Add a CSP header in middleware.ts or next.config.ts headers() configuration. A starter policy should allow scripts from self and any CDNs you use (cdnjs.cloudflare.com), and block all other origins. Start in report-only mode before enforcing to avoid breaking legitimate resources.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B7950B" w:sz="1"/>
              <w:left w:val="single" w:color="B7950B" w:sz="1"/>
              <w:bottom w:val="single" w:color="B7950B" w:sz="1"/>
              <w:right w:val="single" w:color="B7950B" w:sz="1"/>
            </w:tcBorders>
            <w:shd w:fill="FEFCE6" w:val="clear"/>
            <w:tcMar>
              <w:top w:type="dxa" w:w="100"/>
              <w:left w:type="dxa" w:w="120"/>
              <w:bottom w:type="dxa" w:w="100"/>
              <w:right w:type="dxa" w:w="120"/>
            </w:tcMar>
            <w:vAlign w:val="center"/>
          </w:tcPr>
          <w:p>
            <w:pPr>
              <w:jc w:val="center"/>
            </w:pPr>
            <w:r>
              <w:rPr>
                <w:rFonts w:ascii="Arial" w:cs="Arial" w:eastAsia="Arial" w:hAnsi="Arial"/>
                <w:b/>
                <w:bCs/>
                <w:color w:val="B7950B"/>
                <w:sz w:val="18"/>
                <w:szCs w:val="18"/>
              </w:rPr>
              <w:t xml:space="preserve">MEDIUM</w:t>
            </w:r>
          </w:p>
        </w:tc>
        <w:tc>
          <w:tcPr>
            <w:tcW w:type="dxa" w:w="8160"/>
            <w:tcBorders>
              <w:top w:val="single" w:color="B7950B" w:sz="1"/>
              <w:left w:val="single" w:color="B7950B" w:sz="1"/>
              <w:bottom w:val="single" w:color="B7950B" w:sz="1"/>
              <w:right w:val="single" w:color="B7950B" w:sz="1"/>
            </w:tcBorders>
            <w:shd w:fill="FEFCE6" w:val="clear"/>
            <w:tcMar>
              <w:top w:type="dxa" w:w="100"/>
              <w:left w:type="dxa" w:w="160"/>
              <w:bottom w:type="dxa" w:w="100"/>
              <w:right w:type="dxa" w:w="120"/>
            </w:tcMar>
          </w:tcPr>
          <w:p>
            <w:r>
              <w:rPr>
                <w:rFonts w:ascii="Arial" w:cs="Arial" w:eastAsia="Arial" w:hAnsi="Arial"/>
                <w:b/>
                <w:bCs/>
                <w:color w:val="B7950B"/>
                <w:sz w:val="20"/>
                <w:szCs w:val="20"/>
              </w:rPr>
              <w:t xml:space="preserve">exerciseSearchSchema Allows limit Up to 10,000</w:t>
            </w:r>
          </w:p>
          <w:p>
            <w:pPr>
              <w:spacing w:after="0"/>
            </w:pPr>
            <w:r>
              <w:rPr>
                <w:rFonts w:ascii="Arial" w:cs="Arial" w:eastAsia="Arial" w:hAnsi="Arial"/>
                <w:color w:val="1E3A5F"/>
                <w:sz w:val="18"/>
                <w:szCs w:val="18"/>
              </w:rPr>
              <w:t xml:space="preserve">The exercise search schema in api.schemas.ts permits limit values up to 10,000. A single query returning 10,000 rows is a significant database load and could be abused to scrape the entire exercise library in one call.</w:t>
            </w:r>
          </w:p>
        </w:tc>
      </w:tr>
    </w:tbl>
    <w:p>
      <w:pPr>
        <w:spacing w:after="160"/>
      </w:pPr>
      <w:r>
        <w:t xml:space="preserve"/>
      </w:r>
    </w:p>
    <w:p>
      <w:pPr>
        <w:spacing w:after="120"/>
      </w:pPr>
      <w:r>
        <w:rPr>
          <w:rFonts w:ascii="Arial" w:cs="Arial" w:eastAsia="Arial" w:hAnsi="Arial"/>
          <w:i/>
          <w:iCs/>
          <w:color w:val="5F6B7A"/>
          <w:sz w:val="20"/>
          <w:szCs w:val="20"/>
        </w:rPr>
        <w:t xml:space="preserve">Remediation: Cap the limit at a sensible maximum (e.g., 200) for user-facing searches. If the import-exercisedb script requires a higher limit, handle that separately in a server-only context bypassing the API schema.</w:t>
      </w:r>
    </w:p>
    <w:p>
      <w:pPr>
        <w:spacing w:after="160"/>
      </w:pPr>
      <w:r>
        <w:t xml:space="preserve"/>
      </w:r>
    </w:p>
    <w:p>
      <w:pPr>
        <w:pStyle w:val="Heading3"/>
        <w:spacing w:after="80" w:before="180"/>
      </w:pPr>
      <w:r>
        <w:rPr>
          <w:rFonts w:ascii="Arial" w:cs="Arial" w:eastAsia="Arial" w:hAnsi="Arial"/>
          <w:b/>
          <w:bCs/>
        </w:rPr>
        <w:t xml:space="preserve">Low / Code Quality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5F6B7A" w:sz="1"/>
              <w:left w:val="single" w:color="5F6B7A" w:sz="1"/>
              <w:bottom w:val="single" w:color="5F6B7A" w:sz="1"/>
              <w:right w:val="single" w:color="5F6B7A" w:sz="1"/>
            </w:tcBorders>
            <w:shd w:fill="F4F6F8" w:val="clear"/>
            <w:tcMar>
              <w:top w:type="dxa" w:w="100"/>
              <w:left w:type="dxa" w:w="120"/>
              <w:bottom w:type="dxa" w:w="100"/>
              <w:right w:type="dxa" w:w="120"/>
            </w:tcMar>
            <w:vAlign w:val="center"/>
          </w:tcPr>
          <w:p>
            <w:pPr>
              <w:jc w:val="center"/>
            </w:pPr>
            <w:r>
              <w:rPr>
                <w:rFonts w:ascii="Arial" w:cs="Arial" w:eastAsia="Arial" w:hAnsi="Arial"/>
                <w:b/>
                <w:bCs/>
                <w:color w:val="5F6B7A"/>
                <w:sz w:val="18"/>
                <w:szCs w:val="18"/>
              </w:rPr>
              <w:t xml:space="preserve">LOW</w:t>
            </w:r>
          </w:p>
        </w:tc>
        <w:tc>
          <w:tcPr>
            <w:tcW w:type="dxa" w:w="8160"/>
            <w:tcBorders>
              <w:top w:val="single" w:color="5F6B7A" w:sz="1"/>
              <w:left w:val="single" w:color="5F6B7A" w:sz="1"/>
              <w:bottom w:val="single" w:color="5F6B7A" w:sz="1"/>
              <w:right w:val="single" w:color="5F6B7A" w:sz="1"/>
            </w:tcBorders>
            <w:shd w:fill="F4F6F8" w:val="clear"/>
            <w:tcMar>
              <w:top w:type="dxa" w:w="100"/>
              <w:left w:type="dxa" w:w="160"/>
              <w:bottom w:type="dxa" w:w="100"/>
              <w:right w:type="dxa" w:w="120"/>
            </w:tcMar>
          </w:tcPr>
          <w:p>
            <w:r>
              <w:rPr>
                <w:rFonts w:ascii="Arial" w:cs="Arial" w:eastAsia="Arial" w:hAnsi="Arial"/>
                <w:b/>
                <w:bCs/>
                <w:color w:val="5F6B7A"/>
                <w:sz w:val="20"/>
                <w:szCs w:val="20"/>
              </w:rPr>
              <w:t xml:space="preserve">Inconsistent Logging — console.error vs. logger Utility</w:t>
            </w:r>
          </w:p>
          <w:p>
            <w:pPr>
              <w:spacing w:after="0"/>
            </w:pPr>
            <w:r>
              <w:rPr>
                <w:rFonts w:ascii="Arial" w:cs="Arial" w:eastAsia="Arial" w:hAnsi="Arial"/>
                <w:color w:val="1E3A5F"/>
                <w:sz w:val="18"/>
                <w:szCs w:val="18"/>
              </w:rPr>
              <w:t xml:space="preserve">The app has a logger utility at src/lib/logger.ts, but several API routes use console.error directly (e.g., the barcode route). This inconsistency makes log aggregation in Sentry and production monitoring less reliable.</w:t>
            </w:r>
          </w:p>
        </w:tc>
      </w:tr>
    </w:tbl>
    <w:p>
      <w:pPr>
        <w:spacing w:after="160"/>
      </w:pPr>
      <w:r>
        <w:t xml:space="preserve"/>
      </w:r>
    </w:p>
    <w:p>
      <w:pPr>
        <w:spacing w:after="120"/>
      </w:pPr>
      <w:r>
        <w:rPr>
          <w:rFonts w:ascii="Arial" w:cs="Arial" w:eastAsia="Arial" w:hAnsi="Arial"/>
          <w:i/>
          <w:iCs/>
          <w:color w:val="5F6B7A"/>
          <w:sz w:val="20"/>
          <w:szCs w:val="20"/>
        </w:rPr>
        <w:t xml:space="preserve">Remediation: Audit all API routes and replace console.error / console.warn with calls to the logger utility. This is a low-risk change that pays dividends in production observability.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5F6B7A" w:sz="1"/>
              <w:left w:val="single" w:color="5F6B7A" w:sz="1"/>
              <w:bottom w:val="single" w:color="5F6B7A" w:sz="1"/>
              <w:right w:val="single" w:color="5F6B7A" w:sz="1"/>
            </w:tcBorders>
            <w:shd w:fill="F4F6F8" w:val="clear"/>
            <w:tcMar>
              <w:top w:type="dxa" w:w="100"/>
              <w:left w:type="dxa" w:w="120"/>
              <w:bottom w:type="dxa" w:w="100"/>
              <w:right w:type="dxa" w:w="120"/>
            </w:tcMar>
            <w:vAlign w:val="center"/>
          </w:tcPr>
          <w:p>
            <w:pPr>
              <w:jc w:val="center"/>
            </w:pPr>
            <w:r>
              <w:rPr>
                <w:rFonts w:ascii="Arial" w:cs="Arial" w:eastAsia="Arial" w:hAnsi="Arial"/>
                <w:b/>
                <w:bCs/>
                <w:color w:val="5F6B7A"/>
                <w:sz w:val="18"/>
                <w:szCs w:val="18"/>
              </w:rPr>
              <w:t xml:space="preserve">LOW</w:t>
            </w:r>
          </w:p>
        </w:tc>
        <w:tc>
          <w:tcPr>
            <w:tcW w:type="dxa" w:w="8160"/>
            <w:tcBorders>
              <w:top w:val="single" w:color="5F6B7A" w:sz="1"/>
              <w:left w:val="single" w:color="5F6B7A" w:sz="1"/>
              <w:bottom w:val="single" w:color="5F6B7A" w:sz="1"/>
              <w:right w:val="single" w:color="5F6B7A" w:sz="1"/>
            </w:tcBorders>
            <w:shd w:fill="F4F6F8" w:val="clear"/>
            <w:tcMar>
              <w:top w:type="dxa" w:w="100"/>
              <w:left w:type="dxa" w:w="160"/>
              <w:bottom w:type="dxa" w:w="100"/>
              <w:right w:type="dxa" w:w="120"/>
            </w:tcMar>
          </w:tcPr>
          <w:p>
            <w:r>
              <w:rPr>
                <w:rFonts w:ascii="Arial" w:cs="Arial" w:eastAsia="Arial" w:hAnsi="Arial"/>
                <w:b/>
                <w:bCs/>
                <w:color w:val="5F6B7A"/>
                <w:sz w:val="20"/>
                <w:szCs w:val="20"/>
              </w:rPr>
              <w:t xml:space="preserve">source Field in Exercise Search Has No Enum Validation</w:t>
            </w:r>
          </w:p>
          <w:p>
            <w:pPr>
              <w:spacing w:after="0"/>
            </w:pPr>
            <w:r>
              <w:rPr>
                <w:rFonts w:ascii="Arial" w:cs="Arial" w:eastAsia="Arial" w:hAnsi="Arial"/>
                <w:color w:val="1E3A5F"/>
                <w:sz w:val="18"/>
                <w:szCs w:val="18"/>
              </w:rPr>
              <w:t xml:space="preserve">The exerciseSearchSchema allows source as a free-form string field. Depending on how the query layer interprets this field, unexpected values could filter in unexpected ways or be passed through to raw queries.</w:t>
            </w:r>
          </w:p>
        </w:tc>
      </w:tr>
    </w:tbl>
    <w:p>
      <w:pPr>
        <w:spacing w:after="160"/>
      </w:pPr>
      <w:r>
        <w:t xml:space="preserve"/>
      </w:r>
    </w:p>
    <w:p>
      <w:pPr>
        <w:spacing w:after="120"/>
      </w:pPr>
      <w:r>
        <w:rPr>
          <w:rFonts w:ascii="Arial" w:cs="Arial" w:eastAsia="Arial" w:hAnsi="Arial"/>
          <w:i/>
          <w:iCs/>
          <w:color w:val="5F6B7A"/>
          <w:sz w:val="20"/>
          <w:szCs w:val="20"/>
        </w:rPr>
        <w:t xml:space="preserve">Remediation: Define an explicit enum for valid source values (e.g., z.enum(['builtin', 'custom', 'all']).optional()) and reject unknown values with a 400 error.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5F6B7A" w:sz="1"/>
              <w:left w:val="single" w:color="5F6B7A" w:sz="1"/>
              <w:bottom w:val="single" w:color="5F6B7A" w:sz="1"/>
              <w:right w:val="single" w:color="5F6B7A" w:sz="1"/>
            </w:tcBorders>
            <w:shd w:fill="F4F6F8" w:val="clear"/>
            <w:tcMar>
              <w:top w:type="dxa" w:w="100"/>
              <w:left w:type="dxa" w:w="120"/>
              <w:bottom w:type="dxa" w:w="100"/>
              <w:right w:type="dxa" w:w="120"/>
            </w:tcMar>
            <w:vAlign w:val="center"/>
          </w:tcPr>
          <w:p>
            <w:pPr>
              <w:jc w:val="center"/>
            </w:pPr>
            <w:r>
              <w:rPr>
                <w:rFonts w:ascii="Arial" w:cs="Arial" w:eastAsia="Arial" w:hAnsi="Arial"/>
                <w:b/>
                <w:bCs/>
                <w:color w:val="5F6B7A"/>
                <w:sz w:val="18"/>
                <w:szCs w:val="18"/>
              </w:rPr>
              <w:t xml:space="preserve">LOW</w:t>
            </w:r>
          </w:p>
        </w:tc>
        <w:tc>
          <w:tcPr>
            <w:tcW w:type="dxa" w:w="8160"/>
            <w:tcBorders>
              <w:top w:val="single" w:color="5F6B7A" w:sz="1"/>
              <w:left w:val="single" w:color="5F6B7A" w:sz="1"/>
              <w:bottom w:val="single" w:color="5F6B7A" w:sz="1"/>
              <w:right w:val="single" w:color="5F6B7A" w:sz="1"/>
            </w:tcBorders>
            <w:shd w:fill="F4F6F8" w:val="clear"/>
            <w:tcMar>
              <w:top w:type="dxa" w:w="100"/>
              <w:left w:type="dxa" w:w="160"/>
              <w:bottom w:type="dxa" w:w="100"/>
              <w:right w:type="dxa" w:w="120"/>
            </w:tcMar>
          </w:tcPr>
          <w:p>
            <w:r>
              <w:rPr>
                <w:rFonts w:ascii="Arial" w:cs="Arial" w:eastAsia="Arial" w:hAnsi="Arial"/>
                <w:b/>
                <w:bCs/>
                <w:color w:val="5F6B7A"/>
                <w:sz w:val="20"/>
                <w:szCs w:val="20"/>
              </w:rPr>
              <w:t xml:space="preserve">Onboarding Cookie fh_onboarded Bypass Potential</w:t>
            </w:r>
          </w:p>
          <w:p>
            <w:pPr>
              <w:spacing w:after="0"/>
            </w:pPr>
            <w:r>
              <w:rPr>
                <w:rFonts w:ascii="Arial" w:cs="Arial" w:eastAsia="Arial" w:hAnsi="Arial"/>
                <w:color w:val="1E3A5F"/>
                <w:sz w:val="18"/>
                <w:szCs w:val="18"/>
              </w:rPr>
              <w:t xml:space="preserve">The middleware caches the onboarding completion state in a cookie (fh_onboarded=1) to skip the DB profile query on subsequent requests. A user who manually sets this cookie can skip the onboarding redirect. This is low risk since the app page itself can re-check onboarding state, but it means the middleware protection is bypassable.</w:t>
            </w:r>
          </w:p>
        </w:tc>
      </w:tr>
    </w:tbl>
    <w:p>
      <w:pPr>
        <w:spacing w:after="160"/>
      </w:pPr>
      <w:r>
        <w:t xml:space="preserve"/>
      </w:r>
    </w:p>
    <w:p>
      <w:pPr>
        <w:spacing w:after="120"/>
      </w:pPr>
      <w:r>
        <w:rPr>
          <w:rFonts w:ascii="Arial" w:cs="Arial" w:eastAsia="Arial" w:hAnsi="Arial"/>
          <w:i/>
          <w:iCs/>
          <w:color w:val="5F6B7A"/>
          <w:sz w:val="20"/>
          <w:szCs w:val="20"/>
        </w:rPr>
        <w:t xml:space="preserve">Remediation: Accept this as an intentional UX optimization trade-off, and ensure individual protected pages verify onboarding completion server-side if any page-level functionality depends on a completed profile.</w:t>
      </w:r>
    </w:p>
    <w:p>
      <w:pPr>
        <w:spacing w:after="160"/>
      </w:pPr>
      <w:r>
        <w:t xml:space="preserve"/>
      </w:r>
    </w:p>
    <w:p>
      <w:r>
        <w:br w:type="page"/>
      </w:r>
    </w:p>
    <w:p>
      <w:pPr>
        <w:pStyle w:val="Heading1"/>
        <w:spacing w:after="180" w:before="360"/>
      </w:pPr>
      <w:r>
        <w:rPr>
          <w:rFonts w:ascii="Arial" w:cs="Arial" w:eastAsia="Arial" w:hAnsi="Arial"/>
          <w:b/>
          <w:bCs/>
        </w:rPr>
        <w:t xml:space="preserve">Section 3: Structured Research &amp; Implementation Plan for New Features</w:t>
      </w:r>
    </w:p>
    <w:p>
      <w:pPr>
        <w:pBdr>
          <w:bottom w:val="single" w:color="2E75B6" w:sz="4" w:space="4"/>
        </w:pBdr>
        <w:spacing w:after="120" w:before="120"/>
      </w:pPr>
      <w:r>
        <w:t xml:space="preserve"/>
      </w:r>
    </w:p>
    <w:p>
      <w:pPr>
        <w:spacing w:after="120"/>
      </w:pPr>
      <w:r>
        <w:rPr>
          <w:rFonts w:ascii="Arial" w:cs="Arial" w:eastAsia="Arial" w:hAnsi="Arial"/>
          <w:sz w:val="20"/>
          <w:szCs w:val="20"/>
        </w:rPr>
        <w:t xml:space="preserve">Based on the current architecture, the following is a phased plan for implementing the potential enhancements identified in FEATURES.md. Each phase is ordered by dependency and implementation risk, building on what already exists.</w:t>
      </w:r>
    </w:p>
    <w:p>
      <w:pPr>
        <w:spacing w:after="160"/>
      </w:pPr>
      <w:r>
        <w:t xml:space="preserve"/>
      </w:r>
    </w:p>
    <w:p>
      <w:pPr>
        <w:pStyle w:val="Heading2"/>
        <w:spacing w:after="120" w:before="240"/>
      </w:pPr>
      <w:r>
        <w:rPr>
          <w:rFonts w:ascii="Arial" w:cs="Arial" w:eastAsia="Arial" w:hAnsi="Arial"/>
          <w:b/>
          <w:bCs/>
        </w:rPr>
        <w:t xml:space="preserve">3.1  Phase 1 — Analytics &amp; Reporting Extensions</w:t>
      </w:r>
    </w:p>
    <w:p>
      <w:pPr>
        <w:spacing w:after="120"/>
      </w:pPr>
      <w:r>
        <w:rPr>
          <w:rFonts w:ascii="Arial" w:cs="Arial" w:eastAsia="Arial" w:hAnsi="Arial"/>
          <w:sz w:val="20"/>
          <w:szCs w:val="20"/>
        </w:rPr>
        <w:t xml:space="preserve">These features extend existing data models with minimal schema changes and zero new external dependencies. Highest ROI for user retention.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b/>
                <w:bCs/>
                <w:color w:val="1E3A5F"/>
                <w:sz w:val="22"/>
                <w:szCs w:val="22"/>
              </w:rPr>
              <w:t xml:space="preserve">Phase 1  </w:t>
            </w:r>
            <w:r>
              <w:rPr>
                <w:rFonts w:ascii="Arial" w:cs="Arial" w:eastAsia="Arial" w:hAnsi="Arial"/>
                <w:i/>
                <w:iCs/>
                <w:color w:val="5F6B7A"/>
                <w:sz w:val="18"/>
                <w:szCs w:val="18"/>
              </w:rPr>
              <w:t xml:space="preserve">Estimated: 2–4 weeks</w:t>
            </w:r>
          </w:p>
          <w:p>
            <w:pPr>
              <w:pStyle w:val="ListParagraph"/>
              <w:numPr>
                <w:ilvl w:val="0"/>
                <w:numId w:val="2"/>
              </w:numPr>
              <w:spacing w:after="60"/>
            </w:pPr>
            <w:r>
              <w:rPr>
                <w:rFonts w:ascii="Arial" w:cs="Arial" w:eastAsia="Arial" w:hAnsi="Arial"/>
                <w:sz w:val="18"/>
                <w:szCs w:val="18"/>
              </w:rPr>
              <w:t xml:space="preserve">Nutrition Trend Charts (7/30/90 day) — Aggregate food_log by date. Reuse existing Recharts components from workout analytics. Add date-range picker (already exists in workout history). No new tables required; one new API endpoint at /api/nutrition/trends.</w:t>
            </w:r>
          </w:p>
          <w:p>
            <w:pPr>
              <w:pStyle w:val="ListParagraph"/>
              <w:numPr>
                <w:ilvl w:val="0"/>
                <w:numId w:val="2"/>
              </w:numPr>
              <w:spacing w:after="60"/>
            </w:pPr>
            <w:r>
              <w:rPr>
                <w:rFonts w:ascii="Arial" w:cs="Arial" w:eastAsia="Arial" w:hAnsi="Arial"/>
                <w:sz w:val="18"/>
                <w:szCs w:val="18"/>
              </w:rPr>
              <w:t xml:space="preserve">Advanced Workout Filtering &amp; Search — Extend the existing exercise search schema. Add full-text search on workout_sessions notes and template names using Postgres tsvector + pg_trgm (already suggested for marketplace). Expose via existing /api/exercises/search route with new filter params.</w:t>
            </w:r>
          </w:p>
          <w:p>
            <w:pPr>
              <w:pStyle w:val="ListParagraph"/>
              <w:numPr>
                <w:ilvl w:val="0"/>
                <w:numId w:val="2"/>
              </w:numPr>
              <w:spacing w:after="60"/>
            </w:pPr>
            <w:r>
              <w:rPr>
                <w:rFonts w:ascii="Arial" w:cs="Arial" w:eastAsia="Arial" w:hAnsi="Arial"/>
                <w:sz w:val="18"/>
                <w:szCs w:val="18"/>
              </w:rPr>
              <w:t xml:space="preserve">Export: CSV &amp; PDF Enhancements — pdf-export.ts and csv.ts already exist. Extend to cover nutrition history, body measurements, and personal records. UI entry point in Settings &gt; Export.</w:t>
            </w:r>
          </w:p>
        </w:tc>
      </w:tr>
    </w:tbl>
    <w:p>
      <w:pPr>
        <w:spacing w:after="160"/>
      </w:pPr>
      <w:r>
        <w:t xml:space="preserve"/>
      </w:r>
    </w:p>
    <w:p>
      <w:pPr>
        <w:spacing w:after="120"/>
      </w:pPr>
      <w:r>
        <w:rPr>
          <w:rFonts w:ascii="Arial" w:cs="Arial" w:eastAsia="Arial" w:hAnsi="Arial"/>
          <w:sz w:val="20"/>
          <w:szCs w:val="20"/>
        </w:rPr>
        <w:t xml:space="preserve">Research required: Recharts date aggregation patterns for variable-length ranges; Postgres date_trunc() and generate_series() for gap-filled time series.</w:t>
      </w:r>
    </w:p>
    <w:p>
      <w:pPr>
        <w:spacing w:after="160"/>
      </w:pPr>
      <w:r>
        <w:t xml:space="preserve"/>
      </w:r>
    </w:p>
    <w:p>
      <w:pPr>
        <w:pStyle w:val="Heading2"/>
        <w:spacing w:after="120" w:before="240"/>
      </w:pPr>
      <w:r>
        <w:rPr>
          <w:rFonts w:ascii="Arial" w:cs="Arial" w:eastAsia="Arial" w:hAnsi="Arial"/>
          <w:b/>
          <w:bCs/>
        </w:rPr>
        <w:t xml:space="preserve">3.2  Phase 2 — Content &amp; Community Depth</w:t>
      </w:r>
    </w:p>
    <w:p>
      <w:pPr>
        <w:spacing w:after="120"/>
      </w:pPr>
      <w:r>
        <w:rPr>
          <w:rFonts w:ascii="Arial" w:cs="Arial" w:eastAsia="Arial" w:hAnsi="Arial"/>
          <w:sz w:val="20"/>
          <w:szCs w:val="20"/>
        </w:rPr>
        <w:t xml:space="preserve">These features require new media hosting and extend the existing social graph. Medium implementation risk.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1E3A5F"/>
                <w:sz w:val="22"/>
                <w:szCs w:val="22"/>
              </w:rPr>
              <w:t xml:space="preserve">Phase 2  </w:t>
            </w:r>
            <w:r>
              <w:rPr>
                <w:rFonts w:ascii="Arial" w:cs="Arial" w:eastAsia="Arial" w:hAnsi="Arial"/>
                <w:i/>
                <w:iCs/>
                <w:color w:val="5F6B7A"/>
                <w:sz w:val="18"/>
                <w:szCs w:val="18"/>
              </w:rPr>
              <w:t xml:space="preserve">Estimated: 4–8 weeks</w:t>
            </w:r>
          </w:p>
          <w:p>
            <w:pPr>
              <w:pStyle w:val="ListParagraph"/>
              <w:numPr>
                <w:ilvl w:val="0"/>
                <w:numId w:val="2"/>
              </w:numPr>
              <w:spacing w:after="60"/>
            </w:pPr>
            <w:r>
              <w:rPr>
                <w:rFonts w:ascii="Arial" w:cs="Arial" w:eastAsia="Arial" w:hAnsi="Arial"/>
                <w:sz w:val="18"/>
                <w:szCs w:val="18"/>
              </w:rPr>
              <w:t xml:space="preserve">Exercise Video Library — Add a video_url column to the exercises table (nullable). Supabase Storage bucket for exercise demonstration clips. Admin upload flow. Display during active workout next to the existing form tips. No new client auth pattern needed; reuse Supabase Storage RLS.</w:t>
            </w:r>
          </w:p>
          <w:p>
            <w:pPr>
              <w:pStyle w:val="ListParagraph"/>
              <w:numPr>
                <w:ilvl w:val="0"/>
                <w:numId w:val="2"/>
              </w:numPr>
              <w:spacing w:after="60"/>
            </w:pPr>
            <w:r>
              <w:rPr>
                <w:rFonts w:ascii="Arial" w:cs="Arial" w:eastAsia="Arial" w:hAnsi="Arial"/>
                <w:sz w:val="18"/>
                <w:szCs w:val="18"/>
              </w:rPr>
              <w:t xml:space="preserve">Meal Planning &amp; Prep — New meal_plans and meal_plan_days tables. Extend the existing meal_templates feature (already shipped) to support weekly scheduling. Add /api/nutrition/meal-plans/* routes following the existing food-log pattern. Grocery list generation already exists — wire it to meal plan output.</w:t>
            </w:r>
          </w:p>
          <w:p>
            <w:pPr>
              <w:pStyle w:val="ListParagraph"/>
              <w:numPr>
                <w:ilvl w:val="0"/>
                <w:numId w:val="2"/>
              </w:numPr>
              <w:spacing w:after="60"/>
            </w:pPr>
            <w:r>
              <w:rPr>
                <w:rFonts w:ascii="Arial" w:cs="Arial" w:eastAsia="Arial" w:hAnsi="Arial"/>
                <w:sz w:val="18"/>
                <w:szCs w:val="18"/>
              </w:rPr>
              <w:t xml:space="preserve">Template Reviews — /api/templates/[id]/reviews route already exists (route file is scaffolded). Add template_reviews table with user_id, template_id, rating (1–5), body text. RLS: one review per user per template. Aggregate average_rating onto workout_templates.</w:t>
            </w:r>
          </w:p>
        </w:tc>
      </w:tr>
    </w:tbl>
    <w:p>
      <w:pPr>
        <w:spacing w:after="160"/>
      </w:pPr>
      <w:r>
        <w:t xml:space="preserve"/>
      </w:r>
    </w:p>
    <w:p>
      <w:pPr>
        <w:spacing w:after="120"/>
      </w:pPr>
      <w:r>
        <w:rPr>
          <w:rFonts w:ascii="Arial" w:cs="Arial" w:eastAsia="Arial" w:hAnsi="Arial"/>
          <w:sz w:val="20"/>
          <w:szCs w:val="20"/>
        </w:rPr>
        <w:t xml:space="preserve">Libraries to research: Supabase Storage signed URLs for private video access; react-day-picker (already installed) for meal plan weekly calendar view.</w:t>
      </w:r>
    </w:p>
    <w:p>
      <w:pPr>
        <w:spacing w:after="160"/>
      </w:pPr>
      <w:r>
        <w:t xml:space="preserve"/>
      </w:r>
    </w:p>
    <w:p>
      <w:pPr>
        <w:pStyle w:val="Heading2"/>
        <w:spacing w:after="120" w:before="240"/>
      </w:pPr>
      <w:r>
        <w:rPr>
          <w:rFonts w:ascii="Arial" w:cs="Arial" w:eastAsia="Arial" w:hAnsi="Arial"/>
          <w:b/>
          <w:bCs/>
        </w:rPr>
        <w:t xml:space="preserve">3.3  Phase 3 — Intelligent Training Features</w:t>
      </w:r>
    </w:p>
    <w:p>
      <w:pPr>
        <w:spacing w:after="120"/>
      </w:pPr>
      <w:r>
        <w:rPr>
          <w:rFonts w:ascii="Arial" w:cs="Arial" w:eastAsia="Arial" w:hAnsi="Arial"/>
          <w:sz w:val="20"/>
          <w:szCs w:val="20"/>
        </w:rPr>
        <w:t xml:space="preserve">These features build on the existing AI infrastructure and require the most careful integration planning to avoid breaking the current workout flow.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b/>
                <w:bCs/>
                <w:color w:val="1E3A5F"/>
                <w:sz w:val="22"/>
                <w:szCs w:val="22"/>
              </w:rPr>
              <w:t xml:space="preserve">Phase 3  </w:t>
            </w:r>
            <w:r>
              <w:rPr>
                <w:rFonts w:ascii="Arial" w:cs="Arial" w:eastAsia="Arial" w:hAnsi="Arial"/>
                <w:i/>
                <w:iCs/>
                <w:color w:val="5F6B7A"/>
                <w:sz w:val="18"/>
                <w:szCs w:val="18"/>
              </w:rPr>
              <w:t xml:space="preserve">Estimated: 6–12 weeks</w:t>
            </w:r>
          </w:p>
          <w:p>
            <w:pPr>
              <w:pStyle w:val="ListParagraph"/>
              <w:numPr>
                <w:ilvl w:val="0"/>
                <w:numId w:val="2"/>
              </w:numPr>
              <w:spacing w:after="60"/>
            </w:pPr>
            <w:r>
              <w:rPr>
                <w:rFonts w:ascii="Arial" w:cs="Arial" w:eastAsia="Arial" w:hAnsi="Arial"/>
                <w:sz w:val="18"/>
                <w:szCs w:val="18"/>
              </w:rPr>
              <w:t xml:space="preserve">Workout Program Builder (Multi-week) — The program-service.ts, /api/programs/* routes, and program_sessions table are already scaffolded and partially implemented. Priority is: solidify the schema (program_weeks, program_days, program_session_exercises), wire the AI Program Builder route (already exists at /api/ai/program-builder) to the storage layer, and build the UI for program enrollment and session advance.</w:t>
            </w:r>
          </w:p>
          <w:p>
            <w:pPr>
              <w:pStyle w:val="ListParagraph"/>
              <w:numPr>
                <w:ilvl w:val="0"/>
                <w:numId w:val="2"/>
              </w:numPr>
              <w:spacing w:after="60"/>
            </w:pPr>
            <w:r>
              <w:rPr>
                <w:rFonts w:ascii="Arial" w:cs="Arial" w:eastAsia="Arial" w:hAnsi="Arial"/>
                <w:sz w:val="18"/>
                <w:szCs w:val="18"/>
              </w:rPr>
              <w:t xml:space="preserve">Form Check Requests (Video Analysis) — /api/form-check/analyze and /api/form-check/latest routes already exist. form-analysis/frame-extractor.ts is implemented. The main remaining work is the UI upload flow, a form_checks table with RLS, and cost controls (rate limiting per video analysis, not just per request).</w:t>
            </w:r>
          </w:p>
          <w:p>
            <w:pPr>
              <w:pStyle w:val="ListParagraph"/>
              <w:numPr>
                <w:ilvl w:val="0"/>
                <w:numId w:val="2"/>
              </w:numPr>
              <w:spacing w:after="60"/>
            </w:pPr>
            <w:r>
              <w:rPr>
                <w:rFonts w:ascii="Arial" w:cs="Arial" w:eastAsia="Arial" w:hAnsi="Arial"/>
                <w:sz w:val="18"/>
                <w:szCs w:val="18"/>
              </w:rPr>
              <w:t xml:space="preserve">Group Leaderboards (Global) — Pod challenge leaderboards are already live. Extend to app-wide leaderboards by adding a public_leaderboard RPC using the same pattern as get_pod_challenge_leaderboard. Add privacy opt-in to profiles table to control leaderboard visibility.</w:t>
            </w:r>
          </w:p>
          <w:p>
            <w:pPr>
              <w:pStyle w:val="ListParagraph"/>
              <w:numPr>
                <w:ilvl w:val="0"/>
                <w:numId w:val="2"/>
              </w:numPr>
              <w:spacing w:after="60"/>
            </w:pPr>
            <w:r>
              <w:rPr>
                <w:rFonts w:ascii="Arial" w:cs="Arial" w:eastAsia="Arial" w:hAnsi="Arial"/>
                <w:sz w:val="18"/>
                <w:szCs w:val="18"/>
              </w:rPr>
              <w:t xml:space="preserve">Wearable Integrations — HealthKit sync is already scaffolded (/api/health-sync, src/lib/native/health-kit.ts). Research: Garmin Connect IQ API, Fitbit Web API, Apple Watch complications via watchOS target in Xcode. Architecture recommendation: standardize an inbound health data contract and have each wearable adapter normalize to it before inserting into a health_events table.</w:t>
            </w:r>
          </w:p>
        </w:tc>
      </w:tr>
    </w:tbl>
    <w:p>
      <w:pPr>
        <w:spacing w:after="160"/>
      </w:pPr>
      <w:r>
        <w:t xml:space="preserve"/>
      </w:r>
    </w:p>
    <w:p>
      <w:pPr>
        <w:spacing w:after="120"/>
      </w:pPr>
      <w:r>
        <w:rPr>
          <w:rFonts w:ascii="Arial" w:cs="Arial" w:eastAsia="Arial" w:hAnsi="Arial"/>
          <w:sz w:val="20"/>
          <w:szCs w:val="20"/>
        </w:rPr>
        <w:t xml:space="preserve">Architectural patterns to research: Background sync strategies for wearable data (webhooks vs. polling); Vercel Cron Jobs for periodic wearable data pulls; video processing pipeline (frame extraction already exists — extend to thumbnail generation at upload time using Vercel Edge Functions or a serverless function).</w:t>
      </w:r>
    </w:p>
    <w:p>
      <w:pPr>
        <w:spacing w:after="160"/>
      </w:pPr>
      <w:r>
        <w:t xml:space="preserve"/>
      </w:r>
    </w:p>
    <w:p>
      <w:pPr>
        <w:pStyle w:val="Heading2"/>
        <w:spacing w:after="120" w:before="240"/>
      </w:pPr>
      <w:r>
        <w:rPr>
          <w:rFonts w:ascii="Arial" w:cs="Arial" w:eastAsia="Arial" w:hAnsi="Arial"/>
          <w:b/>
          <w:bCs/>
        </w:rPr>
        <w:t xml:space="preserve">3.4  Libraries &amp; Frameworks to Research by Phase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 &amp; Capabilities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Phase 1: date-fns (installed)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format(), startOfWeek(), eachDayOfInterval() for nutrition trend date bucketing. Already installed — no new dependencies.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Phase 1: pg_trgm extension</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Enable in Supabase for fuzzy text search on exercise names and template names. CREATE EXTENSION IF NOT EXISTS pg_trgm; already referenced in FEATURES.md.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Phase 2: Supabase 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Research signed URL TTLs, CORS configuration for video playback, and RLS policies on storage.objects. Supabase Storage is already used for workout clips — apply the same pattern.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Phase 2: react-day-picker v9 (installed)</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Extend the existing calendar component (already used in workout history) to support range selection and meal plan day highlighting.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Phase 3: Vercel AI SDK streamObject (installed)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AI SDK is already in use for the coach. Extend the same pattern to the program builder — stream a structured program object using a new Zod schema.</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E3A5F"/>
                <w:sz w:val="18"/>
                <w:szCs w:val="18"/>
              </w:rPr>
              <w:t xml:space="preserve">Phase 3: Garmin / Fitbit APIs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OAuth 2.0 integration. Store access_token and refresh_token in a new wearable_integrations table with user_id and provider enum. Follow the same Supabase RLS pattern used everywhere else.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Phase 3: FFmpeg / Vercel Edge Functions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thumbnail generation at clip upload time. Research serverless-ffmpeg or use Vercel’s native blob transform APIs if available for your plan.</w:t>
            </w:r>
          </w:p>
        </w:tc>
      </w:tr>
    </w:tbl>
    <w:p>
      <w:pPr>
        <w:spacing w:after="160"/>
      </w:pPr>
      <w:r>
        <w:t xml:space="preserve"/>
      </w:r>
    </w:p>
    <w:p>
      <w:pPr>
        <w:pStyle w:val="Heading2"/>
        <w:spacing w:after="120" w:before="240"/>
      </w:pPr>
      <w:r>
        <w:rPr>
          <w:rFonts w:ascii="Arial" w:cs="Arial" w:eastAsia="Arial" w:hAnsi="Arial"/>
          <w:b/>
          <w:bCs/>
        </w:rPr>
        <w:t xml:space="preserve">3.5  Pre-Feature Remediation Checklist</w:t>
      </w:r>
    </w:p>
    <w:p>
      <w:pPr>
        <w:spacing w:after="120"/>
      </w:pPr>
      <w:r>
        <w:rPr>
          <w:rFonts w:ascii="Arial" w:cs="Arial" w:eastAsia="Arial" w:hAnsi="Arial"/>
          <w:sz w:val="20"/>
          <w:szCs w:val="20"/>
        </w:rPr>
        <w:t xml:space="preserve">Before building Phase 2 or 3 features, resolve the following items from Section 2 to avoid building on top of known issues:</w:t>
      </w:r>
    </w:p>
    <w:p>
      <w:pPr>
        <w:spacing w:after="160"/>
      </w:pPr>
      <w:r>
        <w:t xml:space="preserve"/>
      </w:r>
    </w:p>
    <w:p>
      <w:pPr>
        <w:pStyle w:val="ListParagraph"/>
        <w:numPr>
          <w:ilvl w:val="0"/>
          <w:numId w:val="2"/>
        </w:numPr>
        <w:spacing w:after="80"/>
      </w:pPr>
      <w:r>
        <w:rPr>
          <w:rFonts w:ascii="Arial" w:cs="Arial" w:eastAsia="Arial" w:hAnsi="Arial"/>
          <w:b w:val="false"/>
          <w:bCs w:val="false"/>
          <w:sz w:val="20"/>
          <w:szCs w:val="20"/>
        </w:rPr>
        <w:t xml:space="preserve">Add auth guard to /api/runtime-config  [CRITICAL — do before next deploy]</w:t>
      </w:r>
    </w:p>
    <w:p>
      <w:pPr>
        <w:pStyle w:val="ListParagraph"/>
        <w:numPr>
          <w:ilvl w:val="0"/>
          <w:numId w:val="2"/>
        </w:numPr>
        <w:spacing w:after="80"/>
      </w:pPr>
      <w:r>
        <w:rPr>
          <w:rFonts w:ascii="Arial" w:cs="Arial" w:eastAsia="Arial" w:hAnsi="Arial"/>
          <w:b w:val="false"/>
          <w:bCs w:val="false"/>
          <w:sz w:val="20"/>
          <w:szCs w:val="20"/>
        </w:rPr>
        <w:t xml:space="preserve">Add CSP headers to middleware.ts  [HIGH — do before shipping video library]</w:t>
      </w:r>
    </w:p>
    <w:p>
      <w:pPr>
        <w:pStyle w:val="ListParagraph"/>
        <w:numPr>
          <w:ilvl w:val="0"/>
          <w:numId w:val="2"/>
        </w:numPr>
        <w:spacing w:after="80"/>
      </w:pPr>
      <w:r>
        <w:rPr>
          <w:rFonts w:ascii="Arial" w:cs="Arial" w:eastAsia="Arial" w:hAnsi="Arial"/>
          <w:b w:val="false"/>
          <w:bCs w:val="false"/>
          <w:sz w:val="20"/>
          <w:szCs w:val="20"/>
        </w:rPr>
        <w:t xml:space="preserve">Add rate limiting to barcode endpoint  [MEDIUM — do before scaling nutrition features]</w:t>
      </w:r>
    </w:p>
    <w:p>
      <w:pPr>
        <w:pStyle w:val="ListParagraph"/>
        <w:numPr>
          <w:ilvl w:val="0"/>
          <w:numId w:val="2"/>
        </w:numPr>
        <w:spacing w:after="80"/>
      </w:pPr>
      <w:r>
        <w:rPr>
          <w:rFonts w:ascii="Arial" w:cs="Arial" w:eastAsia="Arial" w:hAnsi="Arial"/>
          <w:b w:val="false"/>
          <w:bCs w:val="false"/>
          <w:sz w:val="20"/>
          <w:szCs w:val="20"/>
        </w:rPr>
        <w:t xml:space="preserve">Switch server-only feature flags to non-public env vars  [HIGH — do before next feature launch]</w:t>
      </w:r>
    </w:p>
    <w:p>
      <w:pPr>
        <w:pStyle w:val="ListParagraph"/>
        <w:numPr>
          <w:ilvl w:val="0"/>
          <w:numId w:val="2"/>
        </w:numPr>
        <w:spacing w:after="80"/>
      </w:pPr>
      <w:r>
        <w:rPr>
          <w:rFonts w:ascii="Arial" w:cs="Arial" w:eastAsia="Arial" w:hAnsi="Arial"/>
          <w:b w:val="false"/>
          <w:bCs w:val="false"/>
          <w:sz w:val="20"/>
          <w:szCs w:val="20"/>
        </w:rPr>
        <w:t xml:space="preserve">Replace console.error with logger utility across all routes  [LOW — ongoing cleanup]</w:t>
      </w:r>
    </w:p>
    <w:p>
      <w:pPr>
        <w:pStyle w:val="ListParagraph"/>
        <w:numPr>
          <w:ilvl w:val="0"/>
          <w:numId w:val="2"/>
        </w:numPr>
        <w:spacing w:after="80"/>
      </w:pPr>
      <w:r>
        <w:rPr>
          <w:rFonts w:ascii="Arial" w:cs="Arial" w:eastAsia="Arial" w:hAnsi="Arial"/>
          <w:b w:val="false"/>
          <w:bCs w:val="false"/>
          <w:sz w:val="20"/>
          <w:szCs w:val="20"/>
        </w:rPr>
        <w:t xml:space="preserve">Cap exercise search limit to 200  [MEDIUM — do before enabling marketplace at scale]</w:t>
      </w:r>
    </w:p>
    <w:p>
      <w:pPr>
        <w:spacing w:after="160"/>
      </w:pPr>
      <w:r>
        <w:t xml:space="preserve"/>
      </w:r>
    </w:p>
    <w:p>
      <w:pPr>
        <w:pBdr>
          <w:bottom w:val="single" w:color="2E75B6" w:sz="4" w:space="4"/>
        </w:pBdr>
        <w:spacing w:after="120" w:before="120"/>
      </w:pPr>
      <w:r>
        <w:t xml:space="preserve"/>
      </w:r>
    </w:p>
    <w:p>
      <w:pPr>
        <w:spacing w:after="160"/>
      </w:pPr>
      <w:r>
        <w:t xml:space="preserve"/>
      </w:r>
    </w:p>
    <w:p>
      <w:pPr>
        <w:jc w:val="center"/>
      </w:pPr>
      <w:r>
        <w:rPr>
          <w:rFonts w:ascii="Arial" w:cs="Arial" w:eastAsia="Arial" w:hAnsi="Arial"/>
          <w:i/>
          <w:iCs/>
          <w:color w:val="5F6B7A"/>
          <w:sz w:val="18"/>
          <w:szCs w:val="18"/>
        </w:rPr>
        <w:t xml:space="preserve">End of Report</w:t>
      </w:r>
    </w:p>
    <w:p>
      <w:pPr>
        <w:jc w:val="center"/>
      </w:pPr>
      <w:r>
        <w:rPr>
          <w:rFonts w:ascii="Arial" w:cs="Arial" w:eastAsia="Arial" w:hAnsi="Arial"/>
          <w:color w:val="5F6B7A"/>
          <w:sz w:val="18"/>
          <w:szCs w:val="18"/>
        </w:rPr>
        <w:t xml:space="preserve">Fit-Hub Code Audit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640"/>
      </w:tabs>
    </w:pPr>
    <w:r>
      <w:rPr>
        <w:rFonts w:ascii="Arial" w:cs="Arial" w:eastAsia="Arial" w:hAnsi="Arial"/>
        <w:color w:val="5F6B7A"/>
        <w:sz w:val="16"/>
        <w:szCs w:val="16"/>
      </w:rPr>
      <w:t xml:space="preserve">Confidential — March 2026</w:t>
    </w:r>
    <w:r>
      <w:rPr>
        <w:rFonts w:ascii="Arial" w:cs="Arial" w:eastAsia="Arial" w:hAnsi="Arial"/>
        <w:color w:val="5F6B7A"/>
        <w:sz w:val="16"/>
        <w:szCs w:val="16"/>
      </w:rPr>
      <w:t xml:space="preserve">	Page </w:t>
    </w:r>
    <w:r>
      <w:rPr>
        <w:rFonts w:ascii="Arial" w:cs="Arial" w:eastAsia="Arial" w:hAnsi="Arial"/>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E3A5F"/>
        <w:sz w:val="18"/>
        <w:szCs w:val="18"/>
      </w:rPr>
      <w:t xml:space="preserve">Fit-Hub</w:t>
    </w:r>
    <w:r>
      <w:rPr>
        <w:rFonts w:ascii="Arial" w:cs="Arial" w:eastAsia="Arial" w:hAnsi="Arial"/>
        <w:color w:val="5F6B7A"/>
        <w:sz w:val="18"/>
        <w:szCs w:val="18"/>
      </w:rPr>
      <w:t xml:space="preserve">  —  Code Audit &amp;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2026-03-09T18:23:55.011Z</dcterms:created>
  <dcterms:modified xsi:type="dcterms:W3CDTF">2026-03-09T18:23:55.011Z</dcterms:modified>
</cp:coreProperties>
</file>

<file path=docProps/custom.xml><?xml version="1.0" encoding="utf-8"?>
<Properties xmlns="http://schemas.openxmlformats.org/officeDocument/2006/custom-properties" xmlns:vt="http://schemas.openxmlformats.org/officeDocument/2006/docPropsVTypes"/>
</file>