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Assumptions we raise ourselves</w:t>
      </w:r>
    </w:p>
    <w:p>
      <w:r>
        <w:rPr>
          <w:i/>
          <w:color w:val="44546A"/>
          <w:sz w:val="19"/>
        </w:rPr>
        <w:t>Back-pocket note for the viva. Say it before you are asked: “Two sets of numbers in AquaWise are ours or borrowed, and here is why.”</w:t>
      </w:r>
    </w:p>
    <w:p>
      <w:pPr>
        <w:pStyle w:val="Heading2"/>
      </w:pPr>
      <w:r>
        <w:t>1. Fixture flow rates come from US sources</w:t>
      </w:r>
    </w:p>
    <w:p>
      <w:r>
        <w:t>No Indian open dataset gives litres per fixture (per minute of shower, per flush, per wash load), so the calculator uses published US figures. The per-person norms it compares against (CPHEEO 70 / 135 / 150 L, Jal Jeevan Mission 55 L, WHO 20 / 100 L) are Indian or international — only the fixture litres are borrowed.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b/>
              </w:rPr>
              <w:t>Constant in shared/calculator.js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Value used</w:t>
            </w:r>
          </w:p>
        </w:tc>
        <w:tc>
          <w:tcPr>
            <w:tcW w:type="dxa" w:w="3249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3249"/>
          </w:tcPr>
          <w:p>
            <w:r>
              <w:t>Shower flow</w:t>
            </w:r>
          </w:p>
        </w:tc>
        <w:tc>
          <w:tcPr>
            <w:tcW w:type="dxa" w:w="3249"/>
          </w:tcPr>
          <w:p>
            <w:r>
              <w:t>9.46 L/min standard · 7.57 L/min efficient</w:t>
            </w:r>
          </w:p>
        </w:tc>
        <w:tc>
          <w:tcPr>
            <w:tcW w:type="dxa" w:w="3249"/>
          </w:tcPr>
          <w:p>
            <w:r>
              <w:t>US EPA WaterSense (2.5 / 2.0 gpm)</w:t>
            </w:r>
          </w:p>
        </w:tc>
      </w:tr>
      <w:tr>
        <w:tc>
          <w:tcPr>
            <w:tcW w:type="dxa" w:w="3249"/>
          </w:tcPr>
          <w:p>
            <w:r>
              <w:t>Shower length (default)</w:t>
            </w:r>
          </w:p>
        </w:tc>
        <w:tc>
          <w:tcPr>
            <w:tcW w:type="dxa" w:w="3249"/>
          </w:tcPr>
          <w:p>
            <w:r>
              <w:t>7.8 min</w:t>
            </w:r>
          </w:p>
        </w:tc>
        <w:tc>
          <w:tcPr>
            <w:tcW w:type="dxa" w:w="3249"/>
          </w:tcPr>
          <w:p>
            <w:r>
              <w:t>Water Research Foundation, REU2016</w:t>
            </w:r>
          </w:p>
        </w:tc>
      </w:tr>
      <w:tr>
        <w:tc>
          <w:tcPr>
            <w:tcW w:type="dxa" w:w="3249"/>
          </w:tcPr>
          <w:p>
            <w:r>
              <w:t>Flushes per person per day</w:t>
            </w:r>
          </w:p>
        </w:tc>
        <w:tc>
          <w:tcPr>
            <w:tcW w:type="dxa" w:w="3249"/>
          </w:tcPr>
          <w:p>
            <w:r>
              <w:t>5.0</w:t>
            </w:r>
          </w:p>
        </w:tc>
        <w:tc>
          <w:tcPr>
            <w:tcW w:type="dxa" w:w="3249"/>
          </w:tcPr>
          <w:p>
            <w:r>
              <w:t>Water Research Foundation, REU2016</w:t>
            </w:r>
          </w:p>
        </w:tc>
      </w:tr>
      <w:tr>
        <w:tc>
          <w:tcPr>
            <w:tcW w:type="dxa" w:w="3249"/>
          </w:tcPr>
          <w:p>
            <w:r>
              <w:t>Toilet flush</w:t>
            </w:r>
          </w:p>
        </w:tc>
        <w:tc>
          <w:tcPr>
            <w:tcW w:type="dxa" w:w="3249"/>
          </w:tcPr>
          <w:p>
            <w:r>
              <w:t>22.71 old · 6.06 standard · 4.85 L efficient</w:t>
            </w:r>
          </w:p>
        </w:tc>
        <w:tc>
          <w:tcPr>
            <w:tcW w:type="dxa" w:w="3249"/>
          </w:tcPr>
          <w:p>
            <w:r>
              <w:t>US EPA WaterSense (6 / 1.6 / 1.28 gpf)</w:t>
            </w:r>
          </w:p>
        </w:tc>
      </w:tr>
      <w:tr>
        <w:tc>
          <w:tcPr>
            <w:tcW w:type="dxa" w:w="3249"/>
          </w:tcPr>
          <w:p>
            <w:r>
              <w:t>Washing-machine load</w:t>
            </w:r>
          </w:p>
        </w:tc>
        <w:tc>
          <w:tcPr>
            <w:tcW w:type="dxa" w:w="3249"/>
          </w:tcPr>
          <w:p>
            <w:r>
              <w:t>117.35 older · 75.71 standard · 53.00 L efficient</w:t>
            </w:r>
          </w:p>
        </w:tc>
        <w:tc>
          <w:tcPr>
            <w:tcW w:type="dxa" w:w="3249"/>
          </w:tcPr>
          <w:p>
            <w:r>
              <w:t>REU2016; ENERGY STAR</w:t>
            </w:r>
          </w:p>
        </w:tc>
      </w:tr>
      <w:tr>
        <w:tc>
          <w:tcPr>
            <w:tcW w:type="dxa" w:w="3249"/>
          </w:tcPr>
          <w:p>
            <w:r>
              <w:t>Tap flow</w:t>
            </w:r>
          </w:p>
        </w:tc>
        <w:tc>
          <w:tcPr>
            <w:tcW w:type="dxa" w:w="3249"/>
          </w:tcPr>
          <w:p>
            <w:r>
              <w:t>8.33 L/min standard · 5.68 L/min aerated</w:t>
            </w:r>
          </w:p>
        </w:tc>
        <w:tc>
          <w:tcPr>
            <w:tcW w:type="dxa" w:w="3249"/>
          </w:tcPr>
          <w:p>
            <w:r>
              <w:t>US EPA WaterSense (2.2 / 1.5 gpm)</w:t>
            </w:r>
          </w:p>
        </w:tc>
      </w:tr>
      <w:tr>
        <w:tc>
          <w:tcPr>
            <w:tcW w:type="dxa" w:w="3249"/>
          </w:tcPr>
          <w:p>
            <w:r>
              <w:t>Dripping tap</w:t>
            </w:r>
          </w:p>
        </w:tc>
        <w:tc>
          <w:tcPr>
            <w:tcW w:type="dxa" w:w="3249"/>
          </w:tcPr>
          <w:p>
            <w:r>
              <w:t>31.11 L/day</w:t>
            </w:r>
          </w:p>
        </w:tc>
        <w:tc>
          <w:tcPr>
            <w:tcW w:type="dxa" w:w="3249"/>
          </w:tcPr>
          <w:p>
            <w:r>
              <w:t>US EPA Fix a Leak (3,000 gal/yr)</w:t>
            </w:r>
          </w:p>
        </w:tc>
      </w:tr>
      <w:tr>
        <w:tc>
          <w:tcPr>
            <w:tcW w:type="dxa" w:w="3249"/>
          </w:tcPr>
          <w:p>
            <w:r>
              <w:t>Garden</w:t>
            </w:r>
          </w:p>
        </w:tc>
        <w:tc>
          <w:tcPr>
            <w:tcW w:type="dxa" w:w="3249"/>
          </w:tcPr>
          <w:p>
            <w:r>
              <w:t>3.63 L/m²/day</w:t>
            </w:r>
          </w:p>
        </w:tc>
        <w:tc>
          <w:tcPr>
            <w:tcW w:type="dxa" w:w="3249"/>
          </w:tcPr>
          <w:p>
            <w:r>
              <w:t>US EPA WaterSense (1 inch/week)</w:t>
            </w:r>
          </w:p>
        </w:tc>
      </w:tr>
    </w:tbl>
    <w:p/>
    <w:p>
      <w:r>
        <w:rPr>
          <w:b/>
        </w:rPr>
        <w:t xml:space="preserve">What to say: </w:t>
      </w:r>
      <w:r>
        <w:t>“These are the best published per-fixture figures we could find. They fit flats with Western fixtures; for bucket-bath households they overstate bathing, which is why bucket mode exists. Every constant sits in one file with its source, so replacing them with Indian measurements is a one-file change — that is our first item of future work.”</w:t>
      </w:r>
    </w:p>
    <w:p>
      <w:pPr>
        <w:pStyle w:val="Heading2"/>
      </w:pPr>
      <w:r>
        <w:t>2. Our own design values</w:t>
      </w:r>
    </w:p>
    <w:p>
      <w:pPr>
        <w:pStyle w:val="ListBullet"/>
      </w:pPr>
      <w:r>
        <w:rPr>
          <w:b/>
        </w:rPr>
        <w:t xml:space="preserve">Advisory severity thresholds: </w:t>
      </w:r>
      <w:r>
        <w:t>outage over 24 h = medium, over 72 h = critical; tank uncleaned for over 6 months = high. These are our design choices, not from a standard.</w:t>
      </w:r>
    </w:p>
    <w:p>
      <w:pPr>
        <w:pStyle w:val="ListBullet"/>
      </w:pPr>
      <w:r>
        <w:rPr>
          <w:b/>
        </w:rPr>
        <w:t xml:space="preserve">Reopen window: </w:t>
      </w:r>
      <w:r>
        <w:t>the filer can reopen a resolved complaint within 7 days (REOPEN_WINDOW_DAYS in complaintController.js).</w:t>
      </w:r>
    </w:p>
    <w:p>
      <w:pPr>
        <w:pStyle w:val="ListBullet"/>
      </w:pPr>
      <w:r>
        <w:rPr>
          <w:b/>
        </w:rPr>
        <w:t xml:space="preserve">Bucket bath and cleaning: </w:t>
      </w:r>
      <w:r>
        <w:t>20 L per bucket bath and 20 L per person per day for utensils and cleaning (assumptions A1, A2 in REQUIREMENTS.md).</w:t>
      </w:r>
    </w:p>
    <w:p>
      <w:pPr>
        <w:pStyle w:val="ListBullet"/>
      </w:pPr>
      <w:r>
        <w:rPr>
          <w:b/>
        </w:rPr>
        <w:t xml:space="preserve">Children: </w:t>
      </w:r>
      <w:r>
        <w:t>counted at the same per-person rates as adults; no child-specific norm was found.</w:t>
      </w:r>
    </w:p>
    <w:p>
      <w:r>
        <w:rPr>
          <w:b/>
        </w:rPr>
        <w:t xml:space="preserve">What to say: </w:t>
      </w:r>
      <w:r>
        <w:t>“The thresholds are ours. They are stored as data in advisory-rules.json and each has a unit test, so if a municipal body publishes different limits we change a number, not the code. The safety steps themselves — boiling, disinfection, 112 — follow CDC and Indian emergency guidance.”</w:t>
      </w:r>
    </w:p>
    <w:p>
      <w:pPr>
        <w:pStyle w:val="Heading2"/>
      </w:pPr>
      <w:r>
        <w:t>3. Two things about how the numbers were checked</w:t>
      </w:r>
    </w:p>
    <w:p>
      <w:pPr>
        <w:pStyle w:val="ListBullet"/>
      </w:pPr>
      <w:r>
        <w:t>The 52 automated tests and their results are recorded in docs/testing.md (run 22 Sep 2026).</w:t>
      </w:r>
    </w:p>
    <w:p>
      <w:pPr>
        <w:pStyle w:val="ListBullet"/>
      </w:pPr>
      <w:r>
        <w:t>The municipal contact directory is verified for Mumbai only (BMC 1916); other cities need their own helpline added per society.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A425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A425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