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AquaWise — 4-minute presentation script</w:t>
      </w:r>
    </w:p>
    <w:p>
      <w:r>
        <w:rPr>
          <w:i/>
          <w:color w:val="44546A"/>
          <w:sz w:val="19"/>
        </w:rPr>
        <w:t>530 words ≈ 4 minutes at 135 words per minute. One paragraph = one breath group; pause at each line break and at every slide change. Replace [Name 1] and [Name 2] before the viva.</w:t>
      </w:r>
    </w:p>
    <w:p>
      <w:pPr>
        <w:pStyle w:val="Heading2"/>
      </w:pPr>
      <w:r>
        <w:t>Slide 1 · Title — the product already working   (0:00–0:44)</w:t>
      </w:r>
    </w:p>
    <w:p>
      <w:pPr>
        <w:spacing w:after="160" w:line="300" w:lineRule="auto"/>
      </w:pPr>
      <w:r>
        <w:t>Good morning. We are [Name 1] and [Name 2] from TY EXCP-A; our guide is Prof. Sonia Joshi. Our project is AquaWise.</w:t>
      </w:r>
    </w:p>
    <w:p>
      <w:pPr>
        <w:spacing w:after="160" w:line="300" w:lineRule="auto"/>
      </w:pPr>
      <w:r>
        <w:t>Before the problem, look at the screenshot on the right. That is our running application, not a mock-up: a family of four in Mumbai, 678 litres a day, 169.55 per person, already flagged as above the city norm.</w:t>
      </w:r>
    </w:p>
    <w:p>
      <w:pPr>
        <w:spacing w:after="160" w:line="300" w:lineRule="auto"/>
      </w:pPr>
      <w:r>
        <w:t>The next four minutes are about three things: how we made that number trustworthy, what the family should do next, and who in their building should act on it. Three tools, one database, and a test behind every figure we show.</w:t>
      </w:r>
    </w:p>
    <w:p>
      <w:pPr>
        <w:pStyle w:val="Heading2"/>
      </w:pPr>
      <w:r>
        <w:t>Slide 2 · Problem — measure, diagnose, route   (0:44–1:32)</w:t>
      </w:r>
    </w:p>
    <w:p>
      <w:pPr>
        <w:spacing w:after="160" w:line="300" w:lineRule="auto"/>
      </w:pPr>
      <w:r>
        <w:t>Most water-awareness material tells everyone the same thing: save water. But a household cannot act on advice that is not about them.</w:t>
      </w:r>
    </w:p>
    <w:p>
      <w:pPr>
        <w:spacing w:after="160" w:line="300" w:lineRule="auto"/>
      </w:pPr>
      <w:r>
        <w:t>Look at the two ends of our scale. A family on tanker supply getting 50 litres per person is already below the Jal Jeevan Mission line. Telling them to take shorter showers is not just useless, it is wrong: their problem is supply. Our test household at 169.55 is the opposite case.</w:t>
      </w:r>
    </w:p>
    <w:p>
      <w:pPr>
        <w:spacing w:after="160" w:line="300" w:lineRule="auto"/>
      </w:pPr>
      <w:r>
        <w:t>So the calculator flags under-supply as well as over-use. And when something goes wrong at night, the next question is always: who do I call, and who in this building owns it?</w:t>
      </w:r>
    </w:p>
    <w:p>
      <w:pPr>
        <w:pStyle w:val="Heading2"/>
      </w:pPr>
      <w:r>
        <w:t>Slide 3 · Architecture — the shared module   (1:32–2:19)</w:t>
      </w:r>
    </w:p>
    <w:p>
      <w:pPr>
        <w:spacing w:after="160" w:line="300" w:lineRule="auto"/>
      </w:pPr>
      <w:r>
        <w:t>The decision we would defend first is the shared folder.</w:t>
      </w:r>
    </w:p>
    <w:p>
      <w:pPr>
        <w:spacing w:after="160" w:line="300" w:lineRule="auto"/>
      </w:pPr>
      <w:r>
        <w:t>The calculator runs in the browser, so a guest gets an answer without an account. But when a logged-in user saves a result, the server cannot trust what the browser sent; anyone can edit a request. Writing the formulas twice, once in React and once in Express, works until someone changes a constant in only one copy.</w:t>
      </w:r>
    </w:p>
    <w:p>
      <w:pPr>
        <w:spacing w:after="160" w:line="300" w:lineRule="auto"/>
      </w:pPr>
      <w:r>
        <w:t>So the formulas and the advisory rules live in one folder that both sides import. Our API test sends a forged total; the server discards it, recomputes and stores its own figure. The numbered arrows show a request's path.</w:t>
      </w:r>
    </w:p>
    <w:p>
      <w:pPr>
        <w:pStyle w:val="Heading2"/>
      </w:pPr>
      <w:r>
        <w:t>Slide 4 · Features — every tool ends in an action   (2:19–3:07)</w:t>
      </w:r>
    </w:p>
    <w:p>
      <w:pPr>
        <w:spacing w:after="160" w:line="300" w:lineRule="auto"/>
      </w:pPr>
      <w:r>
        <w:t>Each tool ends with something a person can do today.</w:t>
      </w:r>
    </w:p>
    <w:p>
      <w:pPr>
        <w:spacing w:after="160" w:line="300" w:lineRule="auto"/>
      </w:pPr>
      <w:r>
        <w:t>The calculator ranks where the litres go and prices the fix: for our test household, a WaterSense shower head alone saves about 59 litres a day.</w:t>
      </w:r>
    </w:p>
    <w:p>
      <w:pPr>
        <w:spacing w:after="160" w:line="300" w:lineRule="auto"/>
      </w:pPr>
      <w:r>
        <w:t>The advisory engine asks at most three questions. Burst pipe, water near the switches: rule LK-3, critical. The 112 banner comes first, then six steps in fixed order, then the society admin's real number, because this user is a member.</w:t>
      </w:r>
    </w:p>
    <w:p>
      <w:pPr>
        <w:spacing w:after="160" w:line="300" w:lineRule="auto"/>
      </w:pPr>
      <w:r>
        <w:t>And the portal routes by category. Complaint 0004 was about drinking water, so it went to Priya Nair, who handles tanks and water quality, not to the secretary. Every status change is kept.</w:t>
      </w:r>
    </w:p>
    <w:p>
      <w:pPr>
        <w:pStyle w:val="Heading2"/>
      </w:pPr>
      <w:r>
        <w:t>Slide 5 · Result, conclusion, references   (3:07–3:55)</w:t>
      </w:r>
    </w:p>
    <w:p>
      <w:pPr>
        <w:spacing w:after="160" w:line="300" w:lineRule="auto"/>
      </w:pPr>
      <w:r>
        <w:t>The result we trust most is the test suite, because we can rerun it in front of you: fifty-two automated tests, twenty-three on the pure logic and twenty-nine that drive the real API, including every permission check.</w:t>
      </w:r>
    </w:p>
    <w:p>
      <w:pPr>
        <w:spacing w:after="160" w:line="300" w:lineRule="auto"/>
      </w:pPr>
      <w:r>
        <w:t>The more useful part is the defect list. Six defects, all found by tests or a scripted run-through. The first mattered most: a misspelt constant turned every total into "not a number". The test caught it only because the expected 678.18 came from our requirements, worked by hand.</w:t>
      </w:r>
    </w:p>
    <w:p>
      <w:pPr>
        <w:spacing w:after="160" w:line="300" w:lineRule="auto"/>
      </w:pPr>
      <w:r>
        <w:t>Next, we want verified helplines beyond Mumbai and Indian fixture data instead of US figures. Thank you; we are happy to take questions.</w:t>
      </w:r>
    </w:p>
    <w:p>
      <w:pPr>
        <w:pStyle w:val="Heading2"/>
      </w:pPr>
      <w:r>
        <w:t>If you are interrupted</w:t>
      </w:r>
    </w:p>
    <w:p>
      <w:r>
        <w:rPr>
          <w:i/>
          <w:color w:val="44546A"/>
          <w:sz w:val="19"/>
        </w:rPr>
        <w:t>The two most likely questions per slide, with a one-line answer. The same list is in each slide’s speaker notes.</w:t>
      </w:r>
    </w:p>
    <w:p>
      <w:r>
        <w:rPr>
          <w:b/>
        </w:rPr>
        <w:t>Slide 1</w:t>
      </w:r>
    </w:p>
    <w:p>
      <w:pPr>
        <w:pStyle w:val="ListBullet"/>
      </w:pPr>
      <w:r>
        <w:rPr>
          <w:b/>
        </w:rPr>
        <w:t xml:space="preserve">Why put three tools in one project instead of doing one well? </w:t>
      </w:r>
      <w:r>
        <w:t>→ Each covers a different failure: not knowing your usage, not knowing the first step, not knowing who fixes it — they share one user, one society and one database.</w:t>
      </w:r>
    </w:p>
    <w:p>
      <w:pPr>
        <w:pStyle w:val="ListBullet"/>
      </w:pPr>
      <w:r>
        <w:rPr>
          <w:b/>
        </w:rPr>
        <w:t xml:space="preserve">Which SDG 6 targets, exactly? </w:t>
      </w:r>
      <w:r>
        <w:t>→ 6.4 (water-use efficiency) through the calculator; 6.1 (safe drinking water) through the advisory and complaint routing.</w:t>
      </w:r>
    </w:p>
    <w:p>
      <w:r>
        <w:rPr>
          <w:b/>
        </w:rPr>
        <w:t>Slide 2</w:t>
      </w:r>
    </w:p>
    <w:p>
      <w:pPr>
        <w:pStyle w:val="ListBullet"/>
      </w:pPr>
      <w:r>
        <w:rPr>
          <w:b/>
        </w:rPr>
        <w:t xml:space="preserve">NITI Aayog’s index is from 2018 — is it still valid? </w:t>
      </w:r>
      <w:r>
        <w:t>→ It is the national baseline most studies still cite; we quote it with its year on the slide and would swap in a newer edition if you prefer.</w:t>
      </w:r>
    </w:p>
    <w:p>
      <w:pPr>
        <w:pStyle w:val="ListBullet"/>
      </w:pPr>
      <w:r>
        <w:rPr>
          <w:b/>
        </w:rPr>
        <w:t xml:space="preserve">Why compare against 150 and not 135 lpcd? </w:t>
      </w:r>
      <w:r>
        <w:t>→ Mumbai is a metropolitan city with sewerage, where CPHEEO plans for 150; the user picks the city type and the norm switches to 135 or 70.</w:t>
      </w:r>
    </w:p>
    <w:p>
      <w:r>
        <w:rPr>
          <w:b/>
        </w:rPr>
        <w:t>Slide 3</w:t>
      </w:r>
    </w:p>
    <w:p>
      <w:pPr>
        <w:pStyle w:val="ListBullet"/>
      </w:pPr>
      <w:r>
        <w:rPr>
          <w:b/>
        </w:rPr>
        <w:t xml:space="preserve">Why server-side sessions instead of JWT? </w:t>
      </w:r>
      <w:r>
        <w:t>→ Our syllabus specifies session-based auth, and a server session can be destroyed — TC-API-06 shows /me returns 401 straight after logout.</w:t>
      </w:r>
    </w:p>
    <w:p>
      <w:pPr>
        <w:pStyle w:val="ListBullet"/>
      </w:pPr>
      <w:r>
        <w:rPr>
          <w:b/>
        </w:rPr>
        <w:t xml:space="preserve">If the maths runs in the browser, can’t a user fake a saved result? </w:t>
      </w:r>
      <w:r>
        <w:t>→ No: the server recomputes from the inputs and ignores any results field — TC-API-24 sends a forged total and asserts it was discarded.</w:t>
      </w:r>
    </w:p>
    <w:p>
      <w:r>
        <w:rPr>
          <w:b/>
        </w:rPr>
        <w:t>Slide 4</w:t>
      </w:r>
    </w:p>
    <w:p>
      <w:pPr>
        <w:pStyle w:val="ListBullet"/>
      </w:pPr>
      <w:r>
        <w:rPr>
          <w:b/>
        </w:rPr>
        <w:t xml:space="preserve">Why rules and not machine learning for the advisory? </w:t>
      </w:r>
      <w:r>
        <w:t>→ Safety advice has to be predictable and auditable; each of the 14 rules is a JSON record with a unit test, and we have no labelled data to train on.</w:t>
      </w:r>
    </w:p>
    <w:p>
      <w:pPr>
        <w:pStyle w:val="ListBullet"/>
      </w:pPr>
      <w:r>
        <w:rPr>
          <w:b/>
        </w:rPr>
        <w:t xml:space="preserve">What happens if no contact handles a complaint’s category? </w:t>
      </w:r>
      <w:r>
        <w:t>→ It falls back to the society admin, so nothing is ever unassigned — TC-API-14.</w:t>
      </w:r>
    </w:p>
    <w:p>
      <w:r>
        <w:rPr>
          <w:b/>
        </w:rPr>
        <w:t>Slide 5</w:t>
      </w:r>
    </w:p>
    <w:p>
      <w:pPr>
        <w:pStyle w:val="ListBullet"/>
      </w:pPr>
      <w:r>
        <w:rPr>
          <w:b/>
        </w:rPr>
        <w:t xml:space="preserve">Didn’t you write the tests to match your own code? </w:t>
      </w:r>
      <w:r>
        <w:t>→ The expected values come from the requirements document, calculated by hand — which is exactly how defect D1 was caught.</w:t>
      </w:r>
    </w:p>
    <w:p>
      <w:pPr>
        <w:pStyle w:val="ListBullet"/>
      </w:pPr>
      <w:r>
        <w:rPr>
          <w:b/>
        </w:rPr>
        <w:t xml:space="preserve">What about the manual test cases? </w:t>
      </w:r>
      <w:r>
        <w:t>→ Eighteen are listed in docs/testing.md; six are recorded as passing so far (including 360 px layout and all three end-to-end flows), and we complete the rest in the demo run-through.</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A4253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A4253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