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948" w:rsidRDefault="00352948" w:rsidP="00352948">
      <w:pPr>
        <w:jc w:val="both"/>
      </w:pPr>
      <w:r>
        <w:t xml:space="preserve">Determination of biodistribution profiles of NPs and BODIPY </w:t>
      </w:r>
    </w:p>
    <w:p w:rsidR="00352948" w:rsidRDefault="00352948" w:rsidP="00352948">
      <w:pPr>
        <w:jc w:val="both"/>
      </w:pPr>
      <w:r>
        <w:t xml:space="preserve">Whole brain images were processed using </w:t>
      </w:r>
      <w:proofErr w:type="spellStart"/>
      <w:r>
        <w:t>ImageJ</w:t>
      </w:r>
      <w:proofErr w:type="spellEnd"/>
      <w:r>
        <w:t xml:space="preserve"> software</w:t>
      </w:r>
      <w:r>
        <w:t xml:space="preserve"> </w:t>
      </w:r>
      <w:r>
        <w:fldChar w:fldCharType="begin"/>
      </w:r>
      <w:r>
        <w:instrText xml:space="preserve"> ADDIN EN.CITE &lt;EndNote&gt;&lt;Cite&gt;&lt;Author&gt;Schneider&lt;/Author&gt;&lt;Year&gt;2012&lt;/Year&gt;&lt;RecNum&gt;202&lt;/RecNum&gt;&lt;DisplayText&gt;[1]&lt;/DisplayText&gt;&lt;record&gt;&lt;rec-number&gt;202&lt;/rec-number&gt;&lt;foreign-keys&gt;&lt;key app="EN" db-id="sxsadrxe3vsspbewaexxeer4wadaxxvvfe2v" timestamp="1541435601"&gt;202&lt;/key&gt;&lt;/foreign-keys&gt;&lt;ref-type name="Journal Article"&gt;17&lt;/ref-type&gt;&lt;contributors&gt;&lt;authors&gt;&lt;author&gt;Schneider, Caroline A.&lt;/author&gt;&lt;author&gt;Rasband, Wayne S.&lt;/author&gt;&lt;author&gt;Eliceiri, Kevin W.&lt;/author&gt;&lt;/authors&gt;&lt;/contributors&gt;&lt;titles&gt;&lt;title&gt;NIH Image to ImageJ: 25 years of image analysis&lt;/title&gt;&lt;secondary-title&gt;Nature Methods&lt;/secondary-title&gt;&lt;/titles&gt;&lt;periodical&gt;&lt;full-title&gt;Nature Methods&lt;/full-title&gt;&lt;/periodical&gt;&lt;pages&gt;671&lt;/pages&gt;&lt;volume&gt;9&lt;/volume&gt;&lt;dates&gt;&lt;year&gt;2012&lt;/year&gt;&lt;pub-dates&gt;&lt;date&gt;06/28/online&lt;/date&gt;&lt;/pub-dates&gt;&lt;/dates&gt;&lt;publisher&gt;Nature Publishing Group, a division of Macmillan Publishers Limited. All Rights Reserved.&lt;/publisher&gt;&lt;urls&gt;&lt;related-urls&gt;&lt;url&gt;https://doi.org/10.1038/nmeth.2089&lt;/url&gt;&lt;/related-urls&gt;&lt;/urls&gt;&lt;electronic-resource-num&gt;10.1038/nmeth.2089&lt;/electronic-resource-num&gt;&lt;/record&gt;&lt;/Cite&gt;&lt;/EndNote&gt;</w:instrText>
      </w:r>
      <w:r>
        <w:fldChar w:fldCharType="separate"/>
      </w:r>
      <w:r>
        <w:rPr>
          <w:noProof/>
        </w:rPr>
        <w:t>[1]</w:t>
      </w:r>
      <w:r>
        <w:fldChar w:fldCharType="end"/>
      </w:r>
      <w:r w:rsidR="00CE638A">
        <w:t>.  For each image</w:t>
      </w:r>
      <w:r>
        <w:t xml:space="preserve"> the RGB channels</w:t>
      </w:r>
      <w:r w:rsidR="00053FB4">
        <w:t xml:space="preserve"> (Cy7 and BODIPY)</w:t>
      </w:r>
      <w:r>
        <w:t xml:space="preserve"> were split and the integrated density was calculated in a selected region of interest</w:t>
      </w:r>
      <w:r w:rsidR="00053FB4">
        <w:t xml:space="preserve">, </w:t>
      </w:r>
      <w:r>
        <w:t xml:space="preserve">followed by background subtraction. The corrected total cell fluorescence </w:t>
      </w:r>
      <w:r w:rsidR="00153AA3">
        <w:t>(</w:t>
      </w:r>
      <w:r w:rsidR="005823A7">
        <w:t>CTCF</w:t>
      </w:r>
      <w:r w:rsidR="00153AA3">
        <w:t>)</w:t>
      </w:r>
      <w:r>
        <w:t xml:space="preserve"> of the section was then </w:t>
      </w:r>
      <w:r w:rsidR="00053FB4">
        <w:t>computed</w:t>
      </w:r>
      <w:r>
        <w:t xml:space="preserve"> according to:</w:t>
      </w:r>
    </w:p>
    <w:p w:rsidR="00352948" w:rsidRDefault="00352948" w:rsidP="00352948">
      <w:pPr>
        <w:jc w:val="both"/>
      </w:pPr>
      <m:oMathPara>
        <m:oMath>
          <m:r>
            <m:rPr>
              <m:nor/>
            </m:rPr>
            <w:rPr>
              <w:rFonts w:ascii="Cambria Math" w:hAnsi="Cambria Math"/>
            </w:rPr>
            <m:t>CTCF</m:t>
          </m:r>
          <m:r>
            <w:rPr>
              <w:rFonts w:ascii="Cambria Math" w:hAnsi="Cambria Math"/>
            </w:rPr>
            <m:t>=</m:t>
          </m:r>
          <m:r>
            <m:rPr>
              <m:nor/>
            </m:rPr>
            <w:rPr>
              <w:rFonts w:ascii="Cambria Math" w:eastAsiaTheme="minorEastAsia" w:hAnsi="Cambria Math"/>
            </w:rPr>
            <m:t>Integrated density</m:t>
          </m:r>
          <m:r>
            <w:rPr>
              <w:rFonts w:ascii="Cambria Math" w:eastAsiaTheme="minorEastAsia" w:hAnsi="Cambria Math"/>
            </w:rPr>
            <m:t>-</m:t>
          </m:r>
          <m:r>
            <m:rPr>
              <m:nor/>
            </m:rPr>
            <w:rPr>
              <w:rFonts w:ascii="Cambria Math" w:eastAsiaTheme="minorEastAsia" w:hAnsi="Cambria Math"/>
            </w:rPr>
            <m:t>Selected area</m:t>
          </m:r>
          <m:r>
            <w:rPr>
              <w:rFonts w:ascii="Cambria Math" w:eastAsiaTheme="minorEastAsia" w:hAnsi="Cambria Math"/>
            </w:rPr>
            <m:t>×</m:t>
          </m:r>
          <m:r>
            <m:rPr>
              <m:nor/>
            </m:rPr>
            <w:rPr>
              <w:rFonts w:ascii="Cambria Math" w:eastAsiaTheme="minorEastAsia" w:hAnsi="Cambria Math"/>
            </w:rPr>
            <m:t>Mean fluorescence of background</m:t>
          </m:r>
          <m:r>
            <w:rPr>
              <w:rFonts w:ascii="Cambria Math" w:eastAsiaTheme="minorEastAsia" w:hAnsi="Cambria Math"/>
            </w:rPr>
            <m:t>.</m:t>
          </m:r>
        </m:oMath>
      </m:oMathPara>
    </w:p>
    <w:p w:rsidR="00CE638A" w:rsidRDefault="00CE638A" w:rsidP="00352948">
      <w:pPr>
        <w:jc w:val="both"/>
      </w:pPr>
      <w:r>
        <w:t>For a given section, b</w:t>
      </w:r>
      <w:r w:rsidR="00352948">
        <w:t>iodistribution</w:t>
      </w:r>
      <w:r>
        <w:t xml:space="preserve"> for Cy7 and B</w:t>
      </w:r>
      <w:r w:rsidR="00053FB4">
        <w:t>O</w:t>
      </w:r>
      <w:r>
        <w:t>DIPY</w:t>
      </w:r>
      <w:r w:rsidR="00352948">
        <w:t xml:space="preserve"> on the sagittal plane was plotted as a percentage of the overall brain fluorescence</w:t>
      </w:r>
      <w:r>
        <w:t>.</w:t>
      </w:r>
      <w:r w:rsidR="00053FB4">
        <w:t xml:space="preserve"> This quantity is given by the following expression.</w:t>
      </w:r>
    </w:p>
    <w:p w:rsidR="00CE638A" w:rsidRDefault="00053FB4" w:rsidP="00352948">
      <w:pPr>
        <w:jc w:val="both"/>
      </w:pPr>
      <m:oMathPara>
        <m:oMath>
          <m:r>
            <m:rPr>
              <m:nor/>
            </m:rPr>
            <w:rPr>
              <w:rFonts w:ascii="Cambria Math" w:hAnsi="Cambria Math"/>
            </w:rPr>
            <m:t>O</m:t>
          </m:r>
          <m:r>
            <m:rPr>
              <m:nor/>
            </m:rPr>
            <w:rPr>
              <w:rFonts w:ascii="Cambria Math" w:hAnsi="Cambria Math"/>
            </w:rPr>
            <m:t>verall fluores</m:t>
          </m:r>
          <m:r>
            <m:rPr>
              <m:nor/>
            </m:rPr>
            <w:rPr>
              <w:rFonts w:ascii="Cambria Math" w:hAnsi="Cambria Math"/>
            </w:rPr>
            <m:t>c</m:t>
          </m:r>
          <m:r>
            <m:rPr>
              <m:nor/>
            </m:rPr>
            <w:rPr>
              <w:rFonts w:ascii="Cambria Math" w:hAnsi="Cambria Math"/>
            </w:rPr>
            <m:t>ence</m:t>
          </m:r>
          <m:r>
            <m:rPr>
              <m:nor/>
            </m:rPr>
            <w:rPr>
              <w:rFonts w:ascii="Cambria Math" w:hAnsi="Cambria Math"/>
            </w:rPr>
            <m:t xml:space="preserve"> %</m:t>
          </m:r>
          <m:r>
            <m:rPr>
              <m:nor/>
            </m:rPr>
            <w:rPr>
              <w:rFonts w:ascii="Cambria Math" w:hAnsi="Cambria Math"/>
            </w:rPr>
            <m:t xml:space="preserve"> </m:t>
          </m:r>
          <m:r>
            <m:rPr>
              <m:nor/>
            </m:rPr>
            <w:rPr>
              <w:rFonts w:ascii="Cambria Math" w:hAnsi="Cambria Math"/>
            </w:rPr>
            <m:t>for the</m:t>
          </m:r>
          <m:r>
            <w:rPr>
              <w:rFonts w:ascii="Cambria Math" w:hAnsi="Cambria Math"/>
            </w:rPr>
            <m:t xml:space="preserve"> i</m:t>
          </m:r>
          <m:r>
            <m:rPr>
              <m:nor/>
            </m:rPr>
            <w:rPr>
              <w:rFonts w:ascii="Cambria Math" w:hAnsi="Cambria Math"/>
            </w:rPr>
            <m:t>-th</m:t>
          </m:r>
          <m:r>
            <m:rPr>
              <m:nor/>
            </m:rPr>
            <w:rPr>
              <w:rFonts w:ascii="Cambria Math" w:hAnsi="Cambria Math"/>
            </w:rPr>
            <m:t xml:space="preserve"> section</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nor/>
                        </m:rPr>
                        <w:rPr>
                          <w:rFonts w:ascii="Cambria Math" w:hAnsi="Cambria Math"/>
                        </w:rPr>
                        <m:t>CTCF</m:t>
                      </m:r>
                    </m:e>
                    <m:sub>
                      <m:r>
                        <w:rPr>
                          <w:rFonts w:ascii="Cambria Math" w:hAnsi="Cambria Math"/>
                        </w:rPr>
                        <m:t>i</m:t>
                      </m:r>
                    </m:sub>
                  </m:sSub>
                </m:num>
                <m:den>
                  <m:sSub>
                    <m:sSubPr>
                      <m:ctrlPr>
                        <w:rPr>
                          <w:rFonts w:ascii="Cambria Math" w:hAnsi="Cambria Math"/>
                          <w:i/>
                        </w:rPr>
                      </m:ctrlPr>
                    </m:sSubPr>
                    <m:e>
                      <m:r>
                        <m:rPr>
                          <m:nor/>
                        </m:rPr>
                        <w:rPr>
                          <w:rFonts w:ascii="Cambria Math" w:hAnsi="Cambria Math"/>
                        </w:rPr>
                        <m:t>CTCF</m:t>
                      </m:r>
                    </m:e>
                    <m:sub>
                      <m:r>
                        <m:rPr>
                          <m:nor/>
                        </m:rPr>
                        <w:rPr>
                          <w:rFonts w:ascii="Cambria Math" w:hAnsi="Cambria Math"/>
                        </w:rPr>
                        <m:t>tot</m:t>
                      </m:r>
                    </m:sub>
                  </m:sSub>
                </m:den>
              </m:f>
            </m:e>
          </m:d>
          <m:r>
            <w:rPr>
              <w:rFonts w:ascii="Cambria Math" w:hAnsi="Cambria Math"/>
            </w:rPr>
            <m:t>⋅100</m:t>
          </m:r>
        </m:oMath>
      </m:oMathPara>
    </w:p>
    <w:p w:rsidR="00352948" w:rsidRDefault="00053FB4" w:rsidP="00352948">
      <w:pPr>
        <w:jc w:val="both"/>
      </w:pPr>
      <w:r>
        <w:t>Note that</w:t>
      </w:r>
      <w:r w:rsidR="00CE638A">
        <w:t xml:space="preserve"> </w:t>
      </w:r>
      <m:oMath>
        <m:sSub>
          <m:sSubPr>
            <m:ctrlPr>
              <w:rPr>
                <w:rFonts w:ascii="Cambria Math" w:hAnsi="Cambria Math"/>
                <w:i/>
              </w:rPr>
            </m:ctrlPr>
          </m:sSubPr>
          <m:e>
            <m:r>
              <m:rPr>
                <m:nor/>
              </m:rPr>
              <w:rPr>
                <w:rFonts w:ascii="Cambria Math" w:hAnsi="Cambria Math"/>
              </w:rPr>
              <m:t>CTCF</m:t>
            </m:r>
          </m:e>
          <m:sub>
            <m:r>
              <m:rPr>
                <m:nor/>
              </m:rPr>
              <w:rPr>
                <w:rFonts w:ascii="Cambria Math" w:hAnsi="Cambria Math"/>
              </w:rPr>
              <m:t>tot</m:t>
            </m:r>
          </m:sub>
        </m:sSub>
      </m:oMath>
      <w:r w:rsidR="00CE638A">
        <w:rPr>
          <w:rFonts w:eastAsiaTheme="minorEastAsia"/>
        </w:rPr>
        <w:t xml:space="preserve"> </w:t>
      </w:r>
      <w:r w:rsidR="00153AA3">
        <w:rPr>
          <w:rFonts w:eastAsiaTheme="minorEastAsia"/>
        </w:rPr>
        <w:t xml:space="preserve">is a normalization parameter and </w:t>
      </w:r>
      <w:r w:rsidR="00CE638A">
        <w:rPr>
          <w:rFonts w:eastAsiaTheme="minorEastAsia"/>
        </w:rPr>
        <w:t xml:space="preserve">represents the cumulative </w:t>
      </w:r>
      <w:r w:rsidR="00153AA3">
        <w:rPr>
          <w:rFonts w:eastAsiaTheme="minorEastAsia"/>
        </w:rPr>
        <w:t xml:space="preserve">sum of the CTFC </w:t>
      </w:r>
      <w:r w:rsidR="00CE638A">
        <w:rPr>
          <w:rFonts w:eastAsiaTheme="minorEastAsia"/>
        </w:rPr>
        <w:t>of each section, i.e.,</w:t>
      </w:r>
      <w:r>
        <w:rPr>
          <w:rFonts w:eastAsiaTheme="minorEastAsia"/>
        </w:rPr>
        <w:t xml:space="preserve"> </w:t>
      </w:r>
      <m:oMath>
        <m:sSub>
          <m:sSubPr>
            <m:ctrlPr>
              <w:rPr>
                <w:rFonts w:ascii="Cambria Math" w:hAnsi="Cambria Math"/>
              </w:rPr>
            </m:ctrlPr>
          </m:sSubPr>
          <m:e>
            <m:r>
              <m:rPr>
                <m:sty m:val="p"/>
              </m:rPr>
              <w:rPr>
                <w:rFonts w:ascii="Cambria Math" w:hAnsi="Cambria Math"/>
              </w:rPr>
              <m:t>CTCF</m:t>
            </m:r>
          </m:e>
          <m:sub>
            <m:r>
              <m:rPr>
                <m:nor/>
              </m:rPr>
              <w:rPr>
                <w:rFonts w:ascii="Cambria Math" w:hAnsi="Cambria Math"/>
              </w:rPr>
              <m:t>tot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nor/>
                  </m:rPr>
                  <w:rPr>
                    <w:rFonts w:ascii="Cambria Math" w:hAnsi="Cambria Math"/>
                  </w:rPr>
                  <m:t>CTCF</m:t>
                </m:r>
                <m:ctrlPr>
                  <w:rPr>
                    <w:rFonts w:ascii="Cambria Math" w:hAnsi="Cambria Math"/>
                  </w:rPr>
                </m:ctrlPr>
              </m:e>
              <m:sub>
                <m:r>
                  <w:rPr>
                    <w:rFonts w:ascii="Cambria Math" w:hAnsi="Cambria Math"/>
                  </w:rPr>
                  <m:t>i</m:t>
                </m:r>
              </m:sub>
            </m:sSub>
          </m:e>
        </m:nary>
        <m:r>
          <w:rPr>
            <w:rFonts w:ascii="Cambria Math" w:hAnsi="Cambria Math"/>
          </w:rPr>
          <m:t xml:space="preserve"> </m:t>
        </m:r>
      </m:oMath>
      <w:r>
        <w:rPr>
          <w:rFonts w:eastAsiaTheme="minorEastAsia"/>
        </w:rPr>
        <w:t>.</w:t>
      </w:r>
    </w:p>
    <w:p w:rsidR="000A2D79" w:rsidRDefault="00352948" w:rsidP="003C2F7C">
      <w:pPr>
        <w:jc w:val="both"/>
      </w:pPr>
      <w:r>
        <w:t xml:space="preserve">Coverage of the tumor area by NPs was determined using </w:t>
      </w:r>
      <w:proofErr w:type="spellStart"/>
      <w:r>
        <w:t>ImageJ</w:t>
      </w:r>
      <w:proofErr w:type="spellEnd"/>
      <w:r>
        <w:t xml:space="preserve"> and </w:t>
      </w:r>
      <w:r>
        <w:t xml:space="preserve">MATLAB </w:t>
      </w:r>
      <w:r>
        <w:fldChar w:fldCharType="begin"/>
      </w:r>
      <w:r>
        <w:instrText xml:space="preserve"> ADDIN EN.CITE &lt;EndNote&gt;&lt;Cite&gt;&lt;Author&gt;Gonzalez&lt;/Author&gt;&lt;Year&gt;2004&lt;/Year&gt;&lt;RecNum&gt;203&lt;/RecNum&gt;&lt;DisplayText&gt;[2]&lt;/DisplayText&gt;&lt;record&gt;&lt;rec-number&gt;203&lt;/rec-number&gt;&lt;foreign-keys&gt;&lt;key app="EN" db-id="sxsadrxe3vsspbewaexxeer4wadaxxvvfe2v" timestamp="1541435991"&gt;203&lt;/key&gt;&lt;/foreign-keys&gt;&lt;ref-type name="Book"&gt;6&lt;/ref-type&gt;&lt;contributors&gt;&lt;authors&gt;&lt;author&gt;Gonzalez, Rafael C&lt;/author&gt;&lt;author&gt;Woods, Richard E&lt;/author&gt;&lt;author&gt;Eddins, Steven L&lt;/author&gt;&lt;/authors&gt;&lt;/contributors&gt;&lt;titles&gt;&lt;title&gt;Digital image processing using MATLAB&lt;/title&gt;&lt;/titles&gt;&lt;volume&gt;624&lt;/volume&gt;&lt;dates&gt;&lt;year&gt;2004&lt;/year&gt;&lt;/dates&gt;&lt;publisher&gt;Pearson-Prentice-Hall Upper Saddle River, New Jersey&lt;/publisher&gt;&lt;urls&gt;&lt;/urls&gt;&lt;/record&gt;&lt;/Cite&gt;&lt;/EndNote&gt;</w:instrText>
      </w:r>
      <w:r>
        <w:fldChar w:fldCharType="separate"/>
      </w:r>
      <w:r>
        <w:rPr>
          <w:noProof/>
        </w:rPr>
        <w:t>[2]</w:t>
      </w:r>
      <w:r>
        <w:fldChar w:fldCharType="end"/>
      </w:r>
      <w:r>
        <w:t>. The RGB image channels were split</w:t>
      </w:r>
      <w:r w:rsidR="00153AA3">
        <w:t xml:space="preserve"> (</w:t>
      </w:r>
      <w:r w:rsidR="00153AA3">
        <w:t xml:space="preserve">Cy7 </w:t>
      </w:r>
      <w:r w:rsidR="00153AA3">
        <w:t xml:space="preserve">representing the NPs and GFP the </w:t>
      </w:r>
      <w:r w:rsidR="00153AA3">
        <w:t>tumor)</w:t>
      </w:r>
      <w:r>
        <w:t>,</w:t>
      </w:r>
      <w:r w:rsidR="00153AA3">
        <w:t xml:space="preserve"> the contrast was enhanced, and extraneous pixels were removed to facilitate the identification of the relevant regions. Subsequently,</w:t>
      </w:r>
      <w:r>
        <w:t xml:space="preserve"> </w:t>
      </w:r>
      <w:r w:rsidR="00153AA3">
        <w:t>the images were</w:t>
      </w:r>
      <w:r w:rsidR="003C2F7C">
        <w:t xml:space="preserve"> </w:t>
      </w:r>
      <w:proofErr w:type="spellStart"/>
      <w:r w:rsidR="003C2F7C">
        <w:t>binarized</w:t>
      </w:r>
      <w:proofErr w:type="spellEnd"/>
      <w:r w:rsidR="003C2F7C">
        <w:t>, i.e.,</w:t>
      </w:r>
      <w:r w:rsidR="00153AA3">
        <w:t xml:space="preserve"> converted to black and white</w:t>
      </w:r>
      <w:r w:rsidR="003C2F7C">
        <w:t>,</w:t>
      </w:r>
      <w:r w:rsidR="00153AA3">
        <w:t xml:space="preserve"> </w:t>
      </w:r>
      <w:r w:rsidR="003C2F7C">
        <w:t xml:space="preserve">by means of Otsu’s algorithm. Finally, the arrays of binary pixels representing the NPs and </w:t>
      </w:r>
      <w:proofErr w:type="spellStart"/>
      <w:r w:rsidR="003C2F7C">
        <w:t>the</w:t>
      </w:r>
      <w:proofErr w:type="spellEnd"/>
      <w:r w:rsidR="003C2F7C">
        <w:t xml:space="preserve"> tumor were multiplied (</w:t>
      </w:r>
      <w:proofErr w:type="spellStart"/>
      <w:r w:rsidR="003C2F7C">
        <w:t>entrywise</w:t>
      </w:r>
      <w:proofErr w:type="spellEnd"/>
      <w:r w:rsidR="003C2F7C">
        <w:t xml:space="preserve"> product) and the resulting number of nonzero pixels was computed. This quantity indicates the overlap between the NPs and the tumor and was later divided by the total number of nonzero tumor pixels to give a coverage percentage. The following expression summarizes the previous </w:t>
      </w:r>
      <w:r w:rsidR="005823A7">
        <w:t>computation</w:t>
      </w:r>
      <w:r w:rsidR="003C2F7C">
        <w:t>.</w:t>
      </w:r>
    </w:p>
    <w:p w:rsidR="003C2F7C" w:rsidRDefault="003C2F7C" w:rsidP="003C2F7C">
      <w:pPr>
        <w:jc w:val="both"/>
      </w:pPr>
      <m:oMathPara>
        <m:oMath>
          <m:r>
            <m:rPr>
              <m:nor/>
            </m:rPr>
            <w:rPr>
              <w:rFonts w:ascii="Cambria Math" w:hAnsi="Cambria Math"/>
            </w:rPr>
            <m:t>Coverage % of the tumor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m:rPr>
                      <m:nor/>
                    </m:rPr>
                    <w:rPr>
                      <w:rFonts w:ascii="Cambria Math" w:hAnsi="Cambria Math"/>
                    </w:rPr>
                    <m:t>nonzero</m:t>
                  </m:r>
                </m:sub>
              </m:sSub>
              <m:d>
                <m:dPr>
                  <m:ctrlPr>
                    <w:rPr>
                      <w:rFonts w:ascii="Cambria Math" w:hAnsi="Cambria Math"/>
                      <w:i/>
                    </w:rPr>
                  </m:ctrlPr>
                </m:dPr>
                <m:e>
                  <m:sSub>
                    <m:sSubPr>
                      <m:ctrlPr>
                        <w:rPr>
                          <w:rFonts w:ascii="Cambria Math" w:hAnsi="Cambria Math"/>
                          <w:i/>
                        </w:rPr>
                      </m:ctrlPr>
                    </m:sSubPr>
                    <m:e>
                      <m:r>
                        <m:rPr>
                          <m:nor/>
                        </m:rPr>
                        <w:rPr>
                          <w:rFonts w:ascii="Cambria Math" w:hAnsi="Cambria Math"/>
                        </w:rPr>
                        <m:t>NPs</m:t>
                      </m:r>
                    </m:e>
                    <m:sub>
                      <m:r>
                        <m:rPr>
                          <m:nor/>
                        </m:rPr>
                        <w:rPr>
                          <w:rFonts w:ascii="Cambria Math" w:hAnsi="Cambria Math"/>
                        </w:rPr>
                        <m:t>b</m:t>
                      </m:r>
                      <m:r>
                        <m:rPr>
                          <m:nor/>
                        </m:rPr>
                        <w:rPr>
                          <w:rFonts w:ascii="Cambria Math" w:hAnsi="Cambria Math"/>
                        </w:rPr>
                        <m:t xml:space="preserve">lack &amp; </m:t>
                      </m:r>
                      <m:r>
                        <m:rPr>
                          <m:nor/>
                        </m:rPr>
                        <w:rPr>
                          <w:rFonts w:ascii="Cambria Math" w:hAnsi="Cambria Math"/>
                        </w:rPr>
                        <m:t>w</m:t>
                      </m:r>
                      <m:r>
                        <m:rPr>
                          <m:nor/>
                        </m:rPr>
                        <w:rPr>
                          <w:rFonts w:ascii="Cambria Math" w:hAnsi="Cambria Math"/>
                        </w:rPr>
                        <m:t>hite</m:t>
                      </m:r>
                    </m:sub>
                  </m:sSub>
                  <m:r>
                    <w:rPr>
                      <w:rFonts w:ascii="Cambria Math" w:hAnsi="Cambria Math"/>
                    </w:rPr>
                    <m:t>*</m:t>
                  </m:r>
                  <m:sSub>
                    <m:sSubPr>
                      <m:ctrlPr>
                        <w:rPr>
                          <w:rFonts w:ascii="Cambria Math" w:hAnsi="Cambria Math"/>
                          <w:i/>
                        </w:rPr>
                      </m:ctrlPr>
                    </m:sSubPr>
                    <m:e>
                      <m:r>
                        <m:rPr>
                          <m:nor/>
                        </m:rPr>
                        <w:rPr>
                          <w:rFonts w:ascii="Cambria Math" w:hAnsi="Cambria Math"/>
                        </w:rPr>
                        <m:t>Tumor</m:t>
                      </m:r>
                    </m:e>
                    <m:sub>
                      <m:r>
                        <m:rPr>
                          <m:nor/>
                        </m:rPr>
                        <w:rPr>
                          <w:rFonts w:ascii="Cambria Math" w:hAnsi="Cambria Math"/>
                        </w:rPr>
                        <m:t>black &amp; white</m:t>
                      </m:r>
                    </m:sub>
                  </m:sSub>
                </m:e>
              </m:d>
            </m:num>
            <m:den>
              <m:sSub>
                <m:sSubPr>
                  <m:ctrlPr>
                    <w:rPr>
                      <w:rFonts w:ascii="Cambria Math" w:hAnsi="Cambria Math"/>
                      <w:i/>
                    </w:rPr>
                  </m:ctrlPr>
                </m:sSubPr>
                <m:e>
                  <m:r>
                    <w:rPr>
                      <w:rFonts w:ascii="Cambria Math" w:hAnsi="Cambria Math"/>
                    </w:rPr>
                    <m:t>#</m:t>
                  </m:r>
                </m:e>
                <m:sub>
                  <m:r>
                    <m:rPr>
                      <m:nor/>
                    </m:rPr>
                    <w:rPr>
                      <w:rFonts w:ascii="Cambria Math" w:hAnsi="Cambria Math"/>
                    </w:rPr>
                    <m:t>nonzero</m:t>
                  </m:r>
                </m:sub>
              </m:sSub>
              <m:d>
                <m:dPr>
                  <m:ctrlPr>
                    <w:rPr>
                      <w:rFonts w:ascii="Cambria Math" w:hAnsi="Cambria Math"/>
                      <w:i/>
                    </w:rPr>
                  </m:ctrlPr>
                </m:dPr>
                <m:e>
                  <m:sSub>
                    <m:sSubPr>
                      <m:ctrlPr>
                        <w:rPr>
                          <w:rFonts w:ascii="Cambria Math" w:hAnsi="Cambria Math"/>
                          <w:i/>
                        </w:rPr>
                      </m:ctrlPr>
                    </m:sSubPr>
                    <m:e>
                      <m:r>
                        <m:rPr>
                          <m:nor/>
                        </m:rPr>
                        <w:rPr>
                          <w:rFonts w:ascii="Cambria Math" w:hAnsi="Cambria Math"/>
                        </w:rPr>
                        <m:t>Tumor</m:t>
                      </m:r>
                    </m:e>
                    <m:sub>
                      <m:r>
                        <m:rPr>
                          <m:nor/>
                        </m:rPr>
                        <w:rPr>
                          <w:rFonts w:ascii="Cambria Math" w:hAnsi="Cambria Math"/>
                        </w:rPr>
                        <m:t>black &amp; white</m:t>
                      </m:r>
                    </m:sub>
                  </m:sSub>
                </m:e>
              </m:d>
            </m:den>
          </m:f>
          <m:r>
            <w:rPr>
              <w:rFonts w:ascii="Cambria Math" w:eastAsiaTheme="minorEastAsia" w:hAnsi="Cambria Math"/>
            </w:rPr>
            <m:t>⋅100</m:t>
          </m:r>
        </m:oMath>
      </m:oMathPara>
    </w:p>
    <w:p w:rsidR="003C2F7C" w:rsidRDefault="003C2F7C" w:rsidP="003C2F7C">
      <w:pPr>
        <w:jc w:val="both"/>
      </w:pPr>
    </w:p>
    <w:p w:rsidR="00352948" w:rsidRDefault="00352948" w:rsidP="00352948">
      <w:pPr>
        <w:jc w:val="both"/>
      </w:pPr>
      <w:r>
        <w:t>Cy7 Intensity was then represented with a color map.</w:t>
      </w:r>
      <w:bookmarkStart w:id="0" w:name="_GoBack"/>
      <w:bookmarkEnd w:id="0"/>
    </w:p>
    <w:p w:rsidR="00352948" w:rsidRDefault="00352948" w:rsidP="00352948">
      <w:pPr>
        <w:jc w:val="both"/>
      </w:pPr>
    </w:p>
    <w:p w:rsidR="00352948" w:rsidRPr="00352948" w:rsidRDefault="00352948" w:rsidP="00352948">
      <w:pPr>
        <w:pStyle w:val="EndNoteBibliography"/>
        <w:spacing w:after="0"/>
        <w:ind w:left="720" w:hanging="720"/>
        <w:jc w:val="both"/>
      </w:pPr>
      <w:r>
        <w:fldChar w:fldCharType="begin"/>
      </w:r>
      <w:r>
        <w:instrText xml:space="preserve"> ADDIN EN.REFLIST </w:instrText>
      </w:r>
      <w:r>
        <w:fldChar w:fldCharType="separate"/>
      </w:r>
      <w:r w:rsidRPr="00352948">
        <w:t>1.</w:t>
      </w:r>
      <w:r w:rsidRPr="00352948">
        <w:tab/>
        <w:t xml:space="preserve">Schneider, C.A., W.S. Rasband, and K.W. Eliceiri, </w:t>
      </w:r>
      <w:r w:rsidRPr="00352948">
        <w:rPr>
          <w:i/>
        </w:rPr>
        <w:t>NIH Image to ImageJ: 25 years of image analysis.</w:t>
      </w:r>
      <w:r w:rsidRPr="00352948">
        <w:t xml:space="preserve"> Nature Methods, 2012. </w:t>
      </w:r>
      <w:r w:rsidRPr="00352948">
        <w:rPr>
          <w:b/>
        </w:rPr>
        <w:t>9</w:t>
      </w:r>
      <w:r w:rsidRPr="00352948">
        <w:t>: p. 671.</w:t>
      </w:r>
    </w:p>
    <w:p w:rsidR="00352948" w:rsidRPr="00352948" w:rsidRDefault="00352948" w:rsidP="00352948">
      <w:pPr>
        <w:pStyle w:val="EndNoteBibliography"/>
        <w:ind w:left="720" w:hanging="720"/>
        <w:jc w:val="both"/>
      </w:pPr>
      <w:r w:rsidRPr="00352948">
        <w:t>2.</w:t>
      </w:r>
      <w:r w:rsidRPr="00352948">
        <w:tab/>
        <w:t xml:space="preserve">Gonzalez, R.C., R.E. Woods, and S.L. Eddins, </w:t>
      </w:r>
      <w:r w:rsidRPr="00352948">
        <w:rPr>
          <w:i/>
        </w:rPr>
        <w:t>Digital image processing using MATLAB</w:t>
      </w:r>
      <w:r w:rsidRPr="00352948">
        <w:t>. Vol. 624. 2004: Pearson-Prentice-Hall Upper Saddle River, New Jersey.</w:t>
      </w:r>
    </w:p>
    <w:p w:rsidR="00C55AC4" w:rsidRDefault="00352948" w:rsidP="00352948">
      <w:pPr>
        <w:jc w:val="both"/>
      </w:pPr>
      <w:r>
        <w:fldChar w:fldCharType="end"/>
      </w:r>
    </w:p>
    <w:sectPr w:rsidR="00C5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_loca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sadrxe3vsspbewaexxeer4wadaxxvvfe2v&quot;&gt;pbpk_refs&lt;record-ids&gt;&lt;item&gt;202&lt;/item&gt;&lt;item&gt;203&lt;/item&gt;&lt;/record-ids&gt;&lt;/item&gt;&lt;/Libraries&gt;"/>
  </w:docVars>
  <w:rsids>
    <w:rsidRoot w:val="00352948"/>
    <w:rsid w:val="00053FB4"/>
    <w:rsid w:val="000A2D79"/>
    <w:rsid w:val="00153AA3"/>
    <w:rsid w:val="00352948"/>
    <w:rsid w:val="003C2F7C"/>
    <w:rsid w:val="005823A7"/>
    <w:rsid w:val="00585384"/>
    <w:rsid w:val="006975B7"/>
    <w:rsid w:val="00734CCD"/>
    <w:rsid w:val="007D5A06"/>
    <w:rsid w:val="00902166"/>
    <w:rsid w:val="009A44A4"/>
    <w:rsid w:val="009B40B7"/>
    <w:rsid w:val="00CE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1B459-8354-4FD5-A255-067ABF7A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5294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52948"/>
    <w:rPr>
      <w:rFonts w:ascii="Calibri" w:hAnsi="Calibri"/>
      <w:noProof/>
    </w:rPr>
  </w:style>
  <w:style w:type="paragraph" w:customStyle="1" w:styleId="EndNoteBibliography">
    <w:name w:val="EndNote Bibliography"/>
    <w:basedOn w:val="Normal"/>
    <w:link w:val="EndNoteBibliographyChar"/>
    <w:rsid w:val="00352948"/>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52948"/>
    <w:rPr>
      <w:rFonts w:ascii="Calibri" w:hAnsi="Calibri"/>
      <w:noProof/>
    </w:rPr>
  </w:style>
  <w:style w:type="character" w:styleId="PlaceholderText">
    <w:name w:val="Placeholder Text"/>
    <w:basedOn w:val="DefaultParagraphFont"/>
    <w:uiPriority w:val="99"/>
    <w:semiHidden/>
    <w:rsid w:val="003529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538201">
      <w:bodyDiv w:val="1"/>
      <w:marLeft w:val="0"/>
      <w:marRight w:val="0"/>
      <w:marTop w:val="0"/>
      <w:marBottom w:val="0"/>
      <w:divBdr>
        <w:top w:val="none" w:sz="0" w:space="0" w:color="auto"/>
        <w:left w:val="none" w:sz="0" w:space="0" w:color="auto"/>
        <w:bottom w:val="none" w:sz="0" w:space="0" w:color="auto"/>
        <w:right w:val="none" w:sz="0" w:space="0" w:color="auto"/>
      </w:divBdr>
      <w:divsChild>
        <w:div w:id="703948176">
          <w:marLeft w:val="0"/>
          <w:marRight w:val="0"/>
          <w:marTop w:val="0"/>
          <w:marBottom w:val="0"/>
          <w:divBdr>
            <w:top w:val="none" w:sz="0" w:space="0" w:color="auto"/>
            <w:left w:val="none" w:sz="0" w:space="0" w:color="auto"/>
            <w:bottom w:val="none" w:sz="0" w:space="0" w:color="auto"/>
            <w:right w:val="none" w:sz="0" w:space="0" w:color="auto"/>
          </w:divBdr>
          <w:divsChild>
            <w:div w:id="2028632347">
              <w:marLeft w:val="0"/>
              <w:marRight w:val="0"/>
              <w:marTop w:val="0"/>
              <w:marBottom w:val="0"/>
              <w:divBdr>
                <w:top w:val="none" w:sz="0" w:space="0" w:color="auto"/>
                <w:left w:val="none" w:sz="0" w:space="0" w:color="auto"/>
                <w:bottom w:val="none" w:sz="0" w:space="0" w:color="auto"/>
                <w:right w:val="none" w:sz="0" w:space="0" w:color="auto"/>
              </w:divBdr>
              <w:divsChild>
                <w:div w:id="5909617">
                  <w:marLeft w:val="0"/>
                  <w:marRight w:val="0"/>
                  <w:marTop w:val="0"/>
                  <w:marBottom w:val="0"/>
                  <w:divBdr>
                    <w:top w:val="none" w:sz="0" w:space="0" w:color="auto"/>
                    <w:left w:val="none" w:sz="0" w:space="0" w:color="auto"/>
                    <w:bottom w:val="none" w:sz="0" w:space="0" w:color="auto"/>
                    <w:right w:val="none" w:sz="0" w:space="0" w:color="auto"/>
                  </w:divBdr>
                  <w:divsChild>
                    <w:div w:id="1742024727">
                      <w:marLeft w:val="0"/>
                      <w:marRight w:val="0"/>
                      <w:marTop w:val="0"/>
                      <w:marBottom w:val="0"/>
                      <w:divBdr>
                        <w:top w:val="none" w:sz="0" w:space="0" w:color="auto"/>
                        <w:left w:val="none" w:sz="0" w:space="0" w:color="auto"/>
                        <w:bottom w:val="none" w:sz="0" w:space="0" w:color="auto"/>
                        <w:right w:val="none" w:sz="0" w:space="0" w:color="auto"/>
                      </w:divBdr>
                      <w:divsChild>
                        <w:div w:id="210504984">
                          <w:marLeft w:val="0"/>
                          <w:marRight w:val="0"/>
                          <w:marTop w:val="0"/>
                          <w:marBottom w:val="0"/>
                          <w:divBdr>
                            <w:top w:val="none" w:sz="0" w:space="0" w:color="auto"/>
                            <w:left w:val="none" w:sz="0" w:space="0" w:color="auto"/>
                            <w:bottom w:val="none" w:sz="0" w:space="0" w:color="auto"/>
                            <w:right w:val="none" w:sz="0" w:space="0" w:color="auto"/>
                          </w:divBdr>
                          <w:divsChild>
                            <w:div w:id="358941686">
                              <w:marLeft w:val="15"/>
                              <w:marRight w:val="195"/>
                              <w:marTop w:val="0"/>
                              <w:marBottom w:val="0"/>
                              <w:divBdr>
                                <w:top w:val="none" w:sz="0" w:space="0" w:color="auto"/>
                                <w:left w:val="none" w:sz="0" w:space="0" w:color="auto"/>
                                <w:bottom w:val="none" w:sz="0" w:space="0" w:color="auto"/>
                                <w:right w:val="none" w:sz="0" w:space="0" w:color="auto"/>
                              </w:divBdr>
                              <w:divsChild>
                                <w:div w:id="1059086296">
                                  <w:marLeft w:val="0"/>
                                  <w:marRight w:val="0"/>
                                  <w:marTop w:val="0"/>
                                  <w:marBottom w:val="0"/>
                                  <w:divBdr>
                                    <w:top w:val="none" w:sz="0" w:space="0" w:color="auto"/>
                                    <w:left w:val="none" w:sz="0" w:space="0" w:color="auto"/>
                                    <w:bottom w:val="none" w:sz="0" w:space="0" w:color="auto"/>
                                    <w:right w:val="none" w:sz="0" w:space="0" w:color="auto"/>
                                  </w:divBdr>
                                  <w:divsChild>
                                    <w:div w:id="574052063">
                                      <w:marLeft w:val="0"/>
                                      <w:marRight w:val="0"/>
                                      <w:marTop w:val="0"/>
                                      <w:marBottom w:val="0"/>
                                      <w:divBdr>
                                        <w:top w:val="none" w:sz="0" w:space="0" w:color="auto"/>
                                        <w:left w:val="none" w:sz="0" w:space="0" w:color="auto"/>
                                        <w:bottom w:val="none" w:sz="0" w:space="0" w:color="auto"/>
                                        <w:right w:val="none" w:sz="0" w:space="0" w:color="auto"/>
                                      </w:divBdr>
                                      <w:divsChild>
                                        <w:div w:id="763186362">
                                          <w:marLeft w:val="0"/>
                                          <w:marRight w:val="0"/>
                                          <w:marTop w:val="0"/>
                                          <w:marBottom w:val="0"/>
                                          <w:divBdr>
                                            <w:top w:val="none" w:sz="0" w:space="0" w:color="auto"/>
                                            <w:left w:val="none" w:sz="0" w:space="0" w:color="auto"/>
                                            <w:bottom w:val="none" w:sz="0" w:space="0" w:color="auto"/>
                                            <w:right w:val="none" w:sz="0" w:space="0" w:color="auto"/>
                                          </w:divBdr>
                                          <w:divsChild>
                                            <w:div w:id="2072803491">
                                              <w:marLeft w:val="0"/>
                                              <w:marRight w:val="0"/>
                                              <w:marTop w:val="0"/>
                                              <w:marBottom w:val="0"/>
                                              <w:divBdr>
                                                <w:top w:val="none" w:sz="0" w:space="0" w:color="auto"/>
                                                <w:left w:val="none" w:sz="0" w:space="0" w:color="auto"/>
                                                <w:bottom w:val="none" w:sz="0" w:space="0" w:color="auto"/>
                                                <w:right w:val="none" w:sz="0" w:space="0" w:color="auto"/>
                                              </w:divBdr>
                                              <w:divsChild>
                                                <w:div w:id="863786870">
                                                  <w:marLeft w:val="0"/>
                                                  <w:marRight w:val="0"/>
                                                  <w:marTop w:val="0"/>
                                                  <w:marBottom w:val="0"/>
                                                  <w:divBdr>
                                                    <w:top w:val="none" w:sz="0" w:space="0" w:color="auto"/>
                                                    <w:left w:val="none" w:sz="0" w:space="0" w:color="auto"/>
                                                    <w:bottom w:val="none" w:sz="0" w:space="0" w:color="auto"/>
                                                    <w:right w:val="none" w:sz="0" w:space="0" w:color="auto"/>
                                                  </w:divBdr>
                                                  <w:divsChild>
                                                    <w:div w:id="769280013">
                                                      <w:marLeft w:val="0"/>
                                                      <w:marRight w:val="0"/>
                                                      <w:marTop w:val="0"/>
                                                      <w:marBottom w:val="0"/>
                                                      <w:divBdr>
                                                        <w:top w:val="none" w:sz="0" w:space="0" w:color="auto"/>
                                                        <w:left w:val="none" w:sz="0" w:space="0" w:color="auto"/>
                                                        <w:bottom w:val="none" w:sz="0" w:space="0" w:color="auto"/>
                                                        <w:right w:val="none" w:sz="0" w:space="0" w:color="auto"/>
                                                      </w:divBdr>
                                                      <w:divsChild>
                                                        <w:div w:id="814296398">
                                                          <w:marLeft w:val="0"/>
                                                          <w:marRight w:val="0"/>
                                                          <w:marTop w:val="0"/>
                                                          <w:marBottom w:val="0"/>
                                                          <w:divBdr>
                                                            <w:top w:val="none" w:sz="0" w:space="0" w:color="auto"/>
                                                            <w:left w:val="none" w:sz="0" w:space="0" w:color="auto"/>
                                                            <w:bottom w:val="none" w:sz="0" w:space="0" w:color="auto"/>
                                                            <w:right w:val="none" w:sz="0" w:space="0" w:color="auto"/>
                                                          </w:divBdr>
                                                          <w:divsChild>
                                                            <w:div w:id="745691610">
                                                              <w:marLeft w:val="0"/>
                                                              <w:marRight w:val="0"/>
                                                              <w:marTop w:val="0"/>
                                                              <w:marBottom w:val="0"/>
                                                              <w:divBdr>
                                                                <w:top w:val="none" w:sz="0" w:space="0" w:color="auto"/>
                                                                <w:left w:val="none" w:sz="0" w:space="0" w:color="auto"/>
                                                                <w:bottom w:val="none" w:sz="0" w:space="0" w:color="auto"/>
                                                                <w:right w:val="none" w:sz="0" w:space="0" w:color="auto"/>
                                                              </w:divBdr>
                                                              <w:divsChild>
                                                                <w:div w:id="1403139113">
                                                                  <w:marLeft w:val="0"/>
                                                                  <w:marRight w:val="0"/>
                                                                  <w:marTop w:val="0"/>
                                                                  <w:marBottom w:val="0"/>
                                                                  <w:divBdr>
                                                                    <w:top w:val="none" w:sz="0" w:space="0" w:color="auto"/>
                                                                    <w:left w:val="none" w:sz="0" w:space="0" w:color="auto"/>
                                                                    <w:bottom w:val="none" w:sz="0" w:space="0" w:color="auto"/>
                                                                    <w:right w:val="none" w:sz="0" w:space="0" w:color="auto"/>
                                                                  </w:divBdr>
                                                                  <w:divsChild>
                                                                    <w:div w:id="2138066044">
                                                                      <w:marLeft w:val="405"/>
                                                                      <w:marRight w:val="0"/>
                                                                      <w:marTop w:val="0"/>
                                                                      <w:marBottom w:val="0"/>
                                                                      <w:divBdr>
                                                                        <w:top w:val="none" w:sz="0" w:space="0" w:color="auto"/>
                                                                        <w:left w:val="none" w:sz="0" w:space="0" w:color="auto"/>
                                                                        <w:bottom w:val="none" w:sz="0" w:space="0" w:color="auto"/>
                                                                        <w:right w:val="none" w:sz="0" w:space="0" w:color="auto"/>
                                                                      </w:divBdr>
                                                                      <w:divsChild>
                                                                        <w:div w:id="1861577916">
                                                                          <w:marLeft w:val="0"/>
                                                                          <w:marRight w:val="0"/>
                                                                          <w:marTop w:val="0"/>
                                                                          <w:marBottom w:val="0"/>
                                                                          <w:divBdr>
                                                                            <w:top w:val="none" w:sz="0" w:space="0" w:color="auto"/>
                                                                            <w:left w:val="none" w:sz="0" w:space="0" w:color="auto"/>
                                                                            <w:bottom w:val="none" w:sz="0" w:space="0" w:color="auto"/>
                                                                            <w:right w:val="none" w:sz="0" w:space="0" w:color="auto"/>
                                                                          </w:divBdr>
                                                                          <w:divsChild>
                                                                            <w:div w:id="1830444285">
                                                                              <w:marLeft w:val="0"/>
                                                                              <w:marRight w:val="0"/>
                                                                              <w:marTop w:val="0"/>
                                                                              <w:marBottom w:val="0"/>
                                                                              <w:divBdr>
                                                                                <w:top w:val="none" w:sz="0" w:space="0" w:color="auto"/>
                                                                                <w:left w:val="none" w:sz="0" w:space="0" w:color="auto"/>
                                                                                <w:bottom w:val="none" w:sz="0" w:space="0" w:color="auto"/>
                                                                                <w:right w:val="none" w:sz="0" w:space="0" w:color="auto"/>
                                                                              </w:divBdr>
                                                                              <w:divsChild>
                                                                                <w:div w:id="780303555">
                                                                                  <w:marLeft w:val="0"/>
                                                                                  <w:marRight w:val="0"/>
                                                                                  <w:marTop w:val="0"/>
                                                                                  <w:marBottom w:val="0"/>
                                                                                  <w:divBdr>
                                                                                    <w:top w:val="none" w:sz="0" w:space="0" w:color="auto"/>
                                                                                    <w:left w:val="none" w:sz="0" w:space="0" w:color="auto"/>
                                                                                    <w:bottom w:val="none" w:sz="0" w:space="0" w:color="auto"/>
                                                                                    <w:right w:val="none" w:sz="0" w:space="0" w:color="auto"/>
                                                                                  </w:divBdr>
                                                                                  <w:divsChild>
                                                                                    <w:div w:id="397869271">
                                                                                      <w:marLeft w:val="0"/>
                                                                                      <w:marRight w:val="0"/>
                                                                                      <w:marTop w:val="0"/>
                                                                                      <w:marBottom w:val="0"/>
                                                                                      <w:divBdr>
                                                                                        <w:top w:val="none" w:sz="0" w:space="0" w:color="auto"/>
                                                                                        <w:left w:val="none" w:sz="0" w:space="0" w:color="auto"/>
                                                                                        <w:bottom w:val="none" w:sz="0" w:space="0" w:color="auto"/>
                                                                                        <w:right w:val="none" w:sz="0" w:space="0" w:color="auto"/>
                                                                                      </w:divBdr>
                                                                                      <w:divsChild>
                                                                                        <w:div w:id="1145273984">
                                                                                          <w:marLeft w:val="0"/>
                                                                                          <w:marRight w:val="0"/>
                                                                                          <w:marTop w:val="0"/>
                                                                                          <w:marBottom w:val="0"/>
                                                                                          <w:divBdr>
                                                                                            <w:top w:val="none" w:sz="0" w:space="0" w:color="auto"/>
                                                                                            <w:left w:val="none" w:sz="0" w:space="0" w:color="auto"/>
                                                                                            <w:bottom w:val="none" w:sz="0" w:space="0" w:color="auto"/>
                                                                                            <w:right w:val="none" w:sz="0" w:space="0" w:color="auto"/>
                                                                                          </w:divBdr>
                                                                                          <w:divsChild>
                                                                                            <w:div w:id="1247836751">
                                                                                              <w:marLeft w:val="0"/>
                                                                                              <w:marRight w:val="0"/>
                                                                                              <w:marTop w:val="0"/>
                                                                                              <w:marBottom w:val="0"/>
                                                                                              <w:divBdr>
                                                                                                <w:top w:val="none" w:sz="0" w:space="0" w:color="auto"/>
                                                                                                <w:left w:val="none" w:sz="0" w:space="0" w:color="auto"/>
                                                                                                <w:bottom w:val="none" w:sz="0" w:space="0" w:color="auto"/>
                                                                                                <w:right w:val="none" w:sz="0" w:space="0" w:color="auto"/>
                                                                                              </w:divBdr>
                                                                                              <w:divsChild>
                                                                                                <w:div w:id="946035830">
                                                                                                  <w:marLeft w:val="0"/>
                                                                                                  <w:marRight w:val="0"/>
                                                                                                  <w:marTop w:val="0"/>
                                                                                                  <w:marBottom w:val="0"/>
                                                                                                  <w:divBdr>
                                                                                                    <w:top w:val="none" w:sz="0" w:space="0" w:color="auto"/>
                                                                                                    <w:left w:val="none" w:sz="0" w:space="0" w:color="auto"/>
                                                                                                    <w:bottom w:val="single" w:sz="6" w:space="15" w:color="auto"/>
                                                                                                    <w:right w:val="none" w:sz="0" w:space="0" w:color="auto"/>
                                                                                                  </w:divBdr>
                                                                                                  <w:divsChild>
                                                                                                    <w:div w:id="1358310501">
                                                                                                      <w:marLeft w:val="0"/>
                                                                                                      <w:marRight w:val="0"/>
                                                                                                      <w:marTop w:val="60"/>
                                                                                                      <w:marBottom w:val="0"/>
                                                                                                      <w:divBdr>
                                                                                                        <w:top w:val="none" w:sz="0" w:space="0" w:color="auto"/>
                                                                                                        <w:left w:val="none" w:sz="0" w:space="0" w:color="auto"/>
                                                                                                        <w:bottom w:val="none" w:sz="0" w:space="0" w:color="auto"/>
                                                                                                        <w:right w:val="none" w:sz="0" w:space="0" w:color="auto"/>
                                                                                                      </w:divBdr>
                                                                                                      <w:divsChild>
                                                                                                        <w:div w:id="472333325">
                                                                                                          <w:marLeft w:val="0"/>
                                                                                                          <w:marRight w:val="0"/>
                                                                                                          <w:marTop w:val="0"/>
                                                                                                          <w:marBottom w:val="0"/>
                                                                                                          <w:divBdr>
                                                                                                            <w:top w:val="none" w:sz="0" w:space="0" w:color="auto"/>
                                                                                                            <w:left w:val="none" w:sz="0" w:space="0" w:color="auto"/>
                                                                                                            <w:bottom w:val="none" w:sz="0" w:space="0" w:color="auto"/>
                                                                                                            <w:right w:val="none" w:sz="0" w:space="0" w:color="auto"/>
                                                                                                          </w:divBdr>
                                                                                                          <w:divsChild>
                                                                                                            <w:div w:id="1622498418">
                                                                                                              <w:marLeft w:val="0"/>
                                                                                                              <w:marRight w:val="0"/>
                                                                                                              <w:marTop w:val="0"/>
                                                                                                              <w:marBottom w:val="0"/>
                                                                                                              <w:divBdr>
                                                                                                                <w:top w:val="none" w:sz="0" w:space="0" w:color="auto"/>
                                                                                                                <w:left w:val="none" w:sz="0" w:space="0" w:color="auto"/>
                                                                                                                <w:bottom w:val="none" w:sz="0" w:space="0" w:color="auto"/>
                                                                                                                <w:right w:val="none" w:sz="0" w:space="0" w:color="auto"/>
                                                                                                              </w:divBdr>
                                                                                                              <w:divsChild>
                                                                                                                <w:div w:id="882904474">
                                                                                                                  <w:marLeft w:val="0"/>
                                                                                                                  <w:marRight w:val="0"/>
                                                                                                                  <w:marTop w:val="0"/>
                                                                                                                  <w:marBottom w:val="0"/>
                                                                                                                  <w:divBdr>
                                                                                                                    <w:top w:val="none" w:sz="0" w:space="0" w:color="auto"/>
                                                                                                                    <w:left w:val="none" w:sz="0" w:space="0" w:color="auto"/>
                                                                                                                    <w:bottom w:val="none" w:sz="0" w:space="0" w:color="auto"/>
                                                                                                                    <w:right w:val="none" w:sz="0" w:space="0" w:color="auto"/>
                                                                                                                  </w:divBdr>
                                                                                                                  <w:divsChild>
                                                                                                                    <w:div w:id="1557232950">
                                                                                                                      <w:marLeft w:val="0"/>
                                                                                                                      <w:marRight w:val="0"/>
                                                                                                                      <w:marTop w:val="0"/>
                                                                                                                      <w:marBottom w:val="0"/>
                                                                                                                      <w:divBdr>
                                                                                                                        <w:top w:val="none" w:sz="0" w:space="0" w:color="auto"/>
                                                                                                                        <w:left w:val="none" w:sz="0" w:space="0" w:color="auto"/>
                                                                                                                        <w:bottom w:val="none" w:sz="0" w:space="0" w:color="auto"/>
                                                                                                                        <w:right w:val="none" w:sz="0" w:space="0" w:color="auto"/>
                                                                                                                      </w:divBdr>
                                                                                                                      <w:divsChild>
                                                                                                                        <w:div w:id="471093273">
                                                                                                                          <w:marLeft w:val="0"/>
                                                                                                                          <w:marRight w:val="0"/>
                                                                                                                          <w:marTop w:val="0"/>
                                                                                                                          <w:marBottom w:val="0"/>
                                                                                                                          <w:divBdr>
                                                                                                                            <w:top w:val="none" w:sz="0" w:space="0" w:color="auto"/>
                                                                                                                            <w:left w:val="none" w:sz="0" w:space="0" w:color="auto"/>
                                                                                                                            <w:bottom w:val="none" w:sz="0" w:space="0" w:color="auto"/>
                                                                                                                            <w:right w:val="none" w:sz="0" w:space="0" w:color="auto"/>
                                                                                                                          </w:divBdr>
                                                                                                                          <w:divsChild>
                                                                                                                            <w:div w:id="1189373750">
                                                                                                                              <w:marLeft w:val="0"/>
                                                                                                                              <w:marRight w:val="0"/>
                                                                                                                              <w:marTop w:val="0"/>
                                                                                                                              <w:marBottom w:val="0"/>
                                                                                                                              <w:divBdr>
                                                                                                                                <w:top w:val="none" w:sz="0" w:space="0" w:color="auto"/>
                                                                                                                                <w:left w:val="none" w:sz="0" w:space="0" w:color="auto"/>
                                                                                                                                <w:bottom w:val="none" w:sz="0" w:space="0" w:color="auto"/>
                                                                                                                                <w:right w:val="none" w:sz="0" w:space="0" w:color="auto"/>
                                                                                                                              </w:divBdr>
                                                                                                                              <w:divsChild>
                                                                                                                                <w:div w:id="5124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Houston Methodist Hospital</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ramirez, Javier</dc:creator>
  <cp:keywords/>
  <dc:description/>
  <cp:lastModifiedBy>Ruiz ramirez, Javier</cp:lastModifiedBy>
  <cp:revision>1</cp:revision>
  <dcterms:created xsi:type="dcterms:W3CDTF">2018-11-05T16:31:00Z</dcterms:created>
  <dcterms:modified xsi:type="dcterms:W3CDTF">2018-11-05T19:23:00Z</dcterms:modified>
</cp:coreProperties>
</file>