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Neurochemical-Specific Genomic Risk Mapping &amp; Health Outcomes</w:t>
      </w:r>
    </w:p>
    <w:p>
      <w:r>
        <w:t>This document provides a structured reference for the genetic pathways and risk factors associated with individual neurochemicals involved in substance use disorders, stimulant sensitivity, and psychiatric vulnerability. Each neurochemical is listed separately, followed by the genes involved in its metabolism, clearance, or receptor function, and the health outcomes associated with polymorphisms in those genes.</w:t>
      </w:r>
    </w:p>
    <w:p>
      <w:pPr>
        <w:pStyle w:val="Heading1"/>
      </w:pPr>
      <w:r>
        <w:t>Dopamine</w:t>
      </w:r>
    </w:p>
    <w:tbl>
      <w:tblPr>
        <w:tblStyle w:val="TableGrid"/>
        <w:tblW w:type="auto" w:w="0"/>
        <w:tblLook w:firstColumn="1" w:firstRow="1" w:lastColumn="0" w:lastRow="0" w:noHBand="0" w:noVBand="1" w:val="04A0"/>
      </w:tblPr>
      <w:tblGrid>
        <w:gridCol w:w="4320"/>
        <w:gridCol w:w="4320"/>
      </w:tblGrid>
      <w:tr>
        <w:tc>
          <w:tcPr>
            <w:tcW w:type="dxa" w:w="4320"/>
          </w:tcPr>
          <w:p>
            <w:r>
              <w:t>Gene</w:t>
            </w:r>
          </w:p>
        </w:tc>
        <w:tc>
          <w:tcPr>
            <w:tcW w:type="dxa" w:w="4320"/>
          </w:tcPr>
          <w:p>
            <w:r>
              <w:t>Effect / Health Risk</w:t>
            </w:r>
          </w:p>
        </w:tc>
      </w:tr>
      <w:tr>
        <w:tc>
          <w:tcPr>
            <w:tcW w:type="dxa" w:w="4320"/>
          </w:tcPr>
          <w:p>
            <w:r>
              <w:t>COMT</w:t>
            </w:r>
          </w:p>
        </w:tc>
        <w:tc>
          <w:tcPr>
            <w:tcW w:type="dxa" w:w="4320"/>
          </w:tcPr>
          <w:p>
            <w:r>
              <w:t>Dopamine breakdown – Met/Met increases risk of mania, paranoia, addiction</w:t>
            </w:r>
          </w:p>
        </w:tc>
      </w:tr>
      <w:tr>
        <w:tc>
          <w:tcPr>
            <w:tcW w:type="dxa" w:w="4320"/>
          </w:tcPr>
          <w:p>
            <w:r>
              <w:t>DRD2</w:t>
            </w:r>
          </w:p>
        </w:tc>
        <w:tc>
          <w:tcPr>
            <w:tcW w:type="dxa" w:w="4320"/>
          </w:tcPr>
          <w:p>
            <w:r>
              <w:t>Dopamine receptor density – A1 allele linked to low receptor count, addiction</w:t>
            </w:r>
          </w:p>
        </w:tc>
      </w:tr>
      <w:tr>
        <w:tc>
          <w:tcPr>
            <w:tcW w:type="dxa" w:w="4320"/>
          </w:tcPr>
          <w:p>
            <w:r>
              <w:t>SLC6A3 (DAT1)</w:t>
            </w:r>
          </w:p>
        </w:tc>
        <w:tc>
          <w:tcPr>
            <w:tcW w:type="dxa" w:w="4320"/>
          </w:tcPr>
          <w:p>
            <w:r>
              <w:t>Dopamine transporter – 10-repeat variant increases stimulant reinforcement</w:t>
            </w:r>
          </w:p>
        </w:tc>
      </w:tr>
      <w:tr>
        <w:tc>
          <w:tcPr>
            <w:tcW w:type="dxa" w:w="4320"/>
          </w:tcPr>
          <w:p>
            <w:r>
              <w:t>AKT1</w:t>
            </w:r>
          </w:p>
        </w:tc>
        <w:tc>
          <w:tcPr>
            <w:tcW w:type="dxa" w:w="4320"/>
          </w:tcPr>
          <w:p>
            <w:r>
              <w:t>Dopaminergic signaling – C/C variant linked to psychosis risk from cannabis, LSD, meth</w:t>
            </w:r>
          </w:p>
        </w:tc>
      </w:tr>
    </w:tbl>
    <w:p>
      <w:pPr>
        <w:pStyle w:val="Heading1"/>
      </w:pPr>
      <w:r>
        <w:t>Serotonin</w:t>
      </w:r>
    </w:p>
    <w:tbl>
      <w:tblPr>
        <w:tblStyle w:val="TableGrid"/>
        <w:tblW w:type="auto" w:w="0"/>
        <w:tblLook w:firstColumn="1" w:firstRow="1" w:lastColumn="0" w:lastRow="0" w:noHBand="0" w:noVBand="1" w:val="04A0"/>
      </w:tblPr>
      <w:tblGrid>
        <w:gridCol w:w="4320"/>
        <w:gridCol w:w="4320"/>
      </w:tblGrid>
      <w:tr>
        <w:tc>
          <w:tcPr>
            <w:tcW w:type="dxa" w:w="4320"/>
          </w:tcPr>
          <w:p>
            <w:r>
              <w:t>Gene</w:t>
            </w:r>
          </w:p>
        </w:tc>
        <w:tc>
          <w:tcPr>
            <w:tcW w:type="dxa" w:w="4320"/>
          </w:tcPr>
          <w:p>
            <w:r>
              <w:t>Effect / Health Risk</w:t>
            </w:r>
          </w:p>
        </w:tc>
      </w:tr>
      <w:tr>
        <w:tc>
          <w:tcPr>
            <w:tcW w:type="dxa" w:w="4320"/>
          </w:tcPr>
          <w:p>
            <w:r>
              <w:t>SLC6A4 (5-HTTLPR)</w:t>
            </w:r>
          </w:p>
        </w:tc>
        <w:tc>
          <w:tcPr>
            <w:tcW w:type="dxa" w:w="4320"/>
          </w:tcPr>
          <w:p>
            <w:r>
              <w:t>Serotonin transporter – Short allele linked to anxiety, depression, suicidality</w:t>
            </w:r>
          </w:p>
        </w:tc>
      </w:tr>
      <w:tr>
        <w:tc>
          <w:tcPr>
            <w:tcW w:type="dxa" w:w="4320"/>
          </w:tcPr>
          <w:p>
            <w:r>
              <w:t>HTR2A</w:t>
            </w:r>
          </w:p>
        </w:tc>
        <w:tc>
          <w:tcPr>
            <w:tcW w:type="dxa" w:w="4320"/>
          </w:tcPr>
          <w:p>
            <w:r>
              <w:t>Serotonin receptor – T allele increases hallucinogenic sensitivity and panic risk</w:t>
            </w:r>
          </w:p>
        </w:tc>
      </w:tr>
      <w:tr>
        <w:tc>
          <w:tcPr>
            <w:tcW w:type="dxa" w:w="4320"/>
          </w:tcPr>
          <w:p>
            <w:r>
              <w:t>TPH2</w:t>
            </w:r>
          </w:p>
        </w:tc>
        <w:tc>
          <w:tcPr>
            <w:tcW w:type="dxa" w:w="4320"/>
          </w:tcPr>
          <w:p>
            <w:r>
              <w:t>Serotonin synthesis – Variants affect recovery and resilience post-psychedelic or MDMA</w:t>
            </w:r>
          </w:p>
        </w:tc>
      </w:tr>
    </w:tbl>
    <w:p>
      <w:pPr>
        <w:pStyle w:val="Heading1"/>
      </w:pPr>
      <w:r>
        <w:t>Norepinephrine</w:t>
      </w:r>
    </w:p>
    <w:tbl>
      <w:tblPr>
        <w:tblStyle w:val="TableGrid"/>
        <w:tblW w:type="auto" w:w="0"/>
        <w:tblLook w:firstColumn="1" w:firstRow="1" w:lastColumn="0" w:lastRow="0" w:noHBand="0" w:noVBand="1" w:val="04A0"/>
      </w:tblPr>
      <w:tblGrid>
        <w:gridCol w:w="4320"/>
        <w:gridCol w:w="4320"/>
      </w:tblGrid>
      <w:tr>
        <w:tc>
          <w:tcPr>
            <w:tcW w:type="dxa" w:w="4320"/>
          </w:tcPr>
          <w:p>
            <w:r>
              <w:t>Gene</w:t>
            </w:r>
          </w:p>
        </w:tc>
        <w:tc>
          <w:tcPr>
            <w:tcW w:type="dxa" w:w="4320"/>
          </w:tcPr>
          <w:p>
            <w:r>
              <w:t>Effect / Health Risk</w:t>
            </w:r>
          </w:p>
        </w:tc>
      </w:tr>
      <w:tr>
        <w:tc>
          <w:tcPr>
            <w:tcW w:type="dxa" w:w="4320"/>
          </w:tcPr>
          <w:p>
            <w:r>
              <w:t>COMT</w:t>
            </w:r>
          </w:p>
        </w:tc>
        <w:tc>
          <w:tcPr>
            <w:tcW w:type="dxa" w:w="4320"/>
          </w:tcPr>
          <w:p>
            <w:r>
              <w:t>Also clears norepinephrine – Met/Met leads to emotional flooding, agitation</w:t>
            </w:r>
          </w:p>
        </w:tc>
      </w:tr>
      <w:tr>
        <w:tc>
          <w:tcPr>
            <w:tcW w:type="dxa" w:w="4320"/>
          </w:tcPr>
          <w:p>
            <w:r>
              <w:t>MAOA</w:t>
            </w:r>
          </w:p>
        </w:tc>
        <w:tc>
          <w:tcPr>
            <w:tcW w:type="dxa" w:w="4320"/>
          </w:tcPr>
          <w:p>
            <w:r>
              <w:t>Monoamine breakdown – Low activity linked to aggression, rage under stimulants</w:t>
            </w:r>
          </w:p>
        </w:tc>
      </w:tr>
      <w:tr>
        <w:tc>
          <w:tcPr>
            <w:tcW w:type="dxa" w:w="4320"/>
          </w:tcPr>
          <w:p>
            <w:r>
              <w:t>MAOB</w:t>
            </w:r>
          </w:p>
        </w:tc>
        <w:tc>
          <w:tcPr>
            <w:tcW w:type="dxa" w:w="4320"/>
          </w:tcPr>
          <w:p>
            <w:r>
              <w:t>Supports breakdown – Homozygous variants raise risk of dopamine/NE overload</w:t>
            </w:r>
          </w:p>
        </w:tc>
      </w:tr>
    </w:tbl>
    <w:p>
      <w:pPr>
        <w:pStyle w:val="Heading1"/>
      </w:pPr>
      <w:r>
        <w:t>Glutamate</w:t>
      </w:r>
    </w:p>
    <w:tbl>
      <w:tblPr>
        <w:tblStyle w:val="TableGrid"/>
        <w:tblW w:type="auto" w:w="0"/>
        <w:tblLook w:firstColumn="1" w:firstRow="1" w:lastColumn="0" w:lastRow="0" w:noHBand="0" w:noVBand="1" w:val="04A0"/>
      </w:tblPr>
      <w:tblGrid>
        <w:gridCol w:w="4320"/>
        <w:gridCol w:w="4320"/>
      </w:tblGrid>
      <w:tr>
        <w:tc>
          <w:tcPr>
            <w:tcW w:type="dxa" w:w="4320"/>
          </w:tcPr>
          <w:p>
            <w:r>
              <w:t>Gene</w:t>
            </w:r>
          </w:p>
        </w:tc>
        <w:tc>
          <w:tcPr>
            <w:tcW w:type="dxa" w:w="4320"/>
          </w:tcPr>
          <w:p>
            <w:r>
              <w:t>Effect / Health Risk</w:t>
            </w:r>
          </w:p>
        </w:tc>
      </w:tr>
      <w:tr>
        <w:tc>
          <w:tcPr>
            <w:tcW w:type="dxa" w:w="4320"/>
          </w:tcPr>
          <w:p>
            <w:r>
              <w:t>GRIN2A / GRIN2B</w:t>
            </w:r>
          </w:p>
        </w:tc>
        <w:tc>
          <w:tcPr>
            <w:tcW w:type="dxa" w:w="4320"/>
          </w:tcPr>
          <w:p>
            <w:r>
              <w:t>NMDA receptor subunits – Variants linked to ketamine/LSD-induced psychosis</w:t>
            </w:r>
          </w:p>
        </w:tc>
      </w:tr>
      <w:tr>
        <w:tc>
          <w:tcPr>
            <w:tcW w:type="dxa" w:w="4320"/>
          </w:tcPr>
          <w:p>
            <w:r>
              <w:t>SLC1A1</w:t>
            </w:r>
          </w:p>
        </w:tc>
        <w:tc>
          <w:tcPr>
            <w:tcW w:type="dxa" w:w="4320"/>
          </w:tcPr>
          <w:p>
            <w:r>
              <w:t>Glutamate transporter – Linked to OCD, stimulant overstimulation, neurotoxicity</w:t>
            </w:r>
          </w:p>
        </w:tc>
      </w:tr>
    </w:tbl>
    <w:p>
      <w:pPr>
        <w:pStyle w:val="Heading1"/>
      </w:pPr>
      <w:r>
        <w:t>GABA</w:t>
      </w:r>
    </w:p>
    <w:tbl>
      <w:tblPr>
        <w:tblStyle w:val="TableGrid"/>
        <w:tblW w:type="auto" w:w="0"/>
        <w:tblLook w:firstColumn="1" w:firstRow="1" w:lastColumn="0" w:lastRow="0" w:noHBand="0" w:noVBand="1" w:val="04A0"/>
      </w:tblPr>
      <w:tblGrid>
        <w:gridCol w:w="4320"/>
        <w:gridCol w:w="4320"/>
      </w:tblGrid>
      <w:tr>
        <w:tc>
          <w:tcPr>
            <w:tcW w:type="dxa" w:w="4320"/>
          </w:tcPr>
          <w:p>
            <w:r>
              <w:t>Gene</w:t>
            </w:r>
          </w:p>
        </w:tc>
        <w:tc>
          <w:tcPr>
            <w:tcW w:type="dxa" w:w="4320"/>
          </w:tcPr>
          <w:p>
            <w:r>
              <w:t>Effect / Health Risk</w:t>
            </w:r>
          </w:p>
        </w:tc>
      </w:tr>
      <w:tr>
        <w:tc>
          <w:tcPr>
            <w:tcW w:type="dxa" w:w="4320"/>
          </w:tcPr>
          <w:p>
            <w:r>
              <w:t>GABRA2</w:t>
            </w:r>
          </w:p>
        </w:tc>
        <w:tc>
          <w:tcPr>
            <w:tcW w:type="dxa" w:w="4320"/>
          </w:tcPr>
          <w:p>
            <w:r>
              <w:t>GABA-A receptor subunit – Variants linked to alcohol abuse, benzodiazepine sensitivity</w:t>
            </w:r>
          </w:p>
        </w:tc>
      </w:tr>
      <w:tr>
        <w:tc>
          <w:tcPr>
            <w:tcW w:type="dxa" w:w="4320"/>
          </w:tcPr>
          <w:p>
            <w:r>
              <w:t>GABRB3</w:t>
            </w:r>
          </w:p>
        </w:tc>
        <w:tc>
          <w:tcPr>
            <w:tcW w:type="dxa" w:w="4320"/>
          </w:tcPr>
          <w:p>
            <w:r>
              <w:t>Beta subunit – Associated with anxiety, sensory processing issues, sedation response</w:t>
            </w:r>
          </w:p>
        </w:tc>
      </w:tr>
      <w:tr>
        <w:tc>
          <w:tcPr>
            <w:tcW w:type="dxa" w:w="4320"/>
          </w:tcPr>
          <w:p>
            <w:r>
              <w:t>GABRG1</w:t>
            </w:r>
          </w:p>
        </w:tc>
        <w:tc>
          <w:tcPr>
            <w:tcW w:type="dxa" w:w="4320"/>
          </w:tcPr>
          <w:p>
            <w:r>
              <w:t>Gamma subunit – Involved in receptor modulation, affects alcohol craving</w:t>
            </w:r>
          </w:p>
        </w:tc>
      </w:tr>
    </w:tbl>
    <w:p>
      <w:pPr>
        <w:pStyle w:val="Heading1"/>
      </w:pPr>
      <w:r>
        <w:t>Endocannabinoids</w:t>
      </w:r>
    </w:p>
    <w:tbl>
      <w:tblPr>
        <w:tblStyle w:val="TableGrid"/>
        <w:tblW w:type="auto" w:w="0"/>
        <w:tblLook w:firstColumn="1" w:firstRow="1" w:lastColumn="0" w:lastRow="0" w:noHBand="0" w:noVBand="1" w:val="04A0"/>
      </w:tblPr>
      <w:tblGrid>
        <w:gridCol w:w="4320"/>
        <w:gridCol w:w="4320"/>
      </w:tblGrid>
      <w:tr>
        <w:tc>
          <w:tcPr>
            <w:tcW w:type="dxa" w:w="4320"/>
          </w:tcPr>
          <w:p>
            <w:r>
              <w:t>Gene</w:t>
            </w:r>
          </w:p>
        </w:tc>
        <w:tc>
          <w:tcPr>
            <w:tcW w:type="dxa" w:w="4320"/>
          </w:tcPr>
          <w:p>
            <w:r>
              <w:t>Effect / Health Risk</w:t>
            </w:r>
          </w:p>
        </w:tc>
      </w:tr>
      <w:tr>
        <w:tc>
          <w:tcPr>
            <w:tcW w:type="dxa" w:w="4320"/>
          </w:tcPr>
          <w:p>
            <w:r>
              <w:t>CNR1</w:t>
            </w:r>
          </w:p>
        </w:tc>
        <w:tc>
          <w:tcPr>
            <w:tcW w:type="dxa" w:w="4320"/>
          </w:tcPr>
          <w:p>
            <w:r>
              <w:t>Cannabinoid receptor – Variants linked to anxiety, addiction, memory loss</w:t>
            </w:r>
          </w:p>
        </w:tc>
      </w:tr>
      <w:tr>
        <w:tc>
          <w:tcPr>
            <w:tcW w:type="dxa" w:w="4320"/>
          </w:tcPr>
          <w:p>
            <w:r>
              <w:t>FAAH</w:t>
            </w:r>
          </w:p>
        </w:tc>
        <w:tc>
          <w:tcPr>
            <w:tcW w:type="dxa" w:w="4320"/>
          </w:tcPr>
          <w:p>
            <w:r>
              <w:t>Endocannabinoid breakdown – C385A linked to enhanced reward sensitivity, addiction</w:t>
            </w:r>
          </w:p>
        </w:tc>
      </w:tr>
    </w:tbl>
    <w:p>
      <w:pPr>
        <w:pStyle w:val="Heading1"/>
      </w:pPr>
      <w:r>
        <w:t>Opioid System</w:t>
      </w:r>
    </w:p>
    <w:tbl>
      <w:tblPr>
        <w:tblStyle w:val="TableGrid"/>
        <w:tblW w:type="auto" w:w="0"/>
        <w:tblLook w:firstColumn="1" w:firstRow="1" w:lastColumn="0" w:lastRow="0" w:noHBand="0" w:noVBand="1" w:val="04A0"/>
      </w:tblPr>
      <w:tblGrid>
        <w:gridCol w:w="4320"/>
        <w:gridCol w:w="4320"/>
      </w:tblGrid>
      <w:tr>
        <w:tc>
          <w:tcPr>
            <w:tcW w:type="dxa" w:w="4320"/>
          </w:tcPr>
          <w:p>
            <w:r>
              <w:t>Gene</w:t>
            </w:r>
          </w:p>
        </w:tc>
        <w:tc>
          <w:tcPr>
            <w:tcW w:type="dxa" w:w="4320"/>
          </w:tcPr>
          <w:p>
            <w:r>
              <w:t>Effect / Health Risk</w:t>
            </w:r>
          </w:p>
        </w:tc>
      </w:tr>
      <w:tr>
        <w:tc>
          <w:tcPr>
            <w:tcW w:type="dxa" w:w="4320"/>
          </w:tcPr>
          <w:p>
            <w:r>
              <w:t>OPRM1</w:t>
            </w:r>
          </w:p>
        </w:tc>
        <w:tc>
          <w:tcPr>
            <w:tcW w:type="dxa" w:w="4320"/>
          </w:tcPr>
          <w:p>
            <w:r>
              <w:t>Mu-opioid receptor – A118G polymorphism alters pain response and addiction risk</w:t>
            </w:r>
          </w:p>
        </w:tc>
      </w:tr>
    </w:tbl>
    <w:p>
      <w:pPr>
        <w:pStyle w:val="Heading1"/>
      </w:pPr>
      <w:r>
        <w:t>Methylation &amp; Detox</w:t>
      </w:r>
    </w:p>
    <w:tbl>
      <w:tblPr>
        <w:tblStyle w:val="TableGrid"/>
        <w:tblW w:type="auto" w:w="0"/>
        <w:tblLook w:firstColumn="1" w:firstRow="1" w:lastColumn="0" w:lastRow="0" w:noHBand="0" w:noVBand="1" w:val="04A0"/>
      </w:tblPr>
      <w:tblGrid>
        <w:gridCol w:w="4320"/>
        <w:gridCol w:w="4320"/>
      </w:tblGrid>
      <w:tr>
        <w:tc>
          <w:tcPr>
            <w:tcW w:type="dxa" w:w="4320"/>
          </w:tcPr>
          <w:p>
            <w:r>
              <w:t>Gene</w:t>
            </w:r>
          </w:p>
        </w:tc>
        <w:tc>
          <w:tcPr>
            <w:tcW w:type="dxa" w:w="4320"/>
          </w:tcPr>
          <w:p>
            <w:r>
              <w:t>Effect / Health Risk</w:t>
            </w:r>
          </w:p>
        </w:tc>
      </w:tr>
      <w:tr>
        <w:tc>
          <w:tcPr>
            <w:tcW w:type="dxa" w:w="4320"/>
          </w:tcPr>
          <w:p>
            <w:r>
              <w:t>MTHFR C677T</w:t>
            </w:r>
          </w:p>
        </w:tc>
        <w:tc>
          <w:tcPr>
            <w:tcW w:type="dxa" w:w="4320"/>
          </w:tcPr>
          <w:p>
            <w:r>
              <w:t>Methylation rate – TT variant leads to reduced neurotransmitter production, poor detox</w:t>
            </w:r>
          </w:p>
        </w:tc>
      </w:tr>
      <w:tr>
        <w:tc>
          <w:tcPr>
            <w:tcW w:type="dxa" w:w="4320"/>
          </w:tcPr>
          <w:p>
            <w:r>
              <w:t>MTR / MTRR</w:t>
            </w:r>
          </w:p>
        </w:tc>
        <w:tc>
          <w:tcPr>
            <w:tcW w:type="dxa" w:w="4320"/>
          </w:tcPr>
          <w:p>
            <w:r>
              <w:t>Methylcobalamin recycling – Impaired variants reduce SAM-e and folate availability</w:t>
            </w:r>
          </w:p>
        </w:tc>
      </w:tr>
      <w:tr>
        <w:tc>
          <w:tcPr>
            <w:tcW w:type="dxa" w:w="4320"/>
          </w:tcPr>
          <w:p>
            <w:r>
              <w:t>CBS</w:t>
            </w:r>
          </w:p>
        </w:tc>
        <w:tc>
          <w:tcPr>
            <w:tcW w:type="dxa" w:w="4320"/>
          </w:tcPr>
          <w:p>
            <w:r>
              <w:t>Homocysteine clearance – Mutations affect methylation balance and glutathione production</w:t>
            </w:r>
          </w:p>
        </w:tc>
      </w:tr>
    </w:tbl>
    <w:p>
      <w:pPr>
        <w:pStyle w:val="Heading1"/>
      </w:pPr>
      <w:r>
        <w:t>Stimulant &amp; Toxin Metabolism</w:t>
      </w:r>
    </w:p>
    <w:tbl>
      <w:tblPr>
        <w:tblStyle w:val="TableGrid"/>
        <w:tblW w:type="auto" w:w="0"/>
        <w:tblLook w:firstColumn="1" w:firstRow="1" w:lastColumn="0" w:lastRow="0" w:noHBand="0" w:noVBand="1" w:val="04A0"/>
      </w:tblPr>
      <w:tblGrid>
        <w:gridCol w:w="4320"/>
        <w:gridCol w:w="4320"/>
      </w:tblGrid>
      <w:tr>
        <w:tc>
          <w:tcPr>
            <w:tcW w:type="dxa" w:w="4320"/>
          </w:tcPr>
          <w:p>
            <w:r>
              <w:t>Gene</w:t>
            </w:r>
          </w:p>
        </w:tc>
        <w:tc>
          <w:tcPr>
            <w:tcW w:type="dxa" w:w="4320"/>
          </w:tcPr>
          <w:p>
            <w:r>
              <w:t>Effect / Health Risk</w:t>
            </w:r>
          </w:p>
        </w:tc>
      </w:tr>
      <w:tr>
        <w:tc>
          <w:tcPr>
            <w:tcW w:type="dxa" w:w="4320"/>
          </w:tcPr>
          <w:p>
            <w:r>
              <w:t>CYP1A2</w:t>
            </w:r>
          </w:p>
        </w:tc>
        <w:tc>
          <w:tcPr>
            <w:tcW w:type="dxa" w:w="4320"/>
          </w:tcPr>
          <w:p>
            <w:r>
              <w:t>Caffeine metabolism – Slow metabolizers experience anxiety, heart palpitations</w:t>
            </w:r>
          </w:p>
        </w:tc>
      </w:tr>
      <w:tr>
        <w:tc>
          <w:tcPr>
            <w:tcW w:type="dxa" w:w="4320"/>
          </w:tcPr>
          <w:p>
            <w:r>
              <w:t>CYP2D6</w:t>
            </w:r>
          </w:p>
        </w:tc>
        <w:tc>
          <w:tcPr>
            <w:tcW w:type="dxa" w:w="4320"/>
          </w:tcPr>
          <w:p>
            <w:r>
              <w:t>Opioid + stimulant metabolism – Poor metabolizers risk overdose or toxicity</w:t>
            </w:r>
          </w:p>
        </w:tc>
      </w:tr>
      <w:tr>
        <w:tc>
          <w:tcPr>
            <w:tcW w:type="dxa" w:w="4320"/>
          </w:tcPr>
          <w:p>
            <w:r>
              <w:t>CYP3A4</w:t>
            </w:r>
          </w:p>
        </w:tc>
        <w:tc>
          <w:tcPr>
            <w:tcW w:type="dxa" w:w="4320"/>
          </w:tcPr>
          <w:p>
            <w:r>
              <w:t>General detox – Impacts cocaine, GHB, and multiple drug clearance profiles</w:t>
            </w:r>
          </w:p>
        </w:tc>
      </w:tr>
    </w:tbl>
    <w:p>
      <w:pPr>
        <w:pStyle w:val="Heading1"/>
      </w:pPr>
      <w:r>
        <w:t>Neuroplasticity &amp; Stress</w:t>
      </w:r>
    </w:p>
    <w:tbl>
      <w:tblPr>
        <w:tblStyle w:val="TableGrid"/>
        <w:tblW w:type="auto" w:w="0"/>
        <w:tblLook w:firstColumn="1" w:firstRow="1" w:lastColumn="0" w:lastRow="0" w:noHBand="0" w:noVBand="1" w:val="04A0"/>
      </w:tblPr>
      <w:tblGrid>
        <w:gridCol w:w="4320"/>
        <w:gridCol w:w="4320"/>
      </w:tblGrid>
      <w:tr>
        <w:tc>
          <w:tcPr>
            <w:tcW w:type="dxa" w:w="4320"/>
          </w:tcPr>
          <w:p>
            <w:r>
              <w:t>Gene</w:t>
            </w:r>
          </w:p>
        </w:tc>
        <w:tc>
          <w:tcPr>
            <w:tcW w:type="dxa" w:w="4320"/>
          </w:tcPr>
          <w:p>
            <w:r>
              <w:t>Effect / Health Risk</w:t>
            </w:r>
          </w:p>
        </w:tc>
      </w:tr>
      <w:tr>
        <w:tc>
          <w:tcPr>
            <w:tcW w:type="dxa" w:w="4320"/>
          </w:tcPr>
          <w:p>
            <w:r>
              <w:t>BDNF Val66Met</w:t>
            </w:r>
          </w:p>
        </w:tc>
        <w:tc>
          <w:tcPr>
            <w:tcW w:type="dxa" w:w="4320"/>
          </w:tcPr>
          <w:p>
            <w:r>
              <w:t>Brain-derived neurotrophic factor – Met variant impairs integration, therapy response</w:t>
            </w:r>
          </w:p>
        </w:tc>
      </w:tr>
      <w:tr>
        <w:tc>
          <w:tcPr>
            <w:tcW w:type="dxa" w:w="4320"/>
          </w:tcPr>
          <w:p>
            <w:r>
              <w:t>OXTR</w:t>
            </w:r>
          </w:p>
        </w:tc>
        <w:tc>
          <w:tcPr>
            <w:tcW w:type="dxa" w:w="4320"/>
          </w:tcPr>
          <w:p>
            <w:r>
              <w:t>Oxytocin receptor – Variants impact empathy, bonding, MDMA therapy outcomes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