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Genomic Public Health Handbook: Substance Use Risk, Neurochemical Pathways, and Precision Prevention Protocols</w:t>
      </w:r>
    </w:p>
    <w:p>
      <w:pPr>
        <w:pStyle w:val="Heading1"/>
      </w:pPr>
      <w:r>
        <w:t>Purpose</w:t>
      </w:r>
    </w:p>
    <w:p>
      <w:r>
        <w:t>This handbook integrates genomic, biochemical, and clinical evidence related to neurochemical responses to substances of abuse. It provides detailed gene-to-chemical mapping tables, clinical impact insights, test availability, provider intervention strategies, and implementation economics for global adoption of genomic triage and methylation support in addiction medicine.</w:t>
      </w:r>
    </w:p>
    <w:p>
      <w:r>
        <w:br w:type="page"/>
      </w:r>
    </w:p>
    <w:p>
      <w:pPr>
        <w:pStyle w:val="Heading1"/>
      </w:pPr>
      <w:r>
        <w:t>Section 1: Neurochemical Gene Mapping and Risk Profiles</w:t>
      </w:r>
    </w:p>
    <w:p>
      <w:r>
        <w:br w:type="page"/>
      </w:r>
    </w:p>
    <w:p>
      <w:pPr>
        <w:pStyle w:val="Heading1"/>
      </w:pPr>
      <w:r>
        <w:t>Section 2: Genomic Testing Panels, Provider Actions, and Public Health ROI</w:t>
      </w:r>
    </w:p>
    <w:sectPr w:rsidR="00FC693F" w:rsidRPr="0006063C" w:rsidSect="00034616">
      <w:pgSz w:w="12240" w:h="15840"/>
      <w:pgMar w:top="1440" w:right="1800" w:bottom="1440" w:left="1800" w:header="720" w:footer="720" w:gutter="0"/>
      <w:cols w:space="720"/>
      <w:docGrid w:linePitch="360"/>
    </w:sectPr>
    <w:p>
      <w:pPr>
        <w:pStyle w:val="Title"/>
      </w:pPr>
      <w:r>
        <w:t>Neurochemical-Specific Genomic Risk Mapping &amp; Health Outcomes</w:t>
      </w:r>
    </w:p>
    <w:p>
      <w:r>
        <w:t>This document provides a structured reference for the genetic pathways and risk factors associated with individual neurochemicals involved in substance use disorders, stimulant sensitivity, and psychiatric vulnerability. Each neurochemical is listed separately, followed by the genes involved in its metabolism, clearance, or receptor function, and the health outcomes associated with polymorphisms in those genes.</w:t>
      </w:r>
    </w:p>
    <w:p>
      <w:pPr>
        <w:pStyle w:val="Heading1"/>
      </w:pPr>
      <w:r>
        <w:t>Dopamine</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COMT</w:t>
            </w:r>
          </w:p>
        </w:tc>
        <w:tc>
          <w:tcPr>
            <w:tcW w:type="dxa" w:w="4320"/>
          </w:tcPr>
          <w:p>
            <w:r>
              <w:t>Dopamine breakdown – Met/Met increases risk of mania, paranoia, addiction</w:t>
            </w:r>
          </w:p>
        </w:tc>
      </w:tr>
      <w:tr>
        <w:tc>
          <w:tcPr>
            <w:tcW w:type="dxa" w:w="4320"/>
          </w:tcPr>
          <w:p>
            <w:r>
              <w:t>DRD2</w:t>
            </w:r>
          </w:p>
        </w:tc>
        <w:tc>
          <w:tcPr>
            <w:tcW w:type="dxa" w:w="4320"/>
          </w:tcPr>
          <w:p>
            <w:r>
              <w:t>Dopamine receptor density – A1 allele linked to low receptor count, addiction</w:t>
            </w:r>
          </w:p>
        </w:tc>
      </w:tr>
      <w:tr>
        <w:tc>
          <w:tcPr>
            <w:tcW w:type="dxa" w:w="4320"/>
          </w:tcPr>
          <w:p>
            <w:r>
              <w:t>SLC6A3 (DAT1)</w:t>
            </w:r>
          </w:p>
        </w:tc>
        <w:tc>
          <w:tcPr>
            <w:tcW w:type="dxa" w:w="4320"/>
          </w:tcPr>
          <w:p>
            <w:r>
              <w:t>Dopamine transporter – 10-repeat variant increases stimulant reinforcement</w:t>
            </w:r>
          </w:p>
        </w:tc>
      </w:tr>
      <w:tr>
        <w:tc>
          <w:tcPr>
            <w:tcW w:type="dxa" w:w="4320"/>
          </w:tcPr>
          <w:p>
            <w:r>
              <w:t>AKT1</w:t>
            </w:r>
          </w:p>
        </w:tc>
        <w:tc>
          <w:tcPr>
            <w:tcW w:type="dxa" w:w="4320"/>
          </w:tcPr>
          <w:p>
            <w:r>
              <w:t>Dopaminergic signaling – C/C variant linked to psychosis risk from cannabis, LSD, meth</w:t>
            </w:r>
          </w:p>
        </w:tc>
      </w:tr>
    </w:tbl>
    <w:p>
      <w:pPr>
        <w:pStyle w:val="Heading1"/>
      </w:pPr>
      <w:r>
        <w:t>Serotonin</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SLC6A4 (5-HTTLPR)</w:t>
            </w:r>
          </w:p>
        </w:tc>
        <w:tc>
          <w:tcPr>
            <w:tcW w:type="dxa" w:w="4320"/>
          </w:tcPr>
          <w:p>
            <w:r>
              <w:t>Serotonin transporter – Short allele linked to anxiety, depression, suicidality</w:t>
            </w:r>
          </w:p>
        </w:tc>
      </w:tr>
      <w:tr>
        <w:tc>
          <w:tcPr>
            <w:tcW w:type="dxa" w:w="4320"/>
          </w:tcPr>
          <w:p>
            <w:r>
              <w:t>HTR2A</w:t>
            </w:r>
          </w:p>
        </w:tc>
        <w:tc>
          <w:tcPr>
            <w:tcW w:type="dxa" w:w="4320"/>
          </w:tcPr>
          <w:p>
            <w:r>
              <w:t>Serotonin receptor – T allele increases hallucinogenic sensitivity and panic risk</w:t>
            </w:r>
          </w:p>
        </w:tc>
      </w:tr>
      <w:tr>
        <w:tc>
          <w:tcPr>
            <w:tcW w:type="dxa" w:w="4320"/>
          </w:tcPr>
          <w:p>
            <w:r>
              <w:t>TPH2</w:t>
            </w:r>
          </w:p>
        </w:tc>
        <w:tc>
          <w:tcPr>
            <w:tcW w:type="dxa" w:w="4320"/>
          </w:tcPr>
          <w:p>
            <w:r>
              <w:t>Serotonin synthesis – Variants affect recovery and resilience post-psychedelic or MDMA</w:t>
            </w:r>
          </w:p>
        </w:tc>
      </w:tr>
    </w:tbl>
    <w:p>
      <w:pPr>
        <w:pStyle w:val="Heading1"/>
      </w:pPr>
      <w:r>
        <w:t>Norepinephrine</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COMT</w:t>
            </w:r>
          </w:p>
        </w:tc>
        <w:tc>
          <w:tcPr>
            <w:tcW w:type="dxa" w:w="4320"/>
          </w:tcPr>
          <w:p>
            <w:r>
              <w:t>Also clears norepinephrine – Met/Met leads to emotional flooding, agitation</w:t>
            </w:r>
          </w:p>
        </w:tc>
      </w:tr>
      <w:tr>
        <w:tc>
          <w:tcPr>
            <w:tcW w:type="dxa" w:w="4320"/>
          </w:tcPr>
          <w:p>
            <w:r>
              <w:t>MAOA</w:t>
            </w:r>
          </w:p>
        </w:tc>
        <w:tc>
          <w:tcPr>
            <w:tcW w:type="dxa" w:w="4320"/>
          </w:tcPr>
          <w:p>
            <w:r>
              <w:t>Monoamine breakdown – Low activity linked to aggression, rage under stimulants</w:t>
            </w:r>
          </w:p>
        </w:tc>
      </w:tr>
      <w:tr>
        <w:tc>
          <w:tcPr>
            <w:tcW w:type="dxa" w:w="4320"/>
          </w:tcPr>
          <w:p>
            <w:r>
              <w:t>MAOB</w:t>
            </w:r>
          </w:p>
        </w:tc>
        <w:tc>
          <w:tcPr>
            <w:tcW w:type="dxa" w:w="4320"/>
          </w:tcPr>
          <w:p>
            <w:r>
              <w:t>Supports breakdown – Homozygous variants raise risk of dopamine/NE overload</w:t>
            </w:r>
          </w:p>
        </w:tc>
      </w:tr>
    </w:tbl>
    <w:p>
      <w:pPr>
        <w:pStyle w:val="Heading1"/>
      </w:pPr>
      <w:r>
        <w:t>Glutamate</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GRIN2A / GRIN2B</w:t>
            </w:r>
          </w:p>
        </w:tc>
        <w:tc>
          <w:tcPr>
            <w:tcW w:type="dxa" w:w="4320"/>
          </w:tcPr>
          <w:p>
            <w:r>
              <w:t>NMDA receptor subunits – Variants linked to ketamine/LSD-induced psychosis</w:t>
            </w:r>
          </w:p>
        </w:tc>
      </w:tr>
      <w:tr>
        <w:tc>
          <w:tcPr>
            <w:tcW w:type="dxa" w:w="4320"/>
          </w:tcPr>
          <w:p>
            <w:r>
              <w:t>SLC1A1</w:t>
            </w:r>
          </w:p>
        </w:tc>
        <w:tc>
          <w:tcPr>
            <w:tcW w:type="dxa" w:w="4320"/>
          </w:tcPr>
          <w:p>
            <w:r>
              <w:t>Glutamate transporter – Linked to OCD, stimulant overstimulation, neurotoxicity</w:t>
            </w:r>
          </w:p>
        </w:tc>
      </w:tr>
    </w:tbl>
    <w:p>
      <w:pPr>
        <w:pStyle w:val="Heading1"/>
      </w:pPr>
      <w:r>
        <w:t>GABA</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GABRA2</w:t>
            </w:r>
          </w:p>
        </w:tc>
        <w:tc>
          <w:tcPr>
            <w:tcW w:type="dxa" w:w="4320"/>
          </w:tcPr>
          <w:p>
            <w:r>
              <w:t>GABA-A receptor subunit – Variants linked to alcohol abuse, benzodiazepine sensitivity</w:t>
            </w:r>
          </w:p>
        </w:tc>
      </w:tr>
      <w:tr>
        <w:tc>
          <w:tcPr>
            <w:tcW w:type="dxa" w:w="4320"/>
          </w:tcPr>
          <w:p>
            <w:r>
              <w:t>GABRB3</w:t>
            </w:r>
          </w:p>
        </w:tc>
        <w:tc>
          <w:tcPr>
            <w:tcW w:type="dxa" w:w="4320"/>
          </w:tcPr>
          <w:p>
            <w:r>
              <w:t>Beta subunit – Associated with anxiety, sensory processing issues, sedation response</w:t>
            </w:r>
          </w:p>
        </w:tc>
      </w:tr>
      <w:tr>
        <w:tc>
          <w:tcPr>
            <w:tcW w:type="dxa" w:w="4320"/>
          </w:tcPr>
          <w:p>
            <w:r>
              <w:t>GABRG1</w:t>
            </w:r>
          </w:p>
        </w:tc>
        <w:tc>
          <w:tcPr>
            <w:tcW w:type="dxa" w:w="4320"/>
          </w:tcPr>
          <w:p>
            <w:r>
              <w:t>Gamma subunit – Involved in receptor modulation, affects alcohol craving</w:t>
            </w:r>
          </w:p>
        </w:tc>
      </w:tr>
    </w:tbl>
    <w:p>
      <w:pPr>
        <w:pStyle w:val="Heading1"/>
      </w:pPr>
      <w:r>
        <w:t>Endocannabinoids</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CNR1</w:t>
            </w:r>
          </w:p>
        </w:tc>
        <w:tc>
          <w:tcPr>
            <w:tcW w:type="dxa" w:w="4320"/>
          </w:tcPr>
          <w:p>
            <w:r>
              <w:t>Cannabinoid receptor – Variants linked to anxiety, addiction, memory loss</w:t>
            </w:r>
          </w:p>
        </w:tc>
      </w:tr>
      <w:tr>
        <w:tc>
          <w:tcPr>
            <w:tcW w:type="dxa" w:w="4320"/>
          </w:tcPr>
          <w:p>
            <w:r>
              <w:t>FAAH</w:t>
            </w:r>
          </w:p>
        </w:tc>
        <w:tc>
          <w:tcPr>
            <w:tcW w:type="dxa" w:w="4320"/>
          </w:tcPr>
          <w:p>
            <w:r>
              <w:t>Endocannabinoid breakdown – C385A linked to enhanced reward sensitivity, addiction</w:t>
            </w:r>
          </w:p>
        </w:tc>
      </w:tr>
    </w:tbl>
    <w:p>
      <w:pPr>
        <w:pStyle w:val="Heading1"/>
      </w:pPr>
      <w:r>
        <w:t>Opioid System</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OPRM1</w:t>
            </w:r>
          </w:p>
        </w:tc>
        <w:tc>
          <w:tcPr>
            <w:tcW w:type="dxa" w:w="4320"/>
          </w:tcPr>
          <w:p>
            <w:r>
              <w:t>Mu-opioid receptor – A118G polymorphism alters pain response and addiction risk</w:t>
            </w:r>
          </w:p>
        </w:tc>
      </w:tr>
    </w:tbl>
    <w:p>
      <w:pPr>
        <w:pStyle w:val="Heading1"/>
      </w:pPr>
      <w:r>
        <w:t>Methylation &amp; Detox</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MTHFR C677T</w:t>
            </w:r>
          </w:p>
        </w:tc>
        <w:tc>
          <w:tcPr>
            <w:tcW w:type="dxa" w:w="4320"/>
          </w:tcPr>
          <w:p>
            <w:r>
              <w:t>Methylation rate – TT variant leads to reduced neurotransmitter production, poor detox</w:t>
            </w:r>
          </w:p>
        </w:tc>
      </w:tr>
      <w:tr>
        <w:tc>
          <w:tcPr>
            <w:tcW w:type="dxa" w:w="4320"/>
          </w:tcPr>
          <w:p>
            <w:r>
              <w:t>MTR / MTRR</w:t>
            </w:r>
          </w:p>
        </w:tc>
        <w:tc>
          <w:tcPr>
            <w:tcW w:type="dxa" w:w="4320"/>
          </w:tcPr>
          <w:p>
            <w:r>
              <w:t>Methylcobalamin recycling – Impaired variants reduce SAM-e and folate availability</w:t>
            </w:r>
          </w:p>
        </w:tc>
      </w:tr>
      <w:tr>
        <w:tc>
          <w:tcPr>
            <w:tcW w:type="dxa" w:w="4320"/>
          </w:tcPr>
          <w:p>
            <w:r>
              <w:t>CBS</w:t>
            </w:r>
          </w:p>
        </w:tc>
        <w:tc>
          <w:tcPr>
            <w:tcW w:type="dxa" w:w="4320"/>
          </w:tcPr>
          <w:p>
            <w:r>
              <w:t>Homocysteine clearance – Mutations affect methylation balance and glutathione production</w:t>
            </w:r>
          </w:p>
        </w:tc>
      </w:tr>
    </w:tbl>
    <w:p>
      <w:pPr>
        <w:pStyle w:val="Heading1"/>
      </w:pPr>
      <w:r>
        <w:t>Stimulant &amp; Toxin Metabolism</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CYP1A2</w:t>
            </w:r>
          </w:p>
        </w:tc>
        <w:tc>
          <w:tcPr>
            <w:tcW w:type="dxa" w:w="4320"/>
          </w:tcPr>
          <w:p>
            <w:r>
              <w:t>Caffeine metabolism – Slow metabolizers experience anxiety, heart palpitations</w:t>
            </w:r>
          </w:p>
        </w:tc>
      </w:tr>
      <w:tr>
        <w:tc>
          <w:tcPr>
            <w:tcW w:type="dxa" w:w="4320"/>
          </w:tcPr>
          <w:p>
            <w:r>
              <w:t>CYP2D6</w:t>
            </w:r>
          </w:p>
        </w:tc>
        <w:tc>
          <w:tcPr>
            <w:tcW w:type="dxa" w:w="4320"/>
          </w:tcPr>
          <w:p>
            <w:r>
              <w:t>Opioid + stimulant metabolism – Poor metabolizers risk overdose or toxicity</w:t>
            </w:r>
          </w:p>
        </w:tc>
      </w:tr>
      <w:tr>
        <w:tc>
          <w:tcPr>
            <w:tcW w:type="dxa" w:w="4320"/>
          </w:tcPr>
          <w:p>
            <w:r>
              <w:t>CYP3A4</w:t>
            </w:r>
          </w:p>
        </w:tc>
        <w:tc>
          <w:tcPr>
            <w:tcW w:type="dxa" w:w="4320"/>
          </w:tcPr>
          <w:p>
            <w:r>
              <w:t>General detox – Impacts cocaine, GHB, and multiple drug clearance profiles</w:t>
            </w:r>
          </w:p>
        </w:tc>
      </w:tr>
    </w:tbl>
    <w:p>
      <w:pPr>
        <w:pStyle w:val="Heading1"/>
      </w:pPr>
      <w:r>
        <w:t>Neuroplasticity &amp; Stress</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BDNF Val66Met</w:t>
            </w:r>
          </w:p>
        </w:tc>
        <w:tc>
          <w:tcPr>
            <w:tcW w:type="dxa" w:w="4320"/>
          </w:tcPr>
          <w:p>
            <w:r>
              <w:t>Brain-derived neurotrophic factor – Met variant impairs integration, therapy response</w:t>
            </w:r>
          </w:p>
        </w:tc>
      </w:tr>
      <w:tr>
        <w:tc>
          <w:tcPr>
            <w:tcW w:type="dxa" w:w="4320"/>
          </w:tcPr>
          <w:p>
            <w:r>
              <w:t>OXTR</w:t>
            </w:r>
          </w:p>
        </w:tc>
        <w:tc>
          <w:tcPr>
            <w:tcW w:type="dxa" w:w="4320"/>
          </w:tcPr>
          <w:p>
            <w:r>
              <w:t>Oxytocin receptor – Variants impact empathy, bonding, MDMA therapy outcomes</w:t>
            </w:r>
          </w:p>
        </w:tc>
      </w:tr>
    </w:tbl>
    <w:sectPr w:rsidR="00FC693F" w:rsidRPr="0006063C" w:rsidSect="00034616">
      <w:pgSz w:w="12240" w:h="15840"/>
      <w:pgMar w:top="1440" w:right="1800" w:bottom="1440" w:left="1800" w:header="720" w:footer="720" w:gutter="0"/>
      <w:cols w:space="720"/>
      <w:docGrid w:linePitch="360"/>
    </w:sectPr>
    <w:p>
      <w:pPr>
        <w:pStyle w:val="Title"/>
      </w:pPr>
      <w:r>
        <w:t>Genomic Testing: Table of Neurochemical Targets, Test Panels, and Clinical Impact</w:t>
      </w:r>
    </w:p>
    <w:p>
      <w:r>
        <w:t>This document expands the genomic-neurochemical mapping framework by linking each neurochemical system to available genetic tests, approximate costs, test origins, clinical insights gained, and specific changes a provider may make to treatment protocols as a result. It includes an estimation of public health and clinical impact.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Neurochemical</w:t>
            </w:r>
          </w:p>
        </w:tc>
        <w:tc>
          <w:tcPr>
            <w:tcW w:type="dxa" w:w="1080"/>
          </w:tcPr>
          <w:p>
            <w:r>
              <w:t>Genes Tested</w:t>
            </w:r>
          </w:p>
        </w:tc>
        <w:tc>
          <w:tcPr>
            <w:tcW w:type="dxa" w:w="1080"/>
          </w:tcPr>
          <w:p>
            <w:r>
              <w:t>Test Panels</w:t>
            </w:r>
          </w:p>
        </w:tc>
        <w:tc>
          <w:tcPr>
            <w:tcW w:type="dxa" w:w="1080"/>
          </w:tcPr>
          <w:p>
            <w:r>
              <w:t>Cost</w:t>
            </w:r>
          </w:p>
        </w:tc>
        <w:tc>
          <w:tcPr>
            <w:tcW w:type="dxa" w:w="1080"/>
          </w:tcPr>
          <w:p>
            <w:r>
              <w:t>Origin</w:t>
            </w:r>
          </w:p>
        </w:tc>
        <w:tc>
          <w:tcPr>
            <w:tcW w:type="dxa" w:w="1080"/>
          </w:tcPr>
          <w:p>
            <w:r>
              <w:t>New Insights</w:t>
            </w:r>
          </w:p>
        </w:tc>
        <w:tc>
          <w:tcPr>
            <w:tcW w:type="dxa" w:w="1080"/>
          </w:tcPr>
          <w:p>
            <w:r>
              <w:t>Provider Impact</w:t>
            </w:r>
          </w:p>
        </w:tc>
        <w:tc>
          <w:tcPr>
            <w:tcW w:type="dxa" w:w="1080"/>
          </w:tcPr>
          <w:p>
            <w:r>
              <w:t>Estimated Impact</w:t>
            </w:r>
          </w:p>
        </w:tc>
      </w:tr>
      <w:tr>
        <w:tc>
          <w:tcPr>
            <w:tcW w:type="dxa" w:w="1080"/>
          </w:tcPr>
          <w:p>
            <w:r>
              <w:t>Dopamine</w:t>
            </w:r>
          </w:p>
        </w:tc>
        <w:tc>
          <w:tcPr>
            <w:tcW w:type="dxa" w:w="1080"/>
          </w:tcPr>
          <w:p>
            <w:r>
              <w:t>COMT, DRD2, SLC6A3 (DAT1), AKT1</w:t>
            </w:r>
          </w:p>
        </w:tc>
        <w:tc>
          <w:tcPr>
            <w:tcW w:type="dxa" w:w="1080"/>
          </w:tcPr>
          <w:p>
            <w:r>
              <w:t>Genomind, GeneSight, DNA Mind</w:t>
            </w:r>
          </w:p>
        </w:tc>
        <w:tc>
          <w:tcPr>
            <w:tcW w:type="dxa" w:w="1080"/>
          </w:tcPr>
          <w:p>
            <w:r>
              <w:t>$300–$500</w:t>
            </w:r>
          </w:p>
        </w:tc>
        <w:tc>
          <w:tcPr>
            <w:tcW w:type="dxa" w:w="1080"/>
          </w:tcPr>
          <w:p>
            <w:r>
              <w:t>USA, South Africa, UK</w:t>
            </w:r>
          </w:p>
        </w:tc>
        <w:tc>
          <w:tcPr>
            <w:tcW w:type="dxa" w:w="1080"/>
          </w:tcPr>
          <w:p>
            <w:r>
              <w:t>Risk of stimulant addiction, reward deficiency, dopaminergic overload, psychosis risk</w:t>
            </w:r>
          </w:p>
        </w:tc>
        <w:tc>
          <w:tcPr>
            <w:tcW w:type="dxa" w:w="1080"/>
          </w:tcPr>
          <w:p>
            <w:r>
              <w:t>Alter stimulant prescribing (e.g., lower amphetamine dose), monitor for mania, integrate trauma-informed care</w:t>
            </w:r>
          </w:p>
        </w:tc>
        <w:tc>
          <w:tcPr>
            <w:tcW w:type="dxa" w:w="1080"/>
          </w:tcPr>
          <w:p>
            <w:r>
              <w:t>25–40% reduced stimulant relapse; improved med adherence and outcome prediction</w:t>
            </w:r>
          </w:p>
        </w:tc>
      </w:tr>
      <w:tr>
        <w:tc>
          <w:tcPr>
            <w:tcW w:type="dxa" w:w="1080"/>
          </w:tcPr>
          <w:p>
            <w:r>
              <w:t>Serotonin</w:t>
            </w:r>
          </w:p>
        </w:tc>
        <w:tc>
          <w:tcPr>
            <w:tcW w:type="dxa" w:w="1080"/>
          </w:tcPr>
          <w:p>
            <w:r>
              <w:t>SLC6A4, HTR2A, TPH2</w:t>
            </w:r>
          </w:p>
        </w:tc>
        <w:tc>
          <w:tcPr>
            <w:tcW w:type="dxa" w:w="1080"/>
          </w:tcPr>
          <w:p>
            <w:r>
              <w:t>GeneSight, DNA Mind, Genomind</w:t>
            </w:r>
          </w:p>
        </w:tc>
        <w:tc>
          <w:tcPr>
            <w:tcW w:type="dxa" w:w="1080"/>
          </w:tcPr>
          <w:p>
            <w:r>
              <w:t>$250–$400</w:t>
            </w:r>
          </w:p>
        </w:tc>
        <w:tc>
          <w:tcPr>
            <w:tcW w:type="dxa" w:w="1080"/>
          </w:tcPr>
          <w:p>
            <w:r>
              <w:t>USA, Europe</w:t>
            </w:r>
          </w:p>
        </w:tc>
        <w:tc>
          <w:tcPr>
            <w:tcW w:type="dxa" w:w="1080"/>
          </w:tcPr>
          <w:p>
            <w:r>
              <w:t>SSRI sensitivity, MDMA risk, psychedelic emotional fallout prediction</w:t>
            </w:r>
          </w:p>
        </w:tc>
        <w:tc>
          <w:tcPr>
            <w:tcW w:type="dxa" w:w="1080"/>
          </w:tcPr>
          <w:p>
            <w:r>
              <w:t>Modify antidepressant choice, extend integration sessions for psychedelic therapy</w:t>
            </w:r>
          </w:p>
        </w:tc>
        <w:tc>
          <w:tcPr>
            <w:tcW w:type="dxa" w:w="1080"/>
          </w:tcPr>
          <w:p>
            <w:r>
              <w:t>15–30% fewer adverse med events; improved outcomes in MDMA/LSD therapy</w:t>
            </w:r>
          </w:p>
        </w:tc>
      </w:tr>
      <w:tr>
        <w:tc>
          <w:tcPr>
            <w:tcW w:type="dxa" w:w="1080"/>
          </w:tcPr>
          <w:p>
            <w:r>
              <w:t>GABA</w:t>
            </w:r>
          </w:p>
        </w:tc>
        <w:tc>
          <w:tcPr>
            <w:tcW w:type="dxa" w:w="1080"/>
          </w:tcPr>
          <w:p>
            <w:r>
              <w:t>GABRA2, GABRB3, GABRG1</w:t>
            </w:r>
          </w:p>
        </w:tc>
        <w:tc>
          <w:tcPr>
            <w:tcW w:type="dxa" w:w="1080"/>
          </w:tcPr>
          <w:p>
            <w:r>
              <w:t>SelfDecode, Genomind</w:t>
            </w:r>
          </w:p>
        </w:tc>
        <w:tc>
          <w:tcPr>
            <w:tcW w:type="dxa" w:w="1080"/>
          </w:tcPr>
          <w:p>
            <w:r>
              <w:t>$150–$300</w:t>
            </w:r>
          </w:p>
        </w:tc>
        <w:tc>
          <w:tcPr>
            <w:tcW w:type="dxa" w:w="1080"/>
          </w:tcPr>
          <w:p>
            <w:r>
              <w:t>USA</w:t>
            </w:r>
          </w:p>
        </w:tc>
        <w:tc>
          <w:tcPr>
            <w:tcW w:type="dxa" w:w="1080"/>
          </w:tcPr>
          <w:p>
            <w:r>
              <w:t>Alcohol dependence risk, sedative reaction prediction</w:t>
            </w:r>
          </w:p>
        </w:tc>
        <w:tc>
          <w:tcPr>
            <w:tcW w:type="dxa" w:w="1080"/>
          </w:tcPr>
          <w:p>
            <w:r>
              <w:t>Avoid benzodiazepines in GABA-sensitive patients; offer GABA support nutrients</w:t>
            </w:r>
          </w:p>
        </w:tc>
        <w:tc>
          <w:tcPr>
            <w:tcW w:type="dxa" w:w="1080"/>
          </w:tcPr>
          <w:p>
            <w:r>
              <w:t>20–35% reduction in alcohol overuse and ER sedation mismanagement</w:t>
            </w:r>
          </w:p>
        </w:tc>
      </w:tr>
      <w:tr>
        <w:tc>
          <w:tcPr>
            <w:tcW w:type="dxa" w:w="1080"/>
          </w:tcPr>
          <w:p>
            <w:r>
              <w:t>Endocannabinoids</w:t>
            </w:r>
          </w:p>
        </w:tc>
        <w:tc>
          <w:tcPr>
            <w:tcW w:type="dxa" w:w="1080"/>
          </w:tcPr>
          <w:p>
            <w:r>
              <w:t>CNR1, FAAH</w:t>
            </w:r>
          </w:p>
        </w:tc>
        <w:tc>
          <w:tcPr>
            <w:tcW w:type="dxa" w:w="1080"/>
          </w:tcPr>
          <w:p>
            <w:r>
              <w:t>SelfDecode, Genetic Genie, DNA Life</w:t>
            </w:r>
          </w:p>
        </w:tc>
        <w:tc>
          <w:tcPr>
            <w:tcW w:type="dxa" w:w="1080"/>
          </w:tcPr>
          <w:p>
            <w:r>
              <w:t>$99–$250</w:t>
            </w:r>
          </w:p>
        </w:tc>
        <w:tc>
          <w:tcPr>
            <w:tcW w:type="dxa" w:w="1080"/>
          </w:tcPr>
          <w:p>
            <w:r>
              <w:t>Global (consumer and clinical)</w:t>
            </w:r>
          </w:p>
        </w:tc>
        <w:tc>
          <w:tcPr>
            <w:tcW w:type="dxa" w:w="1080"/>
          </w:tcPr>
          <w:p>
            <w:r>
              <w:t>Cannabis-induced psychosis risk, addiction vulnerability</w:t>
            </w:r>
          </w:p>
        </w:tc>
        <w:tc>
          <w:tcPr>
            <w:tcW w:type="dxa" w:w="1080"/>
          </w:tcPr>
          <w:p>
            <w:r>
              <w:t>Advise against cannabis or THC therapy in high-risk genotypes; increase psychiatric monitoring</w:t>
            </w:r>
          </w:p>
        </w:tc>
        <w:tc>
          <w:tcPr>
            <w:tcW w:type="dxa" w:w="1080"/>
          </w:tcPr>
          <w:p>
            <w:r>
              <w:t>30–50% reduction in psychosis relapses and cannabis misuse</w:t>
            </w:r>
          </w:p>
        </w:tc>
      </w:tr>
      <w:tr>
        <w:tc>
          <w:tcPr>
            <w:tcW w:type="dxa" w:w="1080"/>
          </w:tcPr>
          <w:p>
            <w:r>
              <w:t>Methylation &amp; Detox</w:t>
            </w:r>
          </w:p>
        </w:tc>
        <w:tc>
          <w:tcPr>
            <w:tcW w:type="dxa" w:w="1080"/>
          </w:tcPr>
          <w:p>
            <w:r>
              <w:t>MTHFR, MTR, MTRR, CBS</w:t>
            </w:r>
          </w:p>
        </w:tc>
        <w:tc>
          <w:tcPr>
            <w:tcW w:type="dxa" w:w="1080"/>
          </w:tcPr>
          <w:p>
            <w:r>
              <w:t>Genetic Genie, Methylation Panel, MaxGen</w:t>
            </w:r>
          </w:p>
        </w:tc>
        <w:tc>
          <w:tcPr>
            <w:tcW w:type="dxa" w:w="1080"/>
          </w:tcPr>
          <w:p>
            <w:r>
              <w:t>$150–$300</w:t>
            </w:r>
          </w:p>
        </w:tc>
        <w:tc>
          <w:tcPr>
            <w:tcW w:type="dxa" w:w="1080"/>
          </w:tcPr>
          <w:p>
            <w:r>
              <w:t>USA, Europe</w:t>
            </w:r>
          </w:p>
        </w:tc>
        <w:tc>
          <w:tcPr>
            <w:tcW w:type="dxa" w:w="1080"/>
          </w:tcPr>
          <w:p>
            <w:r>
              <w:t>Ability to detox neurotransmitters, methyl donor deficiencies</w:t>
            </w:r>
          </w:p>
        </w:tc>
        <w:tc>
          <w:tcPr>
            <w:tcW w:type="dxa" w:w="1080"/>
          </w:tcPr>
          <w:p>
            <w:r>
              <w:t>Introduce SAM-e, methyl B12, TMG, folinic acid into recovery plans; monitor homocysteine</w:t>
            </w:r>
          </w:p>
        </w:tc>
        <w:tc>
          <w:tcPr>
            <w:tcW w:type="dxa" w:w="1080"/>
          </w:tcPr>
          <w:p>
            <w:r>
              <w:t>30–40% reduction in post-use depression, relapse, and cognitive decline</w:t>
            </w:r>
          </w:p>
        </w:tc>
      </w:tr>
      <w:tr>
        <w:tc>
          <w:tcPr>
            <w:tcW w:type="dxa" w:w="1080"/>
          </w:tcPr>
          <w:p>
            <w:r>
              <w:t>Caffeine &amp; Toxin Metabolism</w:t>
            </w:r>
          </w:p>
        </w:tc>
        <w:tc>
          <w:tcPr>
            <w:tcW w:type="dxa" w:w="1080"/>
          </w:tcPr>
          <w:p>
            <w:r>
              <w:t>CYP1A2, CYP2D6, CYP3A4</w:t>
            </w:r>
          </w:p>
        </w:tc>
        <w:tc>
          <w:tcPr>
            <w:tcW w:type="dxa" w:w="1080"/>
          </w:tcPr>
          <w:p>
            <w:r>
              <w:t>SelfDecode, DNA Fit, Genomind PGx</w:t>
            </w:r>
          </w:p>
        </w:tc>
        <w:tc>
          <w:tcPr>
            <w:tcW w:type="dxa" w:w="1080"/>
          </w:tcPr>
          <w:p>
            <w:r>
              <w:t>$150–$300</w:t>
            </w:r>
          </w:p>
        </w:tc>
        <w:tc>
          <w:tcPr>
            <w:tcW w:type="dxa" w:w="1080"/>
          </w:tcPr>
          <w:p>
            <w:r>
              <w:t>USA, UK, South Africa</w:t>
            </w:r>
          </w:p>
        </w:tc>
        <w:tc>
          <w:tcPr>
            <w:tcW w:type="dxa" w:w="1080"/>
          </w:tcPr>
          <w:p>
            <w:r>
              <w:t>Caffeine sensitivity, stimulant overdose risk, hepatic stress prediction</w:t>
            </w:r>
          </w:p>
        </w:tc>
        <w:tc>
          <w:tcPr>
            <w:tcW w:type="dxa" w:w="1080"/>
          </w:tcPr>
          <w:p>
            <w:r>
              <w:t>Avoid high-caffeine drugs or slow-metabolized medications; offer detox and liver support</w:t>
            </w:r>
          </w:p>
        </w:tc>
        <w:tc>
          <w:tcPr>
            <w:tcW w:type="dxa" w:w="1080"/>
          </w:tcPr>
          <w:p>
            <w:r>
              <w:t>10–20% fewer stimulant side effects; optimized stimulant therapy outcomes</w:t>
            </w:r>
          </w:p>
        </w:tc>
      </w:tr>
      <w:tr>
        <w:tc>
          <w:tcPr>
            <w:tcW w:type="dxa" w:w="1080"/>
          </w:tcPr>
          <w:p>
            <w:r>
              <w:t>Neuroplasticity &amp; Empathy</w:t>
            </w:r>
          </w:p>
        </w:tc>
        <w:tc>
          <w:tcPr>
            <w:tcW w:type="dxa" w:w="1080"/>
          </w:tcPr>
          <w:p>
            <w:r>
              <w:t>BDNF, OXTR</w:t>
            </w:r>
          </w:p>
        </w:tc>
        <w:tc>
          <w:tcPr>
            <w:tcW w:type="dxa" w:w="1080"/>
          </w:tcPr>
          <w:p>
            <w:r>
              <w:t>DNA Mind, Genomind</w:t>
            </w:r>
          </w:p>
        </w:tc>
        <w:tc>
          <w:tcPr>
            <w:tcW w:type="dxa" w:w="1080"/>
          </w:tcPr>
          <w:p>
            <w:r>
              <w:t>$150–$250</w:t>
            </w:r>
          </w:p>
        </w:tc>
        <w:tc>
          <w:tcPr>
            <w:tcW w:type="dxa" w:w="1080"/>
          </w:tcPr>
          <w:p>
            <w:r>
              <w:t>South Africa, USA</w:t>
            </w:r>
          </w:p>
        </w:tc>
        <w:tc>
          <w:tcPr>
            <w:tcW w:type="dxa" w:w="1080"/>
          </w:tcPr>
          <w:p>
            <w:r>
              <w:t>Response to therapy, MDMA/LSD integration success likelihood</w:t>
            </w:r>
          </w:p>
        </w:tc>
        <w:tc>
          <w:tcPr>
            <w:tcW w:type="dxa" w:w="1080"/>
          </w:tcPr>
          <w:p>
            <w:r>
              <w:t>Adapt integration window, extend therapy duration, introduce oxytocin-related interventions</w:t>
            </w:r>
          </w:p>
        </w:tc>
        <w:tc>
          <w:tcPr>
            <w:tcW w:type="dxa" w:w="1080"/>
          </w:tcPr>
          <w:p>
            <w:r>
              <w:t>20–30% increase in sustained therapy results and client satisfaction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