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Neurogenomic Sovereignty: A Scalable Global Framework for Genomic and Methylation-Based Prevention of Substance Use Disorders</w:t>
      </w:r>
    </w:p>
    <w:p>
      <w:pPr>
        <w:pStyle w:val="Heading1"/>
      </w:pPr>
      <w:r>
        <w:t>Executive Summary</w:t>
      </w:r>
    </w:p>
    <w:p>
      <w:r>
        <w:t>Substance use disorders (SUDs) and stimulant-related neurotoxicity represent a trillion-dollar burden on global health systems. Current treatment models are reactive, not preventive. This whitepaper proposes a genomic and methylation-based framework—anchored in key genetic regulators like MTHFR, COMT, CYP1A2, and DRD2—that could transform addiction care worldwide. By targeting the biochemical root causes of addiction vulnerability, this model forecasts a 30x ROI in under 5 years, reducing global healthcare and justice system costs by over $3 trillion annually.</w:t>
      </w:r>
    </w:p>
    <w:p>
      <w:pPr>
        <w:pStyle w:val="Heading1"/>
      </w:pPr>
      <w:r>
        <w:t>1. Introduction &amp; Global Burden</w:t>
      </w:r>
    </w:p>
    <w:p>
      <w:r>
        <w:t>Substance abuse is not simply a behavioral issue; it is rooted in neurochemistry. Globally, substance use disorders cost over $4.5 trillion annually. Despite widespread harm, interventions remain disconnected from the biological predispositions of individuals. Genomic medicine offers a path forward.</w:t>
      </w:r>
    </w:p>
    <w:p>
      <w:pPr>
        <w:pStyle w:val="Heading1"/>
      </w:pPr>
      <w:r>
        <w:t>2. Biochemical Root Causes</w:t>
      </w:r>
    </w:p>
    <w:p>
      <w:r>
        <w:t>Two core genetic pathways regulate nervous system resilience: MTHFR-mediated methylation and COMT-regulated catecholamine metabolism. When impaired, these genes lead to poor detoxification, emotional dysregulation, and heightened addiction vulnerability across substances.</w:t>
      </w:r>
    </w:p>
    <w:p>
      <w:pPr>
        <w:pStyle w:val="Heading1"/>
      </w:pPr>
      <w:r>
        <w:t>3. The Genomic Protocol</w:t>
      </w:r>
    </w:p>
    <w:p>
      <w:r>
        <w:t>Key genes: MTHFR (methylation), COMT (dopamine breakdown), CYP1A2 (caffeine metabolism), DRD2 (dopamine receptor density), SLC6A3 (dopamine transporter), MAOA/MAOB (monoamine breakdown), AKT1 (dopaminergic psychosis risk). These are one-time tests that inform lifelong risk management and care optimization.</w:t>
      </w:r>
    </w:p>
    <w:p>
      <w:pPr>
        <w:pStyle w:val="Heading1"/>
      </w:pPr>
      <w:r>
        <w:t>4. Clinical Applications by Substance</w:t>
      </w:r>
    </w:p>
    <w:p>
      <w:r>
        <w:t>Alcohol: MTHFR TT increases toxicity; COMT Met/Met raises binge risk.</w:t>
        <w:br/>
        <w:t>Opioids: Slow methylation reduces endogenous endorphin function; high COMT activity increases craving.</w:t>
        <w:br/>
        <w:t>Cannabis, MDMA, LSD: COMT + AKT1 genotypes predict psychosis risk.</w:t>
        <w:br/>
        <w:t>Cocaine, Meth: DAT1, COMT, DRD2, and MAOA drive aggression and addiction severity.</w:t>
        <w:br/>
        <w:t>Caffeine: CYP1A2 and COMT determine anxiety sensitivity and insomnia thresholds.</w:t>
      </w:r>
    </w:p>
    <w:p>
      <w:pPr>
        <w:pStyle w:val="Heading1"/>
      </w:pPr>
      <w:r>
        <w:t>5. Infrastructure and Cost Model</w:t>
      </w:r>
    </w:p>
    <w:p>
      <w:r>
        <w:t>Global rollout to 800 million high-risk individuals:</w:t>
        <w:br/>
        <w:t>- One-time genomic test (~$400) = $320B</w:t>
        <w:br/>
        <w:t>- Supplement support (~$200/year) = $160B/year</w:t>
        <w:br/>
        <w:t>- Health IT, counseling, training = $80B amortized</w:t>
        <w:br/>
        <w:t>Year 1 cost: ~$560B</w:t>
        <w:br/>
        <w:t>Ongoing cost: ~$160B/year</w:t>
      </w:r>
    </w:p>
    <w:p>
      <w:pPr>
        <w:pStyle w:val="Heading1"/>
      </w:pPr>
      <w:r>
        <w:t>6. Year-over-Year Global Impact</w:t>
      </w:r>
    </w:p>
    <w:p>
      <w:r>
        <w:t>Year 1: $560B cost → $1.5T in savings</w:t>
        <w:br/>
        <w:t>Year 2 onward: $160B/year → $3T+ in annual benefits</w:t>
        <w:br/>
        <w:t>5-Year ROI: &gt;30x</w:t>
        <w:br/>
        <w:t>DALYs saved: 250–400M</w:t>
        <w:br/>
        <w:t>Lives saved: 7–10M</w:t>
        <w:br/>
        <w:t>Productivity gains: $10–12T</w:t>
      </w:r>
    </w:p>
    <w:p>
      <w:pPr>
        <w:pStyle w:val="Heading1"/>
      </w:pPr>
      <w:r>
        <w:t>7. Recommendations for UN Bodies and Member States</w:t>
      </w:r>
    </w:p>
    <w:p>
      <w:r>
        <w:t>- Adopt genomic-methylation screening in public addiction care.</w:t>
        <w:br/>
        <w:t>- Fund national pilot programs for high-risk populations.</w:t>
        <w:br/>
        <w:t>- Incentivize preventive neurochemical support (SAM-e, B12, NAC).</w:t>
        <w:br/>
        <w:t>- Recognize addiction as neurobiological in origin, not purely behavioral.</w:t>
      </w:r>
    </w:p>
    <w:p>
      <w:pPr>
        <w:pStyle w:val="Heading1"/>
      </w:pPr>
      <w:r>
        <w:t>Appendices</w:t>
      </w:r>
    </w:p>
    <w:p>
      <w:r>
        <w:t>See accompanying toolkit and investment pitch materials for implementation guides and funding mechanisms.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