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70C5C" w14:textId="77777777" w:rsidR="00B74705" w:rsidRPr="00B74705" w:rsidRDefault="00B74705" w:rsidP="00B747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705">
        <w:rPr>
          <w:rFonts w:ascii="Times New Roman" w:eastAsia="Times New Roman" w:hAnsi="Times New Roman" w:cs="Times New Roman"/>
          <w:b/>
          <w:bCs/>
          <w:kern w:val="36"/>
          <w:sz w:val="48"/>
          <w:szCs w:val="48"/>
          <w14:ligatures w14:val="none"/>
        </w:rPr>
        <w:t>THE RECOVERY KERNEL</w:t>
      </w:r>
    </w:p>
    <w:p w14:paraId="489202EF"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MS Mincho" w:eastAsia="MS Mincho" w:hAnsi="MS Mincho" w:cs="MS Mincho" w:hint="eastAsia"/>
          <w:kern w:val="0"/>
          <w14:ligatures w14:val="none"/>
        </w:rPr>
        <w:t>━━━━━━━━━━━━━━━━━━━━━━━━━━</w:t>
      </w:r>
      <w:r w:rsidRPr="00B74705">
        <w:rPr>
          <w:rFonts w:ascii="MS Mincho" w:eastAsia="MS Mincho" w:hAnsi="MS Mincho" w:cs="MS Mincho"/>
          <w:kern w:val="0"/>
          <w14:ligatures w14:val="none"/>
        </w:rPr>
        <w:t>━</w:t>
      </w:r>
    </w:p>
    <w:p w14:paraId="248758AD"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Le Guide de l'Architecte Système pour Vaincre l'Addiction</w:t>
      </w:r>
    </w:p>
    <w:p w14:paraId="7761B41E"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Protocoles de Récupération Pharmacogénomiques pour les Résistants aux Traitements</w:t>
      </w:r>
    </w:p>
    <w:p w14:paraId="7A47E9D7"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J.R. TOKEN</w:t>
      </w:r>
    </w:p>
    <w:p w14:paraId="33E2E28E"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Architecte Système Principal</w:t>
      </w:r>
    </w:p>
    <w:p w14:paraId="221A2865"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2CDFCB3B">
          <v:rect id="_x0000_i1083" alt="" style="width:468pt;height:.05pt;mso-width-percent:0;mso-height-percent:0;mso-width-percent:0;mso-height-percent:0" o:hralign="center" o:hrstd="t" o:hr="t" fillcolor="#a0a0a0" stroked="f"/>
        </w:pict>
      </w:r>
    </w:p>
    <w:p w14:paraId="608C771E"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CECI EST UN MANUEL DE RÉDUCTION DES RISQUES — PAS UN AVIS MÉDICAL </w:t>
      </w:r>
      <w:r w:rsidRPr="00B74705">
        <w:rPr>
          <w:rFonts w:ascii="Apple Color Emoji" w:eastAsia="Times New Roman" w:hAnsi="Apple Color Emoji" w:cs="Apple Color Emoji"/>
          <w:b/>
          <w:bCs/>
          <w:kern w:val="0"/>
          <w14:ligatures w14:val="none"/>
        </w:rPr>
        <w:t>⚠️</w:t>
      </w:r>
    </w:p>
    <w:p w14:paraId="07C29E3B"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5CA8C3D8">
          <v:rect id="_x0000_i1082" alt="" style="width:468pt;height:.05pt;mso-width-percent:0;mso-height-percent:0;mso-width-percent:0;mso-height-percent:0" o:hralign="center" o:hrstd="t" o:hr="t" fillcolor="#a0a0a0" stroked="f"/>
        </w:pict>
      </w:r>
    </w:p>
    <w:p w14:paraId="503CF93A"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DÉDICACE : HÉRITAGE SYSTÈME</w:t>
      </w:r>
    </w:p>
    <w:p w14:paraId="4E31FDF6"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Aux systèmes que nous n'avons pas pu redémarrer.</w:t>
      </w:r>
    </w:p>
    <w:p w14:paraId="6EE8A2AD"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4DFEBC62">
          <v:rect id="_x0000_i1081" alt="" style="width:468pt;height:.05pt;mso-width-percent:0;mso-height-percent:0;mso-width-percent:0;mso-height-percent:0" o:hralign="center" o:hrstd="t" o:hr="t" fillcolor="#a0a0a0" stroked="f"/>
        </w:pict>
      </w:r>
    </w:p>
    <w:p w14:paraId="6DB5BEA8"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À mon cousin, </w:t>
      </w:r>
      <w:r w:rsidRPr="00B74705">
        <w:rPr>
          <w:rFonts w:ascii="Times New Roman" w:eastAsia="Times New Roman" w:hAnsi="Times New Roman" w:cs="Times New Roman"/>
          <w:b/>
          <w:bCs/>
          <w:kern w:val="0"/>
          <w14:ligatures w14:val="none"/>
        </w:rPr>
        <w:t>J.P.</w:t>
      </w:r>
    </w:p>
    <w:p w14:paraId="70601DF4"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Perdu sous le poids combiné des opiacés, de la méthadone et du cancer.</w:t>
      </w:r>
    </w:p>
    <w:p w14:paraId="3269FB46"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Tu étais hors ligne bien avant ton heure.</w:t>
      </w:r>
    </w:p>
    <w:p w14:paraId="26D979FB"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À ma cousine au second degré, </w:t>
      </w:r>
      <w:r w:rsidRPr="00B74705">
        <w:rPr>
          <w:rFonts w:ascii="Times New Roman" w:eastAsia="Times New Roman" w:hAnsi="Times New Roman" w:cs="Times New Roman"/>
          <w:b/>
          <w:bCs/>
          <w:kern w:val="0"/>
          <w14:ligatures w14:val="none"/>
        </w:rPr>
        <w:t>A.C.</w:t>
      </w:r>
    </w:p>
    <w:p w14:paraId="00296BF4"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Au silence de la chambre d'hôpital et aux résidus de charbon d'un sauvetage arrivé trop tard.</w:t>
      </w:r>
    </w:p>
    <w:p w14:paraId="501F13FB"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J'ai vu les séquelles de l'overdose, et j'ai vu un système qui savait comment pomper un estomac</w:t>
      </w:r>
    </w:p>
    <w:p w14:paraId="534E61B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mais ne savait pas comment guérir une âme.</w:t>
      </w:r>
    </w:p>
    <w:p w14:paraId="0106C5E8"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5517CBB7">
          <v:rect id="_x0000_i1080" alt="" style="width:468pt;height:.05pt;mso-width-percent:0;mso-height-percent:0;mso-width-percent:0;mso-height-percent:0" o:hralign="center" o:hrstd="t" o:hr="t" fillcolor="#a0a0a0" stroked="f"/>
        </w:pict>
      </w:r>
    </w:p>
    <w:p w14:paraId="7BE2F965"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Aux victimes silencieuses.</w:t>
      </w:r>
    </w:p>
    <w:p w14:paraId="4D8686A9"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 xml:space="preserve">À </w:t>
      </w:r>
      <w:r w:rsidRPr="00B74705">
        <w:rPr>
          <w:rFonts w:ascii="Times New Roman" w:eastAsia="Times New Roman" w:hAnsi="Times New Roman" w:cs="Times New Roman"/>
          <w:b/>
          <w:bCs/>
          <w:i/>
          <w:iCs/>
          <w:kern w:val="0"/>
          <w14:ligatures w14:val="none"/>
        </w:rPr>
        <w:t>J.S. de Crown Point</w:t>
      </w:r>
      <w:r w:rsidRPr="00B74705">
        <w:rPr>
          <w:rFonts w:ascii="Times New Roman" w:eastAsia="Times New Roman" w:hAnsi="Times New Roman" w:cs="Times New Roman"/>
          <w:i/>
          <w:iCs/>
          <w:kern w:val="0"/>
          <w14:ligatures w14:val="none"/>
        </w:rPr>
        <w:t xml:space="preserve"> et </w:t>
      </w:r>
      <w:r w:rsidRPr="00B74705">
        <w:rPr>
          <w:rFonts w:ascii="Times New Roman" w:eastAsia="Times New Roman" w:hAnsi="Times New Roman" w:cs="Times New Roman"/>
          <w:b/>
          <w:bCs/>
          <w:i/>
          <w:iCs/>
          <w:kern w:val="0"/>
          <w14:ligatures w14:val="none"/>
        </w:rPr>
        <w:t>G.F. de Phoenix, Arizona</w:t>
      </w:r>
      <w:r w:rsidRPr="00B74705">
        <w:rPr>
          <w:rFonts w:ascii="Times New Roman" w:eastAsia="Times New Roman" w:hAnsi="Times New Roman" w:cs="Times New Roman"/>
          <w:i/>
          <w:iCs/>
          <w:kern w:val="0"/>
          <w14:ligatures w14:val="none"/>
        </w:rPr>
        <w:t>.</w:t>
      </w:r>
    </w:p>
    <w:p w14:paraId="3CE8E713"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lastRenderedPageBreak/>
        <w:t>À ceux dont j'ai appris le décès seulement dans les rapports post-mortem.</w:t>
      </w:r>
    </w:p>
    <w:p w14:paraId="4DF58A09"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Aux amis qui ont lutté en silence et ont terminé leurs propres processus parce que la douleur de continuer était trop grande.</w:t>
      </w:r>
    </w:p>
    <w:p w14:paraId="5FBD55B5"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 xml:space="preserve">À </w:t>
      </w:r>
      <w:r w:rsidRPr="00B74705">
        <w:rPr>
          <w:rFonts w:ascii="Times New Roman" w:eastAsia="Times New Roman" w:hAnsi="Times New Roman" w:cs="Times New Roman"/>
          <w:b/>
          <w:bCs/>
          <w:i/>
          <w:iCs/>
          <w:kern w:val="0"/>
          <w14:ligatures w14:val="none"/>
        </w:rPr>
        <w:t>C.O. de Hobart, Indiana</w:t>
      </w:r>
    </w:p>
    <w:p w14:paraId="7D8DE3CE"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Qui a quitté ce monde précipitamment à cause d'un emphysème chronique. Tu m'as inspiré à suivre mon étoile polaire.</w:t>
      </w:r>
    </w:p>
    <w:p w14:paraId="47695AFC"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Aux Gardiens Analogiques.</w:t>
      </w:r>
    </w:p>
    <w:p w14:paraId="2FD446D8"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i/>
          <w:iCs/>
          <w:kern w:val="0"/>
          <w14:ligatures w14:val="none"/>
        </w:rPr>
        <w:t>Winston, Chloe, Gershwin et Princess.</w:t>
      </w:r>
    </w:p>
    <w:p w14:paraId="7DAEA960"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Mes chats, qui sont restés à mes côtés pendant la folie tandis que les médecins testaient leurs "solutions" et "remèdes créatifs".</w:t>
      </w:r>
    </w:p>
    <w:p w14:paraId="30A4D11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Vous étiez les seuls à voir que les médicaments ne me guérissaient pas —</w:t>
      </w:r>
    </w:p>
    <w:p w14:paraId="3DF5697E"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Ils ne faisaient que pacifier chimiquement un système affolé.</w:t>
      </w:r>
    </w:p>
    <w:p w14:paraId="0ADCEB55"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Vous m'avez ancré quand la carte mère surchauffait.</w:t>
      </w:r>
    </w:p>
    <w:p w14:paraId="583CC636"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i/>
          <w:iCs/>
          <w:kern w:val="0"/>
          <w14:ligatures w14:val="none"/>
        </w:rPr>
        <w:t>Les Feline Felonz</w:t>
      </w:r>
    </w:p>
    <w:p w14:paraId="2E8CF78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Mes boules de poils, puissiez-vous vivre vos jours dans la joie, l'amour et la paix.</w:t>
      </w:r>
    </w:p>
    <w:p w14:paraId="710013A9"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4E5A1893">
          <v:rect id="_x0000_i1079" alt="" style="width:468pt;height:.05pt;mso-width-percent:0;mso-height-percent:0;mso-width-percent:0;mso-height-percent:0" o:hralign="center" o:hrstd="t" o:hr="t" fillcolor="#a0a0a0" stroked="f"/>
        </w:pict>
      </w:r>
    </w:p>
    <w:p w14:paraId="2AFF27A4"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Et enfin, au Laboratoire.</w:t>
      </w:r>
    </w:p>
    <w:p w14:paraId="19A091F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Pendant des années, l'industrie nous a traités comme une expérience et un spectacle de foire.</w:t>
      </w:r>
    </w:p>
    <w:p w14:paraId="400CDDA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 xml:space="preserve">On nous a dit : </w:t>
      </w:r>
      <w:r w:rsidRPr="00B74705">
        <w:rPr>
          <w:rFonts w:ascii="Times New Roman" w:eastAsia="Times New Roman" w:hAnsi="Times New Roman" w:cs="Times New Roman"/>
          <w:b/>
          <w:bCs/>
          <w:i/>
          <w:iCs/>
          <w:kern w:val="0"/>
          <w14:ligatures w14:val="none"/>
        </w:rPr>
        <w:t>"Je supprimerai la cause... mais pas le symptôme."</w:t>
      </w:r>
    </w:p>
    <w:p w14:paraId="48A0A54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Ce livre est l'inverse.</w:t>
      </w:r>
    </w:p>
    <w:p w14:paraId="55F1DC40"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Nous allons au laboratoire pour voir ce qui est sur la table.</w:t>
      </w:r>
    </w:p>
    <w:p w14:paraId="3A9B715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Mais cette fois, nous ne construisons pas un monstre nommé Rocky McBottom</w:t>
      </w:r>
    </w:p>
    <w:p w14:paraId="78572A1B"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Nous récupérons l'humain.</w:t>
      </w:r>
    </w:p>
    <w:p w14:paraId="42F74D69"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2969DF79">
          <v:rect id="_x0000_i1078" alt="" style="width:468pt;height:.05pt;mso-width-percent:0;mso-height-percent:0;mso-width-percent:0;mso-height-percent:0" o:hralign="center" o:hrstd="t" o:hr="t" fillcolor="#a0a0a0" stroked="f"/>
        </w:pict>
      </w:r>
    </w:p>
    <w:p w14:paraId="24619BE0"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À Propos de l'Architecte</w:t>
      </w:r>
    </w:p>
    <w:p w14:paraId="4FA594F9"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lastRenderedPageBreak/>
        <w:t>🔧</w:t>
      </w:r>
      <w:r w:rsidRPr="00B74705">
        <w:rPr>
          <w:rFonts w:ascii="Times New Roman" w:eastAsia="Times New Roman" w:hAnsi="Times New Roman" w:cs="Times New Roman"/>
          <w:b/>
          <w:bCs/>
          <w:kern w:val="0"/>
          <w14:ligatures w14:val="none"/>
        </w:rPr>
        <w:t xml:space="preserve"> JOURNAL DE L'ARCHITECTE</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i/>
          <w:iCs/>
          <w:kern w:val="0"/>
          <w14:ligatures w14:val="none"/>
        </w:rPr>
        <w:t>Je ne suis pas médecin. Je suis Architecte Système. Les médecins sont formés pour traiter les symptômes. Les architectes sont formés pour déboguer les systèmes. Quand le témoin de contrôle moteur de votre voiture s'allume, un mécanicien ne couvre pas le témoin avec du ruban adhésif — il diagnostique la panne sous-jacente. Pourtant, pendant des décennies, c'est précisément ce que la psychiatrie m'a fait : masquer les témoins d'alerte sans jamais regarder sous le capot.</w:t>
      </w:r>
    </w:p>
    <w:p w14:paraId="1E5101EE"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JR Token</w:t>
      </w:r>
      <w:r w:rsidRPr="00B74705">
        <w:rPr>
          <w:rFonts w:ascii="Times New Roman" w:eastAsia="Times New Roman" w:hAnsi="Times New Roman" w:cs="Times New Roman"/>
          <w:kern w:val="0"/>
          <w14:ligatures w14:val="none"/>
        </w:rPr>
        <w:t xml:space="preserve"> est Architecte de Systèmes Informatiques pour une grande entreprise informatique — et l'architecte de sa propre guérison.</w:t>
      </w:r>
    </w:p>
    <w:p w14:paraId="24C3C966"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Après 15 ans d'essais et d'erreurs coûteux dans le système de santé mentale traditionnel — un parcours qui a coûté aux assureurs plus de 1,5 million de dollars en hospitalisations et traitements échoués — JR a réalisé que le "standard de soins" était défaillant. Il avait essayé tous les médicaments modernes disponibles, avec des coûts de traitement mensuels atteignant 8 000 dollars, tout en restant instable.</w:t>
      </w:r>
    </w:p>
    <w:p w14:paraId="061221E7"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Refusant d'accepter cela, JR a appliqué son expérience en ingénierie des systèmes à sa propre biologie. Par une analyse génétique approfondie, il a remplacé l'approche "au fusil de chasse" par la précision : troquant des cocktails de sédatifs lourds contre un protocole ciblé de suppléments spécifiques et les doses les plus faibles de médicaments prescriptibles — des interventions qui ont pris </w:t>
      </w:r>
      <w:r w:rsidRPr="00B74705">
        <w:rPr>
          <w:rFonts w:ascii="Times New Roman" w:eastAsia="Times New Roman" w:hAnsi="Times New Roman" w:cs="Times New Roman"/>
          <w:b/>
          <w:bCs/>
          <w:kern w:val="0"/>
          <w14:ligatures w14:val="none"/>
        </w:rPr>
        <w:t>quinze ans</w:t>
      </w:r>
      <w:r w:rsidRPr="00B74705">
        <w:rPr>
          <w:rFonts w:ascii="Times New Roman" w:eastAsia="Times New Roman" w:hAnsi="Times New Roman" w:cs="Times New Roman"/>
          <w:kern w:val="0"/>
          <w14:ligatures w14:val="none"/>
        </w:rPr>
        <w:t xml:space="preserve"> à trouver par essais et erreurs, mais qui auraient pu être identifiées en </w:t>
      </w:r>
      <w:r w:rsidRPr="00B74705">
        <w:rPr>
          <w:rFonts w:ascii="Times New Roman" w:eastAsia="Times New Roman" w:hAnsi="Times New Roman" w:cs="Times New Roman"/>
          <w:b/>
          <w:bCs/>
          <w:kern w:val="0"/>
          <w14:ligatures w14:val="none"/>
        </w:rPr>
        <w:t>semaines</w:t>
      </w:r>
      <w:r w:rsidRPr="00B74705">
        <w:rPr>
          <w:rFonts w:ascii="Times New Roman" w:eastAsia="Times New Roman" w:hAnsi="Times New Roman" w:cs="Times New Roman"/>
          <w:kern w:val="0"/>
          <w14:ligatures w14:val="none"/>
        </w:rPr>
        <w:t xml:space="preserve"> avec des tests génétiques appropriés. Il a testé son protocole pendant 10 ans pour documenter son succès.</w:t>
      </w:r>
    </w:p>
    <w:p w14:paraId="00AB5837"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Note de l'Auteur :</w:t>
      </w:r>
      <w:r w:rsidRPr="00B74705">
        <w:rPr>
          <w:rFonts w:ascii="Times New Roman" w:eastAsia="Times New Roman" w:hAnsi="Times New Roman" w:cs="Times New Roman"/>
          <w:kern w:val="0"/>
          <w14:ligatures w14:val="none"/>
        </w:rPr>
        <w:t xml:space="preserve"> Le modèle Kernel a commencé comme une métaphore tirée de ma vie temporaire à Valparaiso — un mélange de maison de transition, d'un festival de pop-corn, et de la façon dont le noyau d'un ordinateur détermine ce qui démarre et ce qui plante. Ce qui suit est un cadre personnel inspiré de ces expériences, que je situe dans la recherche existante lorsque possible."</w:t>
      </w:r>
    </w:p>
    <w:p w14:paraId="4863D96C"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RÉSISTANT AUX TRAITEMENTS</w:t>
      </w:r>
      <w:r w:rsidRPr="00B74705">
        <w:rPr>
          <w:rFonts w:ascii="Times New Roman" w:eastAsia="Times New Roman" w:hAnsi="Times New Roman" w:cs="Times New Roman"/>
          <w:kern w:val="0"/>
          <w14:ligatures w14:val="none"/>
        </w:rPr>
        <w:t xml:space="preserve"> Si le système traditionnel avait fonctionné pour vous, vous ne liriez pas ceci. Vous êtes ici parce que — comme moi — vous êtes résistant aux traitements. Non pas parce que vous êtes cassé, mais parce qu'on vous a donné le mauvais manuel de réparation.</w:t>
      </w:r>
    </w:p>
    <w:p w14:paraId="3998DAD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LE KERNEL</w:t>
      </w:r>
      <w:r w:rsidRPr="00B74705">
        <w:rPr>
          <w:rFonts w:ascii="Times New Roman" w:eastAsia="Times New Roman" w:hAnsi="Times New Roman" w:cs="Times New Roman"/>
          <w:kern w:val="0"/>
          <w14:ligatures w14:val="none"/>
        </w:rPr>
        <w:t xml:space="preserve"> Ce livre est un manuel de débogage pour votre machinerie neuro-métabolique unique. Il fournit les spécifications techniques que votre médecin n'a jamais reçues — parce que les facultés de médecine n'enseignent pas la pharmacogénomique, et que les assurances ne remboursent pas les tests génétiques.</w:t>
      </w:r>
    </w:p>
    <w:p w14:paraId="3810C19A"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6B8684C8">
          <v:rect id="_x0000_i1077" alt="" style="width:468pt;height:.05pt;mso-width-percent:0;mso-height-percent:0;mso-width-percent:0;mso-height-percent:0" o:hralign="center" o:hrstd="t" o:hr="t" fillcolor="#a0a0a0" stroked="f"/>
        </w:pict>
      </w:r>
    </w:p>
    <w:p w14:paraId="75DFF3B4" w14:textId="77777777" w:rsidR="00B74705" w:rsidRPr="00B74705" w:rsidRDefault="00B74705" w:rsidP="00B747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705">
        <w:rPr>
          <w:rFonts w:ascii="Times New Roman" w:eastAsia="Times New Roman" w:hAnsi="Times New Roman" w:cs="Times New Roman"/>
          <w:b/>
          <w:bCs/>
          <w:kern w:val="36"/>
          <w:sz w:val="48"/>
          <w:szCs w:val="48"/>
          <w14:ligatures w14:val="none"/>
        </w:rPr>
        <w:t>TABLE DES MATIÈRES</w:t>
      </w:r>
    </w:p>
    <w:p w14:paraId="2B953A86" w14:textId="77777777" w:rsidR="00B74705" w:rsidRPr="00B74705" w:rsidRDefault="00B74705" w:rsidP="00B747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anchor="kernel-1" w:history="1">
        <w:r w:rsidRPr="00B74705">
          <w:rPr>
            <w:rFonts w:ascii="Times New Roman" w:eastAsia="Times New Roman" w:hAnsi="Times New Roman" w:cs="Times New Roman"/>
            <w:color w:val="0000FF"/>
            <w:kern w:val="0"/>
            <w:u w:val="single"/>
            <w14:ligatures w14:val="none"/>
          </w:rPr>
          <w:t>KERNEL 1</w:t>
        </w:r>
      </w:hyperlink>
    </w:p>
    <w:p w14:paraId="16F3035E" w14:textId="77777777" w:rsidR="00B74705" w:rsidRPr="00B74705" w:rsidRDefault="00B74705" w:rsidP="00B747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 w:anchor="kernel-2" w:history="1">
        <w:r w:rsidRPr="00B74705">
          <w:rPr>
            <w:rFonts w:ascii="Times New Roman" w:eastAsia="Times New Roman" w:hAnsi="Times New Roman" w:cs="Times New Roman"/>
            <w:color w:val="0000FF"/>
            <w:kern w:val="0"/>
            <w:u w:val="single"/>
            <w14:ligatures w14:val="none"/>
          </w:rPr>
          <w:t>KERNEL 2</w:t>
        </w:r>
      </w:hyperlink>
    </w:p>
    <w:p w14:paraId="03D4FB14" w14:textId="77777777" w:rsidR="00B74705" w:rsidRPr="00B74705" w:rsidRDefault="00B74705" w:rsidP="00B747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anchor="kernel-3" w:history="1">
        <w:r w:rsidRPr="00B74705">
          <w:rPr>
            <w:rFonts w:ascii="Times New Roman" w:eastAsia="Times New Roman" w:hAnsi="Times New Roman" w:cs="Times New Roman"/>
            <w:color w:val="0000FF"/>
            <w:kern w:val="0"/>
            <w:u w:val="single"/>
            <w14:ligatures w14:val="none"/>
          </w:rPr>
          <w:t>KERNEL 3</w:t>
        </w:r>
      </w:hyperlink>
    </w:p>
    <w:p w14:paraId="1CB0DE26" w14:textId="77777777" w:rsidR="00B74705" w:rsidRPr="00B74705" w:rsidRDefault="00B74705" w:rsidP="00B747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 w:anchor="kernel-4" w:history="1">
        <w:r w:rsidRPr="00B74705">
          <w:rPr>
            <w:rFonts w:ascii="Times New Roman" w:eastAsia="Times New Roman" w:hAnsi="Times New Roman" w:cs="Times New Roman"/>
            <w:color w:val="0000FF"/>
            <w:kern w:val="0"/>
            <w:u w:val="single"/>
            <w14:ligatures w14:val="none"/>
          </w:rPr>
          <w:t>KERNEL 4</w:t>
        </w:r>
      </w:hyperlink>
    </w:p>
    <w:p w14:paraId="48470DE7" w14:textId="77777777" w:rsidR="00B74705" w:rsidRPr="00B74705" w:rsidRDefault="00B74705" w:rsidP="00B747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9" w:anchor="chapitre-1-pourquoi-la-volont%C3%A9-ne-suffit-pas" w:history="1">
        <w:r w:rsidRPr="00B74705">
          <w:rPr>
            <w:rFonts w:ascii="Times New Roman" w:eastAsia="Times New Roman" w:hAnsi="Times New Roman" w:cs="Times New Roman"/>
            <w:color w:val="0000FF"/>
            <w:kern w:val="0"/>
            <w:u w:val="single"/>
            <w14:ligatures w14:val="none"/>
          </w:rPr>
          <w:t>Chapitre 1 : Pourquoi la Volonté Ne Suffit Pas</w:t>
        </w:r>
      </w:hyperlink>
    </w:p>
    <w:p w14:paraId="68ED364D" w14:textId="77777777" w:rsidR="00B74705" w:rsidRPr="00B74705" w:rsidRDefault="00B74705" w:rsidP="00B747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 w:anchor="chapitre-2-le-syst%C3%A8me-dapprovisionnement" w:history="1">
        <w:r w:rsidRPr="00B74705">
          <w:rPr>
            <w:rFonts w:ascii="Times New Roman" w:eastAsia="Times New Roman" w:hAnsi="Times New Roman" w:cs="Times New Roman"/>
            <w:color w:val="0000FF"/>
            <w:kern w:val="0"/>
            <w:u w:val="single"/>
            <w14:ligatures w14:val="none"/>
          </w:rPr>
          <w:t>Chapitre 2 : Le Système d'Approvisionnement</w:t>
        </w:r>
      </w:hyperlink>
    </w:p>
    <w:p w14:paraId="6F490A93" w14:textId="77777777" w:rsidR="00B74705" w:rsidRPr="00B74705" w:rsidRDefault="00B74705" w:rsidP="00B747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1" w:anchor="chapitre-3-le-syst%C3%A8me-de-clairance" w:history="1">
        <w:r w:rsidRPr="00B74705">
          <w:rPr>
            <w:rFonts w:ascii="Times New Roman" w:eastAsia="Times New Roman" w:hAnsi="Times New Roman" w:cs="Times New Roman"/>
            <w:color w:val="0000FF"/>
            <w:kern w:val="0"/>
            <w:u w:val="single"/>
            <w14:ligatures w14:val="none"/>
          </w:rPr>
          <w:t>Chapitre 3 : Le Système de Clairance</w:t>
        </w:r>
      </w:hyperlink>
    </w:p>
    <w:p w14:paraId="6027AB1A" w14:textId="77777777" w:rsidR="00B74705" w:rsidRPr="00B74705" w:rsidRDefault="00B74705" w:rsidP="00B747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2" w:anchor="chapitre-4-le-syst%C3%A8me-de-traitement" w:history="1">
        <w:r w:rsidRPr="00B74705">
          <w:rPr>
            <w:rFonts w:ascii="Times New Roman" w:eastAsia="Times New Roman" w:hAnsi="Times New Roman" w:cs="Times New Roman"/>
            <w:color w:val="0000FF"/>
            <w:kern w:val="0"/>
            <w:u w:val="single"/>
            <w14:ligatures w14:val="none"/>
          </w:rPr>
          <w:t>Chapitre 4 : Le Système de Traitement</w:t>
        </w:r>
      </w:hyperlink>
    </w:p>
    <w:p w14:paraId="6CDBEE77" w14:textId="77777777" w:rsidR="00B74705" w:rsidRPr="00B74705" w:rsidRDefault="00B74705" w:rsidP="00B747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3" w:anchor="chapitre-5-leffet-combin%C3%A9" w:history="1">
        <w:r w:rsidRPr="00B74705">
          <w:rPr>
            <w:rFonts w:ascii="Times New Roman" w:eastAsia="Times New Roman" w:hAnsi="Times New Roman" w:cs="Times New Roman"/>
            <w:color w:val="0000FF"/>
            <w:kern w:val="0"/>
            <w:u w:val="single"/>
            <w14:ligatures w14:val="none"/>
          </w:rPr>
          <w:t>Chapitre 5 : L'Effet Combiné</w:t>
        </w:r>
      </w:hyperlink>
    </w:p>
    <w:p w14:paraId="4C584C42" w14:textId="77777777" w:rsidR="00B74705" w:rsidRPr="00B74705" w:rsidRDefault="00B74705" w:rsidP="00B747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4" w:anchor="chapitre-6-le-terrain-de-jeu-%C3%A9pig%C3%A9n%C3%A9tique" w:history="1">
        <w:r w:rsidRPr="00B74705">
          <w:rPr>
            <w:rFonts w:ascii="Times New Roman" w:eastAsia="Times New Roman" w:hAnsi="Times New Roman" w:cs="Times New Roman"/>
            <w:color w:val="0000FF"/>
            <w:kern w:val="0"/>
            <w:u w:val="single"/>
            <w14:ligatures w14:val="none"/>
          </w:rPr>
          <w:t>Chapitre 6 : Le Terrain de Jeu Épigénétique</w:t>
        </w:r>
      </w:hyperlink>
    </w:p>
    <w:p w14:paraId="72725192" w14:textId="77777777" w:rsidR="00B74705" w:rsidRPr="00B74705" w:rsidRDefault="00B74705" w:rsidP="00B747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5" w:anchor="annexe-a" w:history="1">
        <w:r w:rsidRPr="00B74705">
          <w:rPr>
            <w:rFonts w:ascii="Times New Roman" w:eastAsia="Times New Roman" w:hAnsi="Times New Roman" w:cs="Times New Roman"/>
            <w:color w:val="0000FF"/>
            <w:kern w:val="0"/>
            <w:u w:val="single"/>
            <w14:ligatures w14:val="none"/>
          </w:rPr>
          <w:t>ANNEXE A : Tables de Référence Clinique</w:t>
        </w:r>
      </w:hyperlink>
    </w:p>
    <w:p w14:paraId="26B046D3" w14:textId="77777777" w:rsidR="00B74705" w:rsidRPr="00B74705" w:rsidRDefault="00B74705" w:rsidP="00B747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6" w:anchor="annexe-b" w:history="1">
        <w:r w:rsidRPr="00B74705">
          <w:rPr>
            <w:rFonts w:ascii="Times New Roman" w:eastAsia="Times New Roman" w:hAnsi="Times New Roman" w:cs="Times New Roman"/>
            <w:color w:val="0000FF"/>
            <w:kern w:val="0"/>
            <w:u w:val="single"/>
            <w14:ligatures w14:val="none"/>
          </w:rPr>
          <w:t>ANNEXE B : Cadre d'Intégration IA pour la Récupération de Précision</w:t>
        </w:r>
      </w:hyperlink>
    </w:p>
    <w:p w14:paraId="5399DEFF"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2DB40441">
          <v:rect id="_x0000_i1076" alt="" style="width:468pt;height:.05pt;mso-width-percent:0;mso-height-percent:0;mso-width-percent:0;mso-height-percent:0" o:hralign="center" o:hrstd="t" o:hr="t" fillcolor="#a0a0a0" stroked="f"/>
        </w:pict>
      </w:r>
    </w:p>
    <w:p w14:paraId="510CCE61" w14:textId="77777777" w:rsidR="00B74705" w:rsidRPr="00B74705" w:rsidRDefault="00B74705" w:rsidP="00B747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705">
        <w:rPr>
          <w:rFonts w:ascii="Times New Roman" w:eastAsia="Times New Roman" w:hAnsi="Times New Roman" w:cs="Times New Roman"/>
          <w:b/>
          <w:bCs/>
          <w:kern w:val="36"/>
          <w:sz w:val="48"/>
          <w:szCs w:val="48"/>
          <w14:ligatures w14:val="none"/>
        </w:rPr>
        <w:t>KERNEL 1</w:t>
      </w:r>
    </w:p>
    <w:p w14:paraId="73562EBC"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ARCHITECTURE DE BASE</w:t>
      </w:r>
    </w:p>
    <w:p w14:paraId="4C4BD7C9"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Comprendre Votre Plan Neurogénomique</w:t>
      </w:r>
    </w:p>
    <w:p w14:paraId="14A20CAB"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Module 1.1 : Pourquoi la Volonté Ne Suffit Pas</w:t>
      </w:r>
    </w:p>
    <w:p w14:paraId="27CCBD03"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JOURNAL DE L'ARCHITECTE</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i/>
          <w:iCs/>
          <w:kern w:val="0"/>
          <w14:ligatures w14:val="none"/>
        </w:rPr>
        <w:t>Imaginez dire à quelqu'un atteint de diabète qu'il a simplement besoin de plus de 'volonté' pour produire de l'insuline. Ridicule, n'est-ce pas ? Pourtant, c'est précisément ce que nous disons aux personnes dépendantes — une condition qui est tout aussi enracinée dans la variation biologique.</w:t>
      </w:r>
    </w:p>
    <w:p w14:paraId="747BDB1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L'addiction n'est pas un échec moral. C'est un problème d'ingénierie des systèmes. Votre cerveau possède des chaînes d'approvisionnement (production de neurotransmetteurs), des unités de traitement (récepteurs) et des systèmes de clairance (enzymes métaboliques). Lorsque l'un de ces systèmes présente un goulot d'étranglement génétique, toute l'architecture devient vulnérable.</w:t>
      </w:r>
    </w:p>
    <w:p w14:paraId="4E916B6E"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LE CHANGEMENT DE PARADIGME</w:t>
      </w:r>
      <w:r w:rsidRPr="00B74705">
        <w:rPr>
          <w:rFonts w:ascii="Times New Roman" w:eastAsia="Times New Roman" w:hAnsi="Times New Roman" w:cs="Times New Roman"/>
          <w:kern w:val="0"/>
          <w14:ligatures w14:val="none"/>
        </w:rPr>
        <w:t xml:space="preserve"> Comprendre vos variants génétiques transforme la récupération de 'lutter contre soi-même' à 'se déboguer soi-même'. Vous n'êtes pas faible. Vous exécutez un code qui n'a pas été optimisé pour votre matériel.</w:t>
      </w:r>
    </w:p>
    <w:p w14:paraId="3BD345E2"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6A067479">
          <v:rect id="_x0000_i1075" alt="" style="width:468pt;height:.05pt;mso-width-percent:0;mso-height-percent:0;mso-width-percent:0;mso-height-percent:0" o:hralign="center" o:hrstd="t" o:hr="t" fillcolor="#a0a0a0" stroked="f"/>
        </w:pict>
      </w:r>
    </w:p>
    <w:p w14:paraId="332CD0A9"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Module 1.2 : Le Système d'Approvisionnement — MTHFR</w:t>
      </w:r>
    </w:p>
    <w:p w14:paraId="594DA9E7"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Le </w:t>
      </w:r>
      <w:r w:rsidRPr="00B74705">
        <w:rPr>
          <w:rFonts w:ascii="Times New Roman" w:eastAsia="Times New Roman" w:hAnsi="Times New Roman" w:cs="Times New Roman"/>
          <w:b/>
          <w:bCs/>
          <w:kern w:val="0"/>
          <w14:ligatures w14:val="none"/>
        </w:rPr>
        <w:t>gène MTHFR</w:t>
      </w:r>
      <w:r w:rsidRPr="00B74705">
        <w:rPr>
          <w:rFonts w:ascii="Times New Roman" w:eastAsia="Times New Roman" w:hAnsi="Times New Roman" w:cs="Times New Roman"/>
          <w:kern w:val="0"/>
          <w14:ligatures w14:val="none"/>
        </w:rPr>
        <w:t xml:space="preserve"> contrôle votre cycle de méthylation — le processus qui convertit le folate alimentaire en sa forme active (méthylfolate) dont votre cerveau a besoin pour produire des neurotransmetteurs comme la sérotonine, la dopamine et la noradrénaline.</w:t>
      </w:r>
    </w:p>
    <w:p w14:paraId="137BD9D6"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lastRenderedPageBreak/>
        <w:t>⚠️</w:t>
      </w:r>
      <w:r w:rsidRPr="00B74705">
        <w:rPr>
          <w:rFonts w:ascii="Times New Roman" w:eastAsia="Times New Roman" w:hAnsi="Times New Roman" w:cs="Times New Roman"/>
          <w:b/>
          <w:bCs/>
          <w:kern w:val="0"/>
          <w14:ligatures w14:val="none"/>
        </w:rPr>
        <w:t xml:space="preserve"> ATTENTION SYSTÈME — AVERTISSEMENT DE PRÉVALENCE</w:t>
      </w:r>
      <w:r w:rsidRPr="00B74705">
        <w:rPr>
          <w:rFonts w:ascii="Times New Roman" w:eastAsia="Times New Roman" w:hAnsi="Times New Roman" w:cs="Times New Roman"/>
          <w:kern w:val="0"/>
          <w14:ligatures w14:val="none"/>
        </w:rPr>
        <w:t xml:space="preserve"> 40-60% de la population porte au moins un variant MTHFR. Si on vous a déjà dit que les antidépresseurs 'ne fonctionnent pas' chez vous, c'est peut-être pourquoi.</w:t>
      </w:r>
    </w:p>
    <w:p w14:paraId="1160B53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Variants MTHFR C677T :</w:t>
      </w:r>
    </w:p>
    <w:p w14:paraId="4613F975"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b/>
          <w:bCs/>
          <w:kern w:val="0"/>
          <w14:ligatures w14:val="none"/>
        </w:rPr>
        <w:t>C/C (Type Sauvage) :</w:t>
      </w:r>
      <w:r w:rsidRPr="00B74705">
        <w:rPr>
          <w:rFonts w:ascii="Times New Roman" w:eastAsia="Times New Roman" w:hAnsi="Times New Roman" w:cs="Times New Roman"/>
          <w:kern w:val="0"/>
          <w14:ligatures w14:val="none"/>
        </w:rPr>
        <w:t xml:space="preserve"> 100% de fonction enzymatique. La méthylation fonctionne normalement.</w:t>
      </w:r>
    </w:p>
    <w:p w14:paraId="0755E37C"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b/>
          <w:bCs/>
          <w:kern w:val="0"/>
          <w14:ligatures w14:val="none"/>
        </w:rPr>
        <w:t>C/T (Hétérozygote) :</w:t>
      </w:r>
      <w:r w:rsidRPr="00B74705">
        <w:rPr>
          <w:rFonts w:ascii="Times New Roman" w:eastAsia="Times New Roman" w:hAnsi="Times New Roman" w:cs="Times New Roman"/>
          <w:kern w:val="0"/>
          <w14:ligatures w14:val="none"/>
        </w:rPr>
        <w:t xml:space="preserve"> ~65% de fonction enzymatique. Réduction modérée de la capacité de méthylation.</w:t>
      </w:r>
    </w:p>
    <w:p w14:paraId="0504C7B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b/>
          <w:bCs/>
          <w:kern w:val="0"/>
          <w14:ligatures w14:val="none"/>
        </w:rPr>
        <w:t>T/T (Homozygote) :</w:t>
      </w:r>
      <w:r w:rsidRPr="00B74705">
        <w:rPr>
          <w:rFonts w:ascii="Times New Roman" w:eastAsia="Times New Roman" w:hAnsi="Times New Roman" w:cs="Times New Roman"/>
          <w:kern w:val="0"/>
          <w14:ligatures w14:val="none"/>
        </w:rPr>
        <w:t xml:space="preserve"> ~30% de fonction enzymatique. Altération significative de la méthylation.</w:t>
      </w:r>
    </w:p>
    <w:p w14:paraId="236D9B4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JOURNAL DE L'ARCHITECTE</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i/>
          <w:iCs/>
          <w:kern w:val="0"/>
          <w14:ligatures w14:val="none"/>
        </w:rPr>
        <w:t>Pensez à MTHFR comme à la ligne d'approvisionnement d'une usine. Si votre usine ne peut recevoir que 30% des matières premières dont elle a besoin, peu importe la qualité de vos ouvriers — la production sera limitée. Supplémenter avec du méthylfolate (le produit fini) contourne la ligne d'approvisionnement défectueuse.</w:t>
      </w:r>
    </w:p>
    <w:p w14:paraId="3EE9F12B"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5B405C88">
          <v:rect id="_x0000_i1074" alt="" style="width:468pt;height:.05pt;mso-width-percent:0;mso-height-percent:0;mso-width-percent:0;mso-height-percent:0" o:hralign="center" o:hrstd="t" o:hr="t" fillcolor="#a0a0a0" stroked="f"/>
        </w:pict>
      </w:r>
    </w:p>
    <w:p w14:paraId="2FD5CF52"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Module 1.3 : Le Système de Clairance — COMT</w:t>
      </w:r>
    </w:p>
    <w:p w14:paraId="387F485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Le </w:t>
      </w:r>
      <w:r w:rsidRPr="00B74705">
        <w:rPr>
          <w:rFonts w:ascii="Times New Roman" w:eastAsia="Times New Roman" w:hAnsi="Times New Roman" w:cs="Times New Roman"/>
          <w:b/>
          <w:bCs/>
          <w:kern w:val="0"/>
          <w14:ligatures w14:val="none"/>
        </w:rPr>
        <w:t>gène COMT</w:t>
      </w:r>
      <w:r w:rsidRPr="00B74705">
        <w:rPr>
          <w:rFonts w:ascii="Times New Roman" w:eastAsia="Times New Roman" w:hAnsi="Times New Roman" w:cs="Times New Roman"/>
          <w:kern w:val="0"/>
          <w14:ligatures w14:val="none"/>
        </w:rPr>
        <w:t xml:space="preserve"> (Catéchol-O-Méthyltransférase) contrôle la vitesse à laquelle vous éliminez la dopamine, la noradrénaline et l'adrénaline de vos synapses. Cela détermine votre réponse au stress et votre anxiété de base.</w:t>
      </w:r>
    </w:p>
    <w:p w14:paraId="060628DD"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Le Spectre Guerrier vs Inquiet :</w:t>
      </w:r>
    </w:p>
    <w:p w14:paraId="355A6D2B"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VAL/VAL — 'GUERRIER'</w:t>
      </w:r>
      <w:r w:rsidRPr="00B74705">
        <w:rPr>
          <w:rFonts w:ascii="Times New Roman" w:eastAsia="Times New Roman" w:hAnsi="Times New Roman" w:cs="Times New Roman"/>
          <w:kern w:val="0"/>
          <w14:ligatures w14:val="none"/>
        </w:rPr>
        <w:t xml:space="preserve"> Clairance COMT rapide. La dopamine est éliminée rapidement. Faible anxiété de base. Performe bien sous stress aigu. A besoin de PLUS de stimulation pour se sentir engagé. Risque : Peut rechercher des stimulants pour se sentir 'normal'. Avantages : Résistant au stress, calme sous pression.</w:t>
      </w:r>
    </w:p>
    <w:p w14:paraId="691ADE04"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ATTENTION SYSTÈME — VAL/MET — 'ÉQUILIBRÉ'</w:t>
      </w:r>
      <w:r w:rsidRPr="00B74705">
        <w:rPr>
          <w:rFonts w:ascii="Times New Roman" w:eastAsia="Times New Roman" w:hAnsi="Times New Roman" w:cs="Times New Roman"/>
          <w:kern w:val="0"/>
          <w14:ligatures w14:val="none"/>
        </w:rPr>
        <w:t xml:space="preserve"> Clairance COMT intermédiaire. Niveaux de dopamine modérés. Peut s'adapter à diverses situations mais peut lutter avec les extrêmes.</w:t>
      </w:r>
    </w:p>
    <w:p w14:paraId="46C41FA9"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MET/MET — 'INQUIET'</w:t>
      </w:r>
      <w:r w:rsidRPr="00B74705">
        <w:rPr>
          <w:rFonts w:ascii="Times New Roman" w:eastAsia="Times New Roman" w:hAnsi="Times New Roman" w:cs="Times New Roman"/>
          <w:kern w:val="0"/>
          <w14:ligatures w14:val="none"/>
        </w:rPr>
        <w:t xml:space="preserve"> Clairance COMT lente. La dopamine persiste. HAUTE anxiété de base. Meilleur pour les tâches cognitives complexes dans des environnements calmes. Performe MAL sous stress aigu. Risque : Peut rechercher des dépresseurs (alcool, benzodiazépines, opioïdes) pour calmer l'esprit. Risque : Les stimulants créent une anxiété écrasante.</w:t>
      </w:r>
    </w:p>
    <w:p w14:paraId="6CFF78EC"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lastRenderedPageBreak/>
        <w:t>🔧</w:t>
      </w:r>
      <w:r w:rsidRPr="00B74705">
        <w:rPr>
          <w:rFonts w:ascii="Times New Roman" w:eastAsia="Times New Roman" w:hAnsi="Times New Roman" w:cs="Times New Roman"/>
          <w:b/>
          <w:bCs/>
          <w:kern w:val="0"/>
          <w14:ligatures w14:val="none"/>
        </w:rPr>
        <w:t xml:space="preserve"> JOURNAL DE L'ARCHITECTE</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i/>
          <w:iCs/>
          <w:kern w:val="0"/>
          <w14:ligatures w14:val="none"/>
        </w:rPr>
        <w:t>L'Analogie Ferrari vs Toyota : Le Guerrier est une Toyota Camry — fiable, efficace, n'a pas besoin de carburant premium. L'Inquiet est une Ferrari — performance incroyable dans les bonnes conditions, mais nécessite du carburant premium, un réglage précis, et ne peut pas gérer les routes cahoteuses. Ni l'un ni l'autre n'est 'meilleur'. Ce sont des architectures différentes optimisées pour différents environnements. Le problème survient quand une Ferrari essaie de rouler avec de l'essence ordinaire dans les embouteillages.</w:t>
      </w:r>
    </w:p>
    <w:p w14:paraId="1FCEF078"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2A9E20CE">
          <v:rect id="_x0000_i1073" alt="" style="width:468pt;height:.05pt;mso-width-percent:0;mso-height-percent:0;mso-width-percent:0;mso-height-percent:0" o:hralign="center" o:hrstd="t" o:hr="t" fillcolor="#a0a0a0" stroked="f"/>
        </w:pict>
      </w:r>
    </w:p>
    <w:p w14:paraId="60EBF34C"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Module 1.4 : Le Système de Traitement — CYP450</w:t>
      </w:r>
    </w:p>
    <w:p w14:paraId="56E1A44B"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La </w:t>
      </w:r>
      <w:r w:rsidRPr="00B74705">
        <w:rPr>
          <w:rFonts w:ascii="Times New Roman" w:eastAsia="Times New Roman" w:hAnsi="Times New Roman" w:cs="Times New Roman"/>
          <w:b/>
          <w:bCs/>
          <w:kern w:val="0"/>
          <w14:ligatures w14:val="none"/>
        </w:rPr>
        <w:t>famille d'enzymes CYP450</w:t>
      </w:r>
      <w:r w:rsidRPr="00B74705">
        <w:rPr>
          <w:rFonts w:ascii="Times New Roman" w:eastAsia="Times New Roman" w:hAnsi="Times New Roman" w:cs="Times New Roman"/>
          <w:kern w:val="0"/>
          <w14:ligatures w14:val="none"/>
        </w:rPr>
        <w:t xml:space="preserve"> (principalement CYP2D6, CYP3A4, CYP2C19) détermine comment votre foie traite les médicaments et les substances. Votre statut CYP450 peut rendre une dose 'normale' soit inefficace soit mortelle.</w:t>
      </w:r>
    </w:p>
    <w:p w14:paraId="2968AA7D"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Phénotypes CYP2D6 :</w:t>
      </w:r>
    </w:p>
    <w:p w14:paraId="2F613DB3"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MÉTABOLISEUR LENT (PM)</w:t>
      </w:r>
      <w:r w:rsidRPr="00B74705">
        <w:rPr>
          <w:rFonts w:ascii="Times New Roman" w:eastAsia="Times New Roman" w:hAnsi="Times New Roman" w:cs="Times New Roman"/>
          <w:kern w:val="0"/>
          <w14:ligatures w14:val="none"/>
        </w:rPr>
        <w:t xml:space="preserve"> 5-10% des Caucasiens. Les médicaments métabolisés par CYP2D6 s'accumulent à des niveaux dangereux. La codéine ne fournit AUCUN soulagement de la douleur (ne peut pas être convertie en morphine). Le fentanyl (qui contourne CYP2D6) frappe de plein fouet. Selon les Biomarqueurs Pharmacogénomiques de la FDA : le statut PM est cliniquement pertinent pour plus de 60 médicaments.</w:t>
      </w:r>
    </w:p>
    <w:p w14:paraId="4088D006"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MÉTABOLISEUR NORMAL (NM)</w:t>
      </w:r>
      <w:r w:rsidRPr="00B74705">
        <w:rPr>
          <w:rFonts w:ascii="Times New Roman" w:eastAsia="Times New Roman" w:hAnsi="Times New Roman" w:cs="Times New Roman"/>
          <w:kern w:val="0"/>
          <w14:ligatures w14:val="none"/>
        </w:rPr>
        <w:t xml:space="preserve"> La majorité de la population. Le dosage standard s'applique. C'est pour ce groupe que les essais médicamenteux sont conçus.</w:t>
      </w:r>
    </w:p>
    <w:p w14:paraId="5BA14168"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ATTENTION SYSTÈME — MÉTABOLISEUR INTERMÉDIAIRE (IM)</w:t>
      </w:r>
      <w:r w:rsidRPr="00B74705">
        <w:rPr>
          <w:rFonts w:ascii="Times New Roman" w:eastAsia="Times New Roman" w:hAnsi="Times New Roman" w:cs="Times New Roman"/>
          <w:kern w:val="0"/>
          <w14:ligatures w14:val="none"/>
        </w:rPr>
        <w:t xml:space="preserve"> Fonction enzymatique réduite mais présente. Peut nécessiter des ajustements de dose.</w:t>
      </w:r>
    </w:p>
    <w:p w14:paraId="54571AB5"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MÉTABOLISEUR ULTRARAPIDE (UM)</w:t>
      </w:r>
      <w:r w:rsidRPr="00B74705">
        <w:rPr>
          <w:rFonts w:ascii="Times New Roman" w:eastAsia="Times New Roman" w:hAnsi="Times New Roman" w:cs="Times New Roman"/>
          <w:kern w:val="0"/>
          <w14:ligatures w14:val="none"/>
        </w:rPr>
        <w:t xml:space="preserve"> 1-10% de la population (varie selon l'ethnicité). Les médicaments sont éliminés trop vite pour un effet thérapeutique aux doses standard. La codéine est convertie en morphine DANGEREUSEMENT vite. Les Directives CPIC contre-indiquent la codéine pour les UM en raison du risque de surdosage.</w:t>
      </w:r>
    </w:p>
    <w:p w14:paraId="2CA8691F"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2CF70604">
          <v:rect id="_x0000_i1072" alt="" style="width:468pt;height:.05pt;mso-width-percent:0;mso-height-percent:0;mso-width-percent:0;mso-height-percent:0" o:hralign="center" o:hrstd="t" o:hr="t" fillcolor="#a0a0a0" stroked="f"/>
        </w:pict>
      </w:r>
    </w:p>
    <w:p w14:paraId="53D59C28" w14:textId="77777777" w:rsidR="00B74705" w:rsidRPr="00B74705" w:rsidRDefault="00B74705" w:rsidP="00B747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705">
        <w:rPr>
          <w:rFonts w:ascii="Times New Roman" w:eastAsia="Times New Roman" w:hAnsi="Times New Roman" w:cs="Times New Roman"/>
          <w:b/>
          <w:bCs/>
          <w:kern w:val="36"/>
          <w:sz w:val="48"/>
          <w:szCs w:val="48"/>
          <w14:ligatures w14:val="none"/>
        </w:rPr>
        <w:t>KERNEL 2</w:t>
      </w:r>
    </w:p>
    <w:p w14:paraId="44D498D3"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PROTOCOLES DE RÉDUCTION DES RISQUES</w:t>
      </w:r>
    </w:p>
    <w:p w14:paraId="2AF7BEE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Le Guide de Survie Festival — Une Approche Bio-Ingénierie</w:t>
      </w:r>
    </w:p>
    <w:p w14:paraId="7D628A9C"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lastRenderedPageBreak/>
        <w:t>🔧</w:t>
      </w:r>
      <w:r w:rsidRPr="00B74705">
        <w:rPr>
          <w:rFonts w:ascii="Times New Roman" w:eastAsia="Times New Roman" w:hAnsi="Times New Roman" w:cs="Times New Roman"/>
          <w:b/>
          <w:bCs/>
          <w:kern w:val="0"/>
          <w14:ligatures w14:val="none"/>
        </w:rPr>
        <w:t xml:space="preserve"> JOURNAL DE L'ARCHITECTE</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i/>
          <w:iCs/>
          <w:kern w:val="0"/>
          <w14:ligatures w14:val="none"/>
        </w:rPr>
        <w:t>Le Système Médical a essayé de traiter ma dépression post-festival avec des antidépresseurs. Ça a échoué. Ils n'ont pas compris que je n'étais pas 'déprimé' — j'étais 'épuisé'. Un antidépresseur, c'est comme mettre un couvercle sur un pot vide. Vous n'avez pas besoin d'un couvercle ; vous devez remplir le pot.</w:t>
      </w:r>
    </w:p>
    <w:p w14:paraId="486C90D0"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AVERTISSEMENT DE SÉCURITÉ UNIVERSEL</w:t>
      </w:r>
      <w:r w:rsidRPr="00B74705">
        <w:rPr>
          <w:rFonts w:ascii="Times New Roman" w:eastAsia="Times New Roman" w:hAnsi="Times New Roman" w:cs="Times New Roman"/>
          <w:kern w:val="0"/>
          <w14:ligatures w14:val="none"/>
        </w:rPr>
        <w:t xml:space="preserve"> Les protocoles de cette section sont UNIQUEMENT pour la RÉDUCTION DES RISQUES. Le choix le plus sûr est toujours l'abstinence. Ces substances comportent des risques graves, y compris la mort. Rien ici ne constitue un avis médical. Si vous ressentez des symptômes préoccupants, consultez immédiatement les urgences médicales.</w:t>
      </w:r>
    </w:p>
    <w:p w14:paraId="07FC4512"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3641AB22">
          <v:rect id="_x0000_i1037" style="width:0;height:1.5pt" o:hralign="center" o:hrstd="t" o:hr="t" fillcolor="#a0a0a0" stroked="f"/>
        </w:pict>
      </w:r>
    </w:p>
    <w:p w14:paraId="73F27E48"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Protocole 6.1 : Récupération MDMA &amp; Empathogènes</w:t>
      </w:r>
    </w:p>
    <w:p w14:paraId="38E37995"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Prévention du "Blues du Mardi" &amp; Protocole de Recharge en Sérotonine</w:t>
      </w:r>
    </w:p>
    <w:p w14:paraId="09BC127D"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Le Mécanisme d'Épuisement</w:t>
      </w:r>
    </w:p>
    <w:p w14:paraId="0F1DF238"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La MDMA fonctionne en forçant une libération massive de sérotonine stockée — la réserve entière de votre cerveau peut être épuisée en une seule session. L'euphorie que vous ressentez est votre stock de vie de substances chimiques du bien-être dépensé en une seule nuit.</w:t>
      </w:r>
    </w:p>
    <w:p w14:paraId="0AE219A6"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ATTENTION SYSTÈME — IMPACT GÉNÉTIQUE</w:t>
      </w:r>
      <w:r w:rsidRPr="00B74705">
        <w:rPr>
          <w:rFonts w:ascii="Times New Roman" w:eastAsia="Times New Roman" w:hAnsi="Times New Roman" w:cs="Times New Roman"/>
          <w:kern w:val="0"/>
          <w14:ligatures w14:val="none"/>
        </w:rPr>
        <w:t xml:space="preserve"> Si vous portez des variants MTHFR, votre 'pompe de recharge' en sérotonine fonctionne déjà à 30-70% de sa capacité. Ce qui prend 5-7 jours à une personne normale pour récupérer peut vous prendre 2-3 semaines.</w:t>
      </w:r>
    </w:p>
    <w:p w14:paraId="1EFEBDD6"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Phase 1 : Préchargement (3-7 Jours Avant)</w:t>
      </w:r>
    </w:p>
    <w:p w14:paraId="2DC58DFD"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SUPPLÉMENTS APPROUVÉS</w:t>
      </w:r>
      <w:r w:rsidRPr="00B74705">
        <w:rPr>
          <w:rFonts w:ascii="Times New Roman" w:eastAsia="Times New Roman" w:hAnsi="Times New Roman" w:cs="Times New Roman"/>
          <w:kern w:val="0"/>
          <w14:ligatures w14:val="none"/>
        </w:rPr>
        <w:t xml:space="preserve"> • Magnésium Glycinate (400-600mg/jour) : Réduit le serrement des mâchoires, soutient la fonction COMT • Vitamine C (1000-2000mg/jour) : Protection neuroprotectrice antioxydante • Acide Alpha-Lipoïque (600mg) + ALCAR (500mg) : Soutien mitochondrial • NAC (600-1200mg/jour) : Précurseur du glutathion — ARRÊTEZ 24-48h avant l'événement</w:t>
      </w:r>
    </w:p>
    <w:p w14:paraId="0EE4F52F"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Phase 3 : Récupération Post-Événement ("Le Kit de Recharge")</w:t>
      </w:r>
    </w:p>
    <w:p w14:paraId="009ED07D"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TIMING DU 5-HTP CRITIQUE.</w:t>
      </w:r>
      <w:r w:rsidRPr="00B74705">
        <w:rPr>
          <w:rFonts w:ascii="Times New Roman" w:eastAsia="Times New Roman" w:hAnsi="Times New Roman" w:cs="Times New Roman"/>
          <w:kern w:val="0"/>
          <w14:ligatures w14:val="none"/>
        </w:rPr>
        <w:t xml:space="preserve"> Ne prenez JAMAIS de 5-HTP dans les 24 heures suivant l'utilisation de MDMA. Cela peut provoquer un Syndrome Sérotoninergique potentiellement mortel. Attendez minimum 24 heures ; 48 heures est plus sûr.</w:t>
      </w:r>
    </w:p>
    <w:p w14:paraId="67B0F8A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STACK DE RÉCUPÉRATION (Début 24-48 Heures Après)</w:t>
      </w:r>
      <w:r w:rsidRPr="00B74705">
        <w:rPr>
          <w:rFonts w:ascii="Times New Roman" w:eastAsia="Times New Roman" w:hAnsi="Times New Roman" w:cs="Times New Roman"/>
          <w:kern w:val="0"/>
          <w14:ligatures w14:val="none"/>
        </w:rPr>
        <w:t xml:space="preserve"> • 5-HTP (50-100mg) + EGCG (400mg) : Précurseur de la sérotonine. Prendre le soir. • L-Tyrosine (500-1000mg) : Précurseur de la dopamine. Matin, à jeun. • Complexe B (formes méthylées) : </w:t>
      </w:r>
      <w:r w:rsidRPr="00B74705">
        <w:rPr>
          <w:rFonts w:ascii="Times New Roman" w:eastAsia="Times New Roman" w:hAnsi="Times New Roman" w:cs="Times New Roman"/>
          <w:kern w:val="0"/>
          <w14:ligatures w14:val="none"/>
        </w:rPr>
        <w:lastRenderedPageBreak/>
        <w:t>Cofacteurs pour la synthèse des neurotransmetteurs • Omega-3s (2-3g EPA+DHA) : Réparation des membranes neuronales</w:t>
      </w:r>
    </w:p>
    <w:p w14:paraId="0B4086E0"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104F06C7">
          <v:rect id="_x0000_i1038" style="width:0;height:1.5pt" o:hralign="center" o:hrstd="t" o:hr="t" fillcolor="#a0a0a0" stroked="f"/>
        </w:pict>
      </w:r>
    </w:p>
    <w:p w14:paraId="4582FAA5" w14:textId="77777777" w:rsidR="00B74705" w:rsidRPr="00B74705" w:rsidRDefault="00B74705" w:rsidP="00B747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705">
        <w:rPr>
          <w:rFonts w:ascii="Times New Roman" w:eastAsia="Times New Roman" w:hAnsi="Times New Roman" w:cs="Times New Roman"/>
          <w:b/>
          <w:bCs/>
          <w:kern w:val="36"/>
          <w:sz w:val="48"/>
          <w:szCs w:val="48"/>
          <w14:ligatures w14:val="none"/>
        </w:rPr>
        <w:t>KERNEL 3</w:t>
      </w:r>
    </w:p>
    <w:p w14:paraId="4CD6596B"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Protocole 6.7 : La Règle E.K.G. &amp; Matrice de Sécurité</w:t>
      </w:r>
    </w:p>
    <w:p w14:paraId="563130A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La Seule Règle Qui Peut Vous Sauver la Vie</w:t>
      </w:r>
    </w:p>
    <w:p w14:paraId="3824DEF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E + K = POSSIBLE | E + G = POSSIBLE | K + G = JAMAIS</w:t>
      </w:r>
    </w:p>
    <w:p w14:paraId="7989C70C"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Où :</w:t>
      </w:r>
      <w:r w:rsidRPr="00B74705">
        <w:rPr>
          <w:rFonts w:ascii="Times New Roman" w:eastAsia="Times New Roman" w:hAnsi="Times New Roman" w:cs="Times New Roman"/>
          <w:kern w:val="0"/>
          <w14:ligatures w14:val="none"/>
        </w:rPr>
        <w:t xml:space="preserve"> E = Ecstasy/MDMA | K = Kétamine | G = GHB/Alcool</w:t>
      </w:r>
    </w:p>
    <w:p w14:paraId="35A60F19"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La Matrice de Sécurité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1574"/>
        <w:gridCol w:w="1575"/>
        <w:gridCol w:w="1134"/>
        <w:gridCol w:w="1575"/>
        <w:gridCol w:w="1117"/>
        <w:gridCol w:w="1310"/>
      </w:tblGrid>
      <w:tr w:rsidR="00B74705" w:rsidRPr="00B74705" w14:paraId="2F6FA6D5" w14:textId="77777777">
        <w:trPr>
          <w:tblHeader/>
          <w:tblCellSpacing w:w="15" w:type="dxa"/>
        </w:trPr>
        <w:tc>
          <w:tcPr>
            <w:tcW w:w="0" w:type="auto"/>
            <w:vAlign w:val="center"/>
            <w:hideMark/>
          </w:tcPr>
          <w:p w14:paraId="3E9DEF99"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p>
        </w:tc>
        <w:tc>
          <w:tcPr>
            <w:tcW w:w="0" w:type="auto"/>
            <w:vAlign w:val="center"/>
            <w:hideMark/>
          </w:tcPr>
          <w:p w14:paraId="4BFD9F4A"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MDMA</w:t>
            </w:r>
          </w:p>
        </w:tc>
        <w:tc>
          <w:tcPr>
            <w:tcW w:w="0" w:type="auto"/>
            <w:vAlign w:val="center"/>
            <w:hideMark/>
          </w:tcPr>
          <w:p w14:paraId="5BD4CA80"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Cocaïne</w:t>
            </w:r>
          </w:p>
        </w:tc>
        <w:tc>
          <w:tcPr>
            <w:tcW w:w="0" w:type="auto"/>
            <w:vAlign w:val="center"/>
            <w:hideMark/>
          </w:tcPr>
          <w:p w14:paraId="0D696A91"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Kétamine</w:t>
            </w:r>
          </w:p>
        </w:tc>
        <w:tc>
          <w:tcPr>
            <w:tcW w:w="0" w:type="auto"/>
            <w:vAlign w:val="center"/>
            <w:hideMark/>
          </w:tcPr>
          <w:p w14:paraId="2029FCE4"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GHB</w:t>
            </w:r>
          </w:p>
        </w:tc>
        <w:tc>
          <w:tcPr>
            <w:tcW w:w="0" w:type="auto"/>
            <w:vAlign w:val="center"/>
            <w:hideMark/>
          </w:tcPr>
          <w:p w14:paraId="05D783DC"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Cannabis</w:t>
            </w:r>
          </w:p>
        </w:tc>
        <w:tc>
          <w:tcPr>
            <w:tcW w:w="0" w:type="auto"/>
            <w:vAlign w:val="center"/>
            <w:hideMark/>
          </w:tcPr>
          <w:p w14:paraId="37EA37E9"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Alcool</w:t>
            </w:r>
          </w:p>
        </w:tc>
      </w:tr>
      <w:tr w:rsidR="00B74705" w:rsidRPr="00B74705" w14:paraId="539B7DEC" w14:textId="77777777">
        <w:trPr>
          <w:tblCellSpacing w:w="15" w:type="dxa"/>
        </w:trPr>
        <w:tc>
          <w:tcPr>
            <w:tcW w:w="0" w:type="auto"/>
            <w:vAlign w:val="center"/>
            <w:hideMark/>
          </w:tcPr>
          <w:p w14:paraId="69601444"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MDMA</w:t>
            </w:r>
          </w:p>
        </w:tc>
        <w:tc>
          <w:tcPr>
            <w:tcW w:w="0" w:type="auto"/>
            <w:vAlign w:val="center"/>
            <w:hideMark/>
          </w:tcPr>
          <w:p w14:paraId="25F65B35"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w:t>
            </w:r>
          </w:p>
        </w:tc>
        <w:tc>
          <w:tcPr>
            <w:tcW w:w="0" w:type="auto"/>
            <w:vAlign w:val="center"/>
            <w:hideMark/>
          </w:tcPr>
          <w:p w14:paraId="7715C64F"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CARDIAQUE</w:t>
            </w:r>
          </w:p>
        </w:tc>
        <w:tc>
          <w:tcPr>
            <w:tcW w:w="0" w:type="auto"/>
            <w:vAlign w:val="center"/>
            <w:hideMark/>
          </w:tcPr>
          <w:p w14:paraId="1965BE89"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KITTY</w:t>
            </w:r>
          </w:p>
        </w:tc>
        <w:tc>
          <w:tcPr>
            <w:tcW w:w="0" w:type="auto"/>
            <w:vAlign w:val="center"/>
            <w:hideMark/>
          </w:tcPr>
          <w:p w14:paraId="6F4B4E94"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NEURO</w:t>
            </w:r>
          </w:p>
        </w:tc>
        <w:tc>
          <w:tcPr>
            <w:tcW w:w="0" w:type="auto"/>
            <w:vAlign w:val="center"/>
            <w:hideMark/>
          </w:tcPr>
          <w:p w14:paraId="3712888A"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OK</w:t>
            </w:r>
          </w:p>
        </w:tc>
        <w:tc>
          <w:tcPr>
            <w:tcW w:w="0" w:type="auto"/>
            <w:vAlign w:val="center"/>
            <w:hideMark/>
          </w:tcPr>
          <w:p w14:paraId="5D0CEAE0"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CHALEUR</w:t>
            </w:r>
          </w:p>
        </w:tc>
      </w:tr>
      <w:tr w:rsidR="00B74705" w:rsidRPr="00B74705" w14:paraId="00FC08EF" w14:textId="77777777">
        <w:trPr>
          <w:tblCellSpacing w:w="15" w:type="dxa"/>
        </w:trPr>
        <w:tc>
          <w:tcPr>
            <w:tcW w:w="0" w:type="auto"/>
            <w:vAlign w:val="center"/>
            <w:hideMark/>
          </w:tcPr>
          <w:p w14:paraId="0F3AABD1"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Cocaïne</w:t>
            </w:r>
          </w:p>
        </w:tc>
        <w:tc>
          <w:tcPr>
            <w:tcW w:w="0" w:type="auto"/>
            <w:vAlign w:val="center"/>
            <w:hideMark/>
          </w:tcPr>
          <w:p w14:paraId="58DE25AD"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CARDIAQUE</w:t>
            </w:r>
          </w:p>
        </w:tc>
        <w:tc>
          <w:tcPr>
            <w:tcW w:w="0" w:type="auto"/>
            <w:vAlign w:val="center"/>
            <w:hideMark/>
          </w:tcPr>
          <w:p w14:paraId="5D5832E4"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w:t>
            </w:r>
          </w:p>
        </w:tc>
        <w:tc>
          <w:tcPr>
            <w:tcW w:w="0" w:type="auto"/>
            <w:vAlign w:val="center"/>
            <w:hideMark/>
          </w:tcPr>
          <w:p w14:paraId="1BA534E4"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CK</w:t>
            </w:r>
          </w:p>
        </w:tc>
        <w:tc>
          <w:tcPr>
            <w:tcW w:w="0" w:type="auto"/>
            <w:vAlign w:val="center"/>
            <w:hideMark/>
          </w:tcPr>
          <w:p w14:paraId="2BEABD0F"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CARDIAQUE</w:t>
            </w:r>
          </w:p>
        </w:tc>
        <w:tc>
          <w:tcPr>
            <w:tcW w:w="0" w:type="auto"/>
            <w:vAlign w:val="center"/>
            <w:hideMark/>
          </w:tcPr>
          <w:p w14:paraId="6763C50F"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OK</w:t>
            </w:r>
          </w:p>
        </w:tc>
        <w:tc>
          <w:tcPr>
            <w:tcW w:w="0" w:type="auto"/>
            <w:vAlign w:val="center"/>
            <w:hideMark/>
          </w:tcPr>
          <w:p w14:paraId="798BBDC4"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COCAETH</w:t>
            </w:r>
          </w:p>
        </w:tc>
      </w:tr>
      <w:tr w:rsidR="00B74705" w:rsidRPr="00B74705" w14:paraId="2774131A" w14:textId="77777777">
        <w:trPr>
          <w:tblCellSpacing w:w="15" w:type="dxa"/>
        </w:trPr>
        <w:tc>
          <w:tcPr>
            <w:tcW w:w="0" w:type="auto"/>
            <w:vAlign w:val="center"/>
            <w:hideMark/>
          </w:tcPr>
          <w:p w14:paraId="5FEF6E8C"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Kétamine</w:t>
            </w:r>
          </w:p>
        </w:tc>
        <w:tc>
          <w:tcPr>
            <w:tcW w:w="0" w:type="auto"/>
            <w:vAlign w:val="center"/>
            <w:hideMark/>
          </w:tcPr>
          <w:p w14:paraId="7F70D3C3"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KITTY</w:t>
            </w:r>
          </w:p>
        </w:tc>
        <w:tc>
          <w:tcPr>
            <w:tcW w:w="0" w:type="auto"/>
            <w:vAlign w:val="center"/>
            <w:hideMark/>
          </w:tcPr>
          <w:p w14:paraId="2678E284"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CK</w:t>
            </w:r>
          </w:p>
        </w:tc>
        <w:tc>
          <w:tcPr>
            <w:tcW w:w="0" w:type="auto"/>
            <w:vAlign w:val="center"/>
            <w:hideMark/>
          </w:tcPr>
          <w:p w14:paraId="0696B367"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w:t>
            </w:r>
          </w:p>
        </w:tc>
        <w:tc>
          <w:tcPr>
            <w:tcW w:w="0" w:type="auto"/>
            <w:vAlign w:val="center"/>
            <w:hideMark/>
          </w:tcPr>
          <w:p w14:paraId="5E6D3AE7"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FATAL</w:t>
            </w:r>
          </w:p>
        </w:tc>
        <w:tc>
          <w:tcPr>
            <w:tcW w:w="0" w:type="auto"/>
            <w:vAlign w:val="center"/>
            <w:hideMark/>
          </w:tcPr>
          <w:p w14:paraId="1F798A82"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WONKY</w:t>
            </w:r>
          </w:p>
        </w:tc>
        <w:tc>
          <w:tcPr>
            <w:tcW w:w="0" w:type="auto"/>
            <w:vAlign w:val="center"/>
            <w:hideMark/>
          </w:tcPr>
          <w:p w14:paraId="14C367DC"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RESP</w:t>
            </w:r>
          </w:p>
        </w:tc>
      </w:tr>
      <w:tr w:rsidR="00B74705" w:rsidRPr="00B74705" w14:paraId="16042591" w14:textId="77777777">
        <w:trPr>
          <w:tblCellSpacing w:w="15" w:type="dxa"/>
        </w:trPr>
        <w:tc>
          <w:tcPr>
            <w:tcW w:w="0" w:type="auto"/>
            <w:vAlign w:val="center"/>
            <w:hideMark/>
          </w:tcPr>
          <w:p w14:paraId="2B0D9E6B"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GHB</w:t>
            </w:r>
          </w:p>
        </w:tc>
        <w:tc>
          <w:tcPr>
            <w:tcW w:w="0" w:type="auto"/>
            <w:vAlign w:val="center"/>
            <w:hideMark/>
          </w:tcPr>
          <w:p w14:paraId="44833DC5"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NEURO</w:t>
            </w:r>
          </w:p>
        </w:tc>
        <w:tc>
          <w:tcPr>
            <w:tcW w:w="0" w:type="auto"/>
            <w:vAlign w:val="center"/>
            <w:hideMark/>
          </w:tcPr>
          <w:p w14:paraId="79E592AB"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CARDIAQUE</w:t>
            </w:r>
          </w:p>
        </w:tc>
        <w:tc>
          <w:tcPr>
            <w:tcW w:w="0" w:type="auto"/>
            <w:vAlign w:val="center"/>
            <w:hideMark/>
          </w:tcPr>
          <w:p w14:paraId="77389DBB"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FATAL</w:t>
            </w:r>
          </w:p>
        </w:tc>
        <w:tc>
          <w:tcPr>
            <w:tcW w:w="0" w:type="auto"/>
            <w:vAlign w:val="center"/>
            <w:hideMark/>
          </w:tcPr>
          <w:p w14:paraId="520819A0"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w:t>
            </w:r>
          </w:p>
        </w:tc>
        <w:tc>
          <w:tcPr>
            <w:tcW w:w="0" w:type="auto"/>
            <w:vAlign w:val="center"/>
            <w:hideMark/>
          </w:tcPr>
          <w:p w14:paraId="1BCBF15C"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SNC</w:t>
            </w:r>
          </w:p>
        </w:tc>
        <w:tc>
          <w:tcPr>
            <w:tcW w:w="0" w:type="auto"/>
            <w:vAlign w:val="center"/>
            <w:hideMark/>
          </w:tcPr>
          <w:p w14:paraId="79F70EEA"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FATAL</w:t>
            </w:r>
          </w:p>
        </w:tc>
      </w:tr>
      <w:tr w:rsidR="00B74705" w:rsidRPr="00B74705" w14:paraId="650AC70F" w14:textId="77777777">
        <w:trPr>
          <w:tblCellSpacing w:w="15" w:type="dxa"/>
        </w:trPr>
        <w:tc>
          <w:tcPr>
            <w:tcW w:w="0" w:type="auto"/>
            <w:vAlign w:val="center"/>
            <w:hideMark/>
          </w:tcPr>
          <w:p w14:paraId="3821D736"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Cannabis</w:t>
            </w:r>
          </w:p>
        </w:tc>
        <w:tc>
          <w:tcPr>
            <w:tcW w:w="0" w:type="auto"/>
            <w:vAlign w:val="center"/>
            <w:hideMark/>
          </w:tcPr>
          <w:p w14:paraId="0549FA8D"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OK</w:t>
            </w:r>
          </w:p>
        </w:tc>
        <w:tc>
          <w:tcPr>
            <w:tcW w:w="0" w:type="auto"/>
            <w:vAlign w:val="center"/>
            <w:hideMark/>
          </w:tcPr>
          <w:p w14:paraId="021DB517"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OK</w:t>
            </w:r>
          </w:p>
        </w:tc>
        <w:tc>
          <w:tcPr>
            <w:tcW w:w="0" w:type="auto"/>
            <w:vAlign w:val="center"/>
            <w:hideMark/>
          </w:tcPr>
          <w:p w14:paraId="48B8D9DE"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WONKY</w:t>
            </w:r>
          </w:p>
        </w:tc>
        <w:tc>
          <w:tcPr>
            <w:tcW w:w="0" w:type="auto"/>
            <w:vAlign w:val="center"/>
            <w:hideMark/>
          </w:tcPr>
          <w:p w14:paraId="768B016C"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SNC</w:t>
            </w:r>
          </w:p>
        </w:tc>
        <w:tc>
          <w:tcPr>
            <w:tcW w:w="0" w:type="auto"/>
            <w:vAlign w:val="center"/>
            <w:hideMark/>
          </w:tcPr>
          <w:p w14:paraId="4DC29308"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w:t>
            </w:r>
          </w:p>
        </w:tc>
        <w:tc>
          <w:tcPr>
            <w:tcW w:w="0" w:type="auto"/>
            <w:vAlign w:val="center"/>
            <w:hideMark/>
          </w:tcPr>
          <w:p w14:paraId="3C8F6B0E"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CROISÉ</w:t>
            </w:r>
          </w:p>
        </w:tc>
      </w:tr>
      <w:tr w:rsidR="00B74705" w:rsidRPr="00B74705" w14:paraId="0360712A" w14:textId="77777777">
        <w:trPr>
          <w:tblCellSpacing w:w="15" w:type="dxa"/>
        </w:trPr>
        <w:tc>
          <w:tcPr>
            <w:tcW w:w="0" w:type="auto"/>
            <w:vAlign w:val="center"/>
            <w:hideMark/>
          </w:tcPr>
          <w:p w14:paraId="69837585"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Alcool</w:t>
            </w:r>
          </w:p>
        </w:tc>
        <w:tc>
          <w:tcPr>
            <w:tcW w:w="0" w:type="auto"/>
            <w:vAlign w:val="center"/>
            <w:hideMark/>
          </w:tcPr>
          <w:p w14:paraId="73405ECF"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CHALEUR</w:t>
            </w:r>
          </w:p>
        </w:tc>
        <w:tc>
          <w:tcPr>
            <w:tcW w:w="0" w:type="auto"/>
            <w:vAlign w:val="center"/>
            <w:hideMark/>
          </w:tcPr>
          <w:p w14:paraId="07820FD5"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COCAETH</w:t>
            </w:r>
          </w:p>
        </w:tc>
        <w:tc>
          <w:tcPr>
            <w:tcW w:w="0" w:type="auto"/>
            <w:vAlign w:val="center"/>
            <w:hideMark/>
          </w:tcPr>
          <w:p w14:paraId="23A60FC2"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RESP</w:t>
            </w:r>
          </w:p>
        </w:tc>
        <w:tc>
          <w:tcPr>
            <w:tcW w:w="0" w:type="auto"/>
            <w:vAlign w:val="center"/>
            <w:hideMark/>
          </w:tcPr>
          <w:p w14:paraId="34B753DA"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FATAL</w:t>
            </w:r>
          </w:p>
        </w:tc>
        <w:tc>
          <w:tcPr>
            <w:tcW w:w="0" w:type="auto"/>
            <w:vAlign w:val="center"/>
            <w:hideMark/>
          </w:tcPr>
          <w:p w14:paraId="7818ABE2"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CROISÉ</w:t>
            </w:r>
          </w:p>
        </w:tc>
        <w:tc>
          <w:tcPr>
            <w:tcW w:w="0" w:type="auto"/>
            <w:vAlign w:val="center"/>
            <w:hideMark/>
          </w:tcPr>
          <w:p w14:paraId="6586E733"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w:t>
            </w:r>
          </w:p>
        </w:tc>
      </w:tr>
    </w:tbl>
    <w:p w14:paraId="25E1FF5F"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Légende :</w:t>
      </w:r>
    </w:p>
    <w:p w14:paraId="6A0EB24E"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VERT :</w:t>
      </w:r>
      <w:r w:rsidRPr="00B74705">
        <w:rPr>
          <w:rFonts w:ascii="Times New Roman" w:eastAsia="Times New Roman" w:hAnsi="Times New Roman" w:cs="Times New Roman"/>
          <w:kern w:val="0"/>
          <w14:ligatures w14:val="none"/>
        </w:rPr>
        <w:t xml:space="preserve"> Risque aigu plus faible (toujours pas sans danger)</w:t>
      </w:r>
    </w:p>
    <w:p w14:paraId="50DB4F86"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JAUNE :</w:t>
      </w:r>
      <w:r w:rsidRPr="00B74705">
        <w:rPr>
          <w:rFonts w:ascii="Times New Roman" w:eastAsia="Times New Roman" w:hAnsi="Times New Roman" w:cs="Times New Roman"/>
          <w:kern w:val="0"/>
          <w14:ligatures w14:val="none"/>
        </w:rPr>
        <w:t xml:space="preserve"> Prudence — risque accru, dépend du timing</w:t>
      </w:r>
    </w:p>
    <w:p w14:paraId="0886A4D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ROUGE :</w:t>
      </w:r>
      <w:r w:rsidRPr="00B74705">
        <w:rPr>
          <w:rFonts w:ascii="Times New Roman" w:eastAsia="Times New Roman" w:hAnsi="Times New Roman" w:cs="Times New Roman"/>
          <w:kern w:val="0"/>
          <w14:ligatures w14:val="none"/>
        </w:rPr>
        <w:t xml:space="preserve"> Dangereux — risque de dommage significatif</w:t>
      </w:r>
    </w:p>
    <w:p w14:paraId="306DB74D"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CRÂNE :</w:t>
      </w:r>
      <w:r w:rsidRPr="00B74705">
        <w:rPr>
          <w:rFonts w:ascii="Times New Roman" w:eastAsia="Times New Roman" w:hAnsi="Times New Roman" w:cs="Times New Roman"/>
          <w:kern w:val="0"/>
          <w14:ligatures w14:val="none"/>
        </w:rPr>
        <w:t xml:space="preserve"> Potentiellement fatal — NE PAS COMBINER</w:t>
      </w:r>
    </w:p>
    <w:p w14:paraId="7C1DC27C"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lastRenderedPageBreak/>
        <w:pict w14:anchorId="42C3C873">
          <v:rect id="_x0000_i1039" style="width:0;height:1.5pt" o:hralign="center" o:hrstd="t" o:hr="t" fillcolor="#a0a0a0" stroked="f"/>
        </w:pict>
      </w:r>
    </w:p>
    <w:p w14:paraId="1CBB141F"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Apple Color Emoji" w:eastAsia="Times New Roman" w:hAnsi="Apple Color Emoji" w:cs="Apple Color Emoji"/>
          <w:b/>
          <w:bCs/>
          <w:kern w:val="0"/>
          <w:sz w:val="36"/>
          <w:szCs w:val="36"/>
          <w14:ligatures w14:val="none"/>
        </w:rPr>
        <w:t>⚠️</w:t>
      </w:r>
      <w:r w:rsidRPr="00B74705">
        <w:rPr>
          <w:rFonts w:ascii="Times New Roman" w:eastAsia="Times New Roman" w:hAnsi="Times New Roman" w:cs="Times New Roman"/>
          <w:b/>
          <w:bCs/>
          <w:kern w:val="0"/>
          <w:sz w:val="36"/>
          <w:szCs w:val="36"/>
          <w14:ligatures w14:val="none"/>
        </w:rPr>
        <w:t xml:space="preserve"> Code Rouge : Interactions avec les Médicaments Psychiatriques</w:t>
      </w:r>
    </w:p>
    <w:p w14:paraId="4FFFB384"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Les Dangers Spécifiques</w:t>
      </w:r>
    </w:p>
    <w:p w14:paraId="1F96A905"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LITHIUM + MDMA/STIMULANTS</w:t>
      </w:r>
      <w:r w:rsidRPr="00B74705">
        <w:rPr>
          <w:rFonts w:ascii="Times New Roman" w:eastAsia="Times New Roman" w:hAnsi="Times New Roman" w:cs="Times New Roman"/>
          <w:kern w:val="0"/>
          <w14:ligatures w14:val="none"/>
        </w:rPr>
        <w:t xml:space="preserve"> Syndrome sérotoninergique + dommages cérébelleux permanents. Le lithium abaisse le seuil convulsif. La MDMA provoque l'hyperthermie. Combinés : potentiel de dommages cérébraux permanents en une seule exposition.</w:t>
      </w:r>
    </w:p>
    <w:p w14:paraId="71DEE507"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LAMOTRIGINE + MDMA :</w:t>
      </w:r>
      <w:r w:rsidRPr="00B74705">
        <w:rPr>
          <w:rFonts w:ascii="Times New Roman" w:eastAsia="Times New Roman" w:hAnsi="Times New Roman" w:cs="Times New Roman"/>
          <w:kern w:val="0"/>
          <w14:ligatures w14:val="none"/>
        </w:rPr>
        <w:t xml:space="preserve"> Convulsions, déstabilisation de l'humeur, interactions imprévisibles. La lamotrigine affecte la signalisation du glutamate. La MDMA perturbe les mêmes systèmes.</w:t>
      </w:r>
    </w:p>
    <w:p w14:paraId="0F0530F0"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IMAOs + TOUT SÉROTONINERGIQUE</w:t>
      </w:r>
      <w:r w:rsidRPr="00B74705">
        <w:rPr>
          <w:rFonts w:ascii="Times New Roman" w:eastAsia="Times New Roman" w:hAnsi="Times New Roman" w:cs="Times New Roman"/>
          <w:kern w:val="0"/>
          <w14:ligatures w14:val="none"/>
        </w:rPr>
        <w:t xml:space="preserve"> Les IMAOs empêchent la dégradation de la sérotonine. Ajoutez n'importe quelle substance libérant de la sérotonine = accumulation catastrophique. Défaillance multiorganique. Mort.</w:t>
      </w:r>
    </w:p>
    <w:p w14:paraId="5533102C"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ANTIPSYCHOTIQUES + STIMULANTS</w:t>
      </w:r>
      <w:r w:rsidRPr="00B74705">
        <w:rPr>
          <w:rFonts w:ascii="Times New Roman" w:eastAsia="Times New Roman" w:hAnsi="Times New Roman" w:cs="Times New Roman"/>
          <w:kern w:val="0"/>
          <w14:ligatures w14:val="none"/>
        </w:rPr>
        <w:t xml:space="preserve"> Syndrome malin des neuroleptiques. Blocage de la dopamine + libération de dopamine = urgence neurologique.</w:t>
      </w:r>
    </w:p>
    <w:p w14:paraId="23004F8A"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6BEDBA8B">
          <v:rect id="_x0000_i1040" style="width:0;height:1.5pt" o:hralign="center" o:hrstd="t" o:hr="t" fillcolor="#a0a0a0" stroked="f"/>
        </w:pict>
      </w:r>
    </w:p>
    <w:p w14:paraId="5DF815A8"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L'Erreur "Forcer la Fermeture"</w:t>
      </w:r>
    </w:p>
    <w:p w14:paraId="1163B489"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Dangers du Sommeil Chimique : Bio-Freinage &amp; L'Écart du Speedball</w:t>
      </w:r>
    </w:p>
    <w:p w14:paraId="3911B1D4"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Le Frein &amp; L'Accélérateur</w:t>
      </w:r>
    </w:p>
    <w:p w14:paraId="76DFE57C"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JOURNAL DE L'ARCHITECTE</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i/>
          <w:iCs/>
          <w:kern w:val="0"/>
          <w14:ligatures w14:val="none"/>
        </w:rPr>
        <w:t>La croyance que Stimulant (+1) plus Dépresseur (-1) égale Sobre (0) est catastrophiquement fausse. Quand vous appuyez à fond sur l'accélérateur et écrasez le frein simultanément, le moteur ne revient pas au ralenti — il lutte contre les freins. La transmission grince. Le groupe motopropulseur subit un stress structurel massif. Votre cœur est le moteur. Votre tronc cérébral est la transmission. Les drogues sont les pédales.</w:t>
      </w:r>
    </w:p>
    <w:p w14:paraId="0673AD3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LE RÉSULTAT N'EST PAS ÉQUILIBRÉ.</w:t>
      </w:r>
      <w:r w:rsidRPr="00B74705">
        <w:rPr>
          <w:rFonts w:ascii="Times New Roman" w:eastAsia="Times New Roman" w:hAnsi="Times New Roman" w:cs="Times New Roman"/>
          <w:kern w:val="0"/>
          <w14:ligatures w14:val="none"/>
        </w:rPr>
        <w:t xml:space="preserve"> C'est le chaos. Votre cœur reçoit des signaux contradictoires — pomper plus vite ET plus lentement. Vos vaisseaux sanguins reçoivent l'ordre de se contracter ET de se dilater. </w:t>
      </w:r>
      <w:r w:rsidRPr="00B74705">
        <w:rPr>
          <w:rFonts w:ascii="Times New Roman" w:eastAsia="Times New Roman" w:hAnsi="Times New Roman" w:cs="Times New Roman"/>
          <w:kern w:val="0"/>
          <w14:ligatures w14:val="none"/>
        </w:rPr>
        <w:lastRenderedPageBreak/>
        <w:t>Votre centre respiratoire reçoit l'ordre de respirer rapidement ET lentement. Le tronc cérébral ne peut pas réconcilier ces instructions.</w:t>
      </w:r>
    </w:p>
    <w:p w14:paraId="1EC94232"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L'Effet "Balançoire" — GHB Pendant l'Usage de Stimulants</w:t>
      </w:r>
    </w:p>
    <w:p w14:paraId="29FD2D84"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Imaginez deux enfants sur une balançoire. Un enfant (sur un stimulant) vous maintient </w:t>
      </w:r>
      <w:r w:rsidRPr="00B74705">
        <w:rPr>
          <w:rFonts w:ascii="Times New Roman" w:eastAsia="Times New Roman" w:hAnsi="Times New Roman" w:cs="Times New Roman"/>
          <w:b/>
          <w:bCs/>
          <w:kern w:val="0"/>
          <w14:ligatures w14:val="none"/>
        </w:rPr>
        <w:t>EN HAUT</w:t>
      </w:r>
      <w:r w:rsidRPr="00B74705">
        <w:rPr>
          <w:rFonts w:ascii="Times New Roman" w:eastAsia="Times New Roman" w:hAnsi="Times New Roman" w:cs="Times New Roman"/>
          <w:kern w:val="0"/>
          <w14:ligatures w14:val="none"/>
        </w:rPr>
        <w:t xml:space="preserve"> — cœur qui pompe, respiration active. L'autre enfant (GHB) vous pousse </w:t>
      </w:r>
      <w:r w:rsidRPr="00B74705">
        <w:rPr>
          <w:rFonts w:ascii="Times New Roman" w:eastAsia="Times New Roman" w:hAnsi="Times New Roman" w:cs="Times New Roman"/>
          <w:b/>
          <w:bCs/>
          <w:kern w:val="0"/>
          <w14:ligatures w14:val="none"/>
        </w:rPr>
        <w:t>EN BAS</w:t>
      </w:r>
      <w:r w:rsidRPr="00B74705">
        <w:rPr>
          <w:rFonts w:ascii="Times New Roman" w:eastAsia="Times New Roman" w:hAnsi="Times New Roman" w:cs="Times New Roman"/>
          <w:kern w:val="0"/>
          <w14:ligatures w14:val="none"/>
        </w:rPr>
        <w:t xml:space="preserve"> — cœur qui ralentit, respiration superficielle. Pendant que les deux jouent, vous êtes suspendu.</w:t>
      </w:r>
    </w:p>
    <w:p w14:paraId="70C7E104"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La "Stimulation Alpha Non Opposée" — Bêtabloquants</w:t>
      </w:r>
    </w:p>
    <w:p w14:paraId="3F103BE8"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Certaines personnes prennent des bêtabloquants pour 'gérer' un cœur qui s'emballe à cause de la cocaïne ou des amphétamines. Cela peut provoquer un AVC ou une insuffisance cardiaque.</w:t>
      </w:r>
    </w:p>
    <w:p w14:paraId="6CD70ADF"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JOURNAL DE L'ARCHITECTE</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i/>
          <w:iCs/>
          <w:kern w:val="0"/>
          <w14:ligatures w14:val="none"/>
        </w:rPr>
        <w:t>Les stimulants activent deux systèmes : les récepteurs Alpha (qui contractent les vaisseaux sanguins) et les récepteurs Bêta (qui font pomper le cœur plus fort). Les bêtabloquants arrêtent la pompe mais laissent la constriction. Vous avez éteint la pompe alors que les tuyaux sont encore pincés. La pression artérielle EXPLOSE. Les artères coronaires SPASMENT. C'est dans les manuels médicaux — les bêtabloquants sont CONTRE-INDIQUÉS en cas de toxicité à la cocaïne.</w:t>
      </w:r>
    </w:p>
    <w:p w14:paraId="10C8F3D1"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L'Alternative Sûre : Le Cycle de 'Refroidissement'</w:t>
      </w:r>
    </w:p>
    <w:p w14:paraId="083E547F"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MODE SÉCURISÉ — Ne Pas Forcer la Fermeture, Ralentir</w:t>
      </w:r>
      <w:r w:rsidRPr="00B74705">
        <w:rPr>
          <w:rFonts w:ascii="Times New Roman" w:eastAsia="Times New Roman" w:hAnsi="Times New Roman" w:cs="Times New Roman"/>
          <w:kern w:val="0"/>
          <w14:ligatures w14:val="none"/>
        </w:rPr>
        <w:t xml:space="preserve"> • Environnement : Lumières tamisées, température fraîche, réduire la stimulation • Magnésium Glycinate (400-600mg) : Soutien GABA, non sédatif • L-Théanine (200-400mg) : Calme vigilant, pas de dépression respiratoire • Phosphatidylsérine (300mg) : Réducteur de cortisol • TEMPS : Le seul antidote sûr à l'intoxication aux stimulants </w:t>
      </w: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Si vous ne pouvez pas dormir : C'est votre corps qui vous protège. Reposez-vous sans dormir.</w:t>
      </w:r>
    </w:p>
    <w:p w14:paraId="5A3C4F1F"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1A1A4D60">
          <v:rect id="_x0000_i1041" style="width:0;height:1.5pt" o:hralign="center" o:hrstd="t" o:hr="t" fillcolor="#a0a0a0" stroked="f"/>
        </w:pict>
      </w:r>
    </w:p>
    <w:p w14:paraId="56B440EF" w14:textId="77777777" w:rsidR="00B74705" w:rsidRPr="00B74705" w:rsidRDefault="00B74705" w:rsidP="00B747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705">
        <w:rPr>
          <w:rFonts w:ascii="Times New Roman" w:eastAsia="Times New Roman" w:hAnsi="Times New Roman" w:cs="Times New Roman"/>
          <w:b/>
          <w:bCs/>
          <w:kern w:val="36"/>
          <w:sz w:val="48"/>
          <w:szCs w:val="48"/>
          <w14:ligatures w14:val="none"/>
        </w:rPr>
        <w:t>KERNEL 4</w:t>
      </w:r>
    </w:p>
    <w:p w14:paraId="5C2C078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ANALYSES POST-MORTEM</w:t>
      </w:r>
    </w:p>
    <w:p w14:paraId="2028FBA4"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Les Échecs Système Que Nous Avons Perdus</w:t>
      </w:r>
    </w:p>
    <w:p w14:paraId="5F4A8E4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Ce qui suit n'est pas des commérages. Ce n'est pas un jugement. C'est une </w:t>
      </w:r>
      <w:r w:rsidRPr="00B74705">
        <w:rPr>
          <w:rFonts w:ascii="Times New Roman" w:eastAsia="Times New Roman" w:hAnsi="Times New Roman" w:cs="Times New Roman"/>
          <w:b/>
          <w:bCs/>
          <w:kern w:val="0"/>
          <w14:ligatures w14:val="none"/>
        </w:rPr>
        <w:t>analyse d'ingénierie forensique</w:t>
      </w:r>
      <w:r w:rsidRPr="00B74705">
        <w:rPr>
          <w:rFonts w:ascii="Times New Roman" w:eastAsia="Times New Roman" w:hAnsi="Times New Roman" w:cs="Times New Roman"/>
          <w:kern w:val="0"/>
          <w14:ligatures w14:val="none"/>
        </w:rPr>
        <w:t xml:space="preserve"> — comparable à une enquête sur un crash d'avion. Nous examinons les échecs système qui ont tué les talents les plus brillants de plusieurs générations. Ils n'étaient pas faibles. Ils n'avaient pas de déficiences morales. </w:t>
      </w:r>
      <w:r w:rsidRPr="00B74705">
        <w:rPr>
          <w:rFonts w:ascii="Times New Roman" w:eastAsia="Times New Roman" w:hAnsi="Times New Roman" w:cs="Times New Roman"/>
          <w:b/>
          <w:bCs/>
          <w:kern w:val="0"/>
          <w14:ligatures w14:val="none"/>
        </w:rPr>
        <w:t>Leurs systèmes ont planté.</w:t>
      </w:r>
    </w:p>
    <w:p w14:paraId="4A403EFC"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lastRenderedPageBreak/>
        <w:t>🔧</w:t>
      </w:r>
      <w:r w:rsidRPr="00B74705">
        <w:rPr>
          <w:rFonts w:ascii="Times New Roman" w:eastAsia="Times New Roman" w:hAnsi="Times New Roman" w:cs="Times New Roman"/>
          <w:b/>
          <w:bCs/>
          <w:kern w:val="0"/>
          <w14:ligatures w14:val="none"/>
        </w:rPr>
        <w:t xml:space="preserve"> JOURNAL DE L'ARCHITECTE :</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i/>
          <w:iCs/>
          <w:kern w:val="0"/>
          <w14:ligatures w14:val="none"/>
        </w:rPr>
        <w:t>Ces artistes avaient tout l'argent du monde. Des médecins privés. Des centres de désintoxication de luxe. Des équipes de soutien. Ce qu'ils n'avaient pas, c'était un manuel d'utilisation pour leur propre biologie. Vous, si.</w:t>
      </w:r>
    </w:p>
    <w:p w14:paraId="1DBD2E8D"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7E171E7C">
          <v:rect id="_x0000_i1042" style="width:0;height:1.5pt" o:hralign="center" o:hrstd="t" o:hr="t" fillcolor="#a0a0a0" stroked="f"/>
        </w:pict>
      </w:r>
    </w:p>
    <w:p w14:paraId="7DAFAB5D"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Apple Color Emoji" w:eastAsia="Times New Roman" w:hAnsi="Apple Color Emoji" w:cs="Apple Color Emoji"/>
          <w:b/>
          <w:bCs/>
          <w:kern w:val="0"/>
          <w:sz w:val="36"/>
          <w:szCs w:val="36"/>
          <w14:ligatures w14:val="none"/>
        </w:rPr>
        <w:t>📂</w:t>
      </w:r>
      <w:r w:rsidRPr="00B74705">
        <w:rPr>
          <w:rFonts w:ascii="Times New Roman" w:eastAsia="Times New Roman" w:hAnsi="Times New Roman" w:cs="Times New Roman"/>
          <w:b/>
          <w:bCs/>
          <w:kern w:val="0"/>
          <w:sz w:val="36"/>
          <w:szCs w:val="36"/>
          <w14:ligatures w14:val="none"/>
        </w:rPr>
        <w:t xml:space="preserve"> DOSSIERS DE CAS : LES VICTIMES DE L'ÂGE D'OR</w:t>
      </w:r>
    </w:p>
    <w:p w14:paraId="574E0E50"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Apple Color Emoji" w:eastAsia="Times New Roman" w:hAnsi="Apple Color Emoji" w:cs="Apple Color Emoji"/>
          <w:b/>
          <w:bCs/>
          <w:kern w:val="0"/>
          <w:sz w:val="27"/>
          <w:szCs w:val="27"/>
          <w14:ligatures w14:val="none"/>
        </w:rPr>
        <w:t>📁</w:t>
      </w:r>
      <w:r w:rsidRPr="00B74705">
        <w:rPr>
          <w:rFonts w:ascii="Times New Roman" w:eastAsia="Times New Roman" w:hAnsi="Times New Roman" w:cs="Times New Roman"/>
          <w:b/>
          <w:bCs/>
          <w:kern w:val="0"/>
          <w:sz w:val="27"/>
          <w:szCs w:val="27"/>
          <w14:ligatures w14:val="none"/>
        </w:rPr>
        <w:t xml:space="preserve"> DOSSIER POST-MORTEM : MARILYN MONROE (1926-1962)</w:t>
      </w:r>
    </w:p>
    <w:p w14:paraId="6887F2BE"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MODE D'ÉCHEC : </w:t>
      </w:r>
      <w:r w:rsidRPr="00B74705">
        <w:rPr>
          <w:rFonts w:ascii="Times New Roman" w:eastAsia="Times New Roman" w:hAnsi="Times New Roman" w:cs="Times New Roman"/>
          <w:b/>
          <w:bCs/>
          <w:kern w:val="0"/>
          <w14:ligatures w14:val="none"/>
        </w:rPr>
        <w:t>La Tragédie de Prescription Originale</w:t>
      </w:r>
    </w:p>
    <w:p w14:paraId="4278618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Cause Officielle du Décès :</w:t>
      </w:r>
      <w:r w:rsidRPr="00B74705">
        <w:rPr>
          <w:rFonts w:ascii="Times New Roman" w:eastAsia="Times New Roman" w:hAnsi="Times New Roman" w:cs="Times New Roman"/>
          <w:kern w:val="0"/>
          <w14:ligatures w14:val="none"/>
        </w:rPr>
        <w:t xml:space="preserve"> Empoisonnement aigu aux barbituriques (Nembutal + hydrate de chloral). Probable suicide.</w:t>
      </w:r>
    </w:p>
    <w:p w14:paraId="1F415CB8"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Substances :</w:t>
      </w:r>
      <w:r w:rsidRPr="00B74705">
        <w:rPr>
          <w:rFonts w:ascii="Times New Roman" w:eastAsia="Times New Roman" w:hAnsi="Times New Roman" w:cs="Times New Roman"/>
          <w:kern w:val="0"/>
          <w14:ligatures w14:val="none"/>
        </w:rPr>
        <w:t xml:space="preserve"> Multiples prescriptions de barbituriques de plusieurs médecins</w:t>
      </w:r>
    </w:p>
    <w:p w14:paraId="298EC3EE"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Hypothèse Génétique :</w:t>
      </w:r>
      <w:r w:rsidRPr="00B74705">
        <w:rPr>
          <w:rFonts w:ascii="Times New Roman" w:eastAsia="Times New Roman" w:hAnsi="Times New Roman" w:cs="Times New Roman"/>
          <w:kern w:val="0"/>
          <w14:ligatures w14:val="none"/>
        </w:rPr>
        <w:t xml:space="preserve"> Métaboliseur Lent CYP2C19 + chaos multi-prescripteurs</w:t>
      </w:r>
    </w:p>
    <w:p w14:paraId="64FF471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ANALYSE D'ÉCHEC SYSTÈME :</w:t>
      </w:r>
      <w:r w:rsidRPr="00B74705">
        <w:rPr>
          <w:rFonts w:ascii="Times New Roman" w:eastAsia="Times New Roman" w:hAnsi="Times New Roman" w:cs="Times New Roman"/>
          <w:kern w:val="0"/>
          <w14:ligatures w14:val="none"/>
        </w:rPr>
        <w:t xml:space="preserve"> Marilyn recevait des barbituriques de plusieurs médecins qui ne communiquaient pas — le 'doctor shopping' original. Son insomnie et son anxiété suggèrent un possible statut COMT Met/Met. Les barbituriques ont une fenêtre thérapeutique extrêmement étroite. Les variants CYP2C19 affectent dramatiquement le métabolisme. Un métaboliseur lent accumule des niveaux toxiques à des doses 'normales'.</w:t>
      </w:r>
    </w:p>
    <w:p w14:paraId="30564D90"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INTERVENTION PRÉVENTIVE :</w:t>
      </w:r>
      <w:r w:rsidRPr="00B74705">
        <w:rPr>
          <w:rFonts w:ascii="Times New Roman" w:eastAsia="Times New Roman" w:hAnsi="Times New Roman" w:cs="Times New Roman"/>
          <w:kern w:val="0"/>
          <w14:ligatures w14:val="none"/>
        </w:rPr>
        <w:t xml:space="preserve"> Une prescription coordonnée et des tests CYP2C19 auraient pu prévenir l'accumulation qui l'a tuée. Elle avait 36 ans.</w:t>
      </w:r>
    </w:p>
    <w:p w14:paraId="79EA66D9"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Apple Color Emoji" w:eastAsia="Times New Roman" w:hAnsi="Apple Color Emoji" w:cs="Apple Color Emoji"/>
          <w:b/>
          <w:bCs/>
          <w:kern w:val="0"/>
          <w:sz w:val="27"/>
          <w:szCs w:val="27"/>
          <w14:ligatures w14:val="none"/>
        </w:rPr>
        <w:t>📁</w:t>
      </w:r>
      <w:r w:rsidRPr="00B74705">
        <w:rPr>
          <w:rFonts w:ascii="Times New Roman" w:eastAsia="Times New Roman" w:hAnsi="Times New Roman" w:cs="Times New Roman"/>
          <w:b/>
          <w:bCs/>
          <w:kern w:val="0"/>
          <w:sz w:val="27"/>
          <w:szCs w:val="27"/>
          <w14:ligatures w14:val="none"/>
        </w:rPr>
        <w:t xml:space="preserve"> DOSSIER POST-MORTEM : ELVIS PRESLEY (1935-1977)</w:t>
      </w:r>
    </w:p>
    <w:p w14:paraId="3078955C"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MODE D'ÉCHEC : </w:t>
      </w:r>
      <w:r w:rsidRPr="00B74705">
        <w:rPr>
          <w:rFonts w:ascii="Times New Roman" w:eastAsia="Times New Roman" w:hAnsi="Times New Roman" w:cs="Times New Roman"/>
          <w:b/>
          <w:bCs/>
          <w:kern w:val="0"/>
          <w14:ligatures w14:val="none"/>
        </w:rPr>
        <w:t>Le Roi de la Polypharmacie</w:t>
      </w:r>
    </w:p>
    <w:p w14:paraId="1D06ADEF"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Cause Officielle du Décès :</w:t>
      </w:r>
      <w:r w:rsidRPr="00B74705">
        <w:rPr>
          <w:rFonts w:ascii="Times New Roman" w:eastAsia="Times New Roman" w:hAnsi="Times New Roman" w:cs="Times New Roman"/>
          <w:kern w:val="0"/>
          <w14:ligatures w14:val="none"/>
        </w:rPr>
        <w:t xml:space="preserve"> Arythmie cardiaque avec multiples médicaments comme facteurs contributifs</w:t>
      </w:r>
    </w:p>
    <w:p w14:paraId="244B768E"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Substances :</w:t>
      </w:r>
      <w:r w:rsidRPr="00B74705">
        <w:rPr>
          <w:rFonts w:ascii="Times New Roman" w:eastAsia="Times New Roman" w:hAnsi="Times New Roman" w:cs="Times New Roman"/>
          <w:kern w:val="0"/>
          <w14:ligatures w14:val="none"/>
        </w:rPr>
        <w:t xml:space="preserve"> 14+ substances différentes trouvées à l'autopsie</w:t>
      </w:r>
    </w:p>
    <w:p w14:paraId="7E0FD90F"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Hypothèse Génétique :</w:t>
      </w:r>
      <w:r w:rsidRPr="00B74705">
        <w:rPr>
          <w:rFonts w:ascii="Times New Roman" w:eastAsia="Times New Roman" w:hAnsi="Times New Roman" w:cs="Times New Roman"/>
          <w:kern w:val="0"/>
          <w14:ligatures w14:val="none"/>
        </w:rPr>
        <w:t xml:space="preserve"> Empilement de substrats CYP450 + variants COMT/MTHFR</w:t>
      </w:r>
    </w:p>
    <w:p w14:paraId="41070C7C"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ANALYSE D'ÉCHEC SYSTÈME :</w:t>
      </w:r>
      <w:r w:rsidRPr="00B74705">
        <w:rPr>
          <w:rFonts w:ascii="Times New Roman" w:eastAsia="Times New Roman" w:hAnsi="Times New Roman" w:cs="Times New Roman"/>
          <w:kern w:val="0"/>
          <w14:ligatures w14:val="none"/>
        </w:rPr>
        <w:t xml:space="preserve"> Le régime médicamenteux extensif d'Elvis a créé une collision CYP450. Chaque médicament rivalisait pour les mêmes enzymes. L'accumulation était inévitable. Ses médecins n'avaient aucune compréhension de la pharmacogénomique.</w:t>
      </w:r>
    </w:p>
    <w:p w14:paraId="4676CA70"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lastRenderedPageBreak/>
        <w:t>💡</w:t>
      </w:r>
      <w:r w:rsidRPr="00B74705">
        <w:rPr>
          <w:rFonts w:ascii="Times New Roman" w:eastAsia="Times New Roman" w:hAnsi="Times New Roman" w:cs="Times New Roman"/>
          <w:b/>
          <w:bCs/>
          <w:kern w:val="0"/>
          <w14:ligatures w14:val="none"/>
        </w:rPr>
        <w:t xml:space="preserve"> INTERVENTION PRÉVENTIVE :</w:t>
      </w:r>
      <w:r w:rsidRPr="00B74705">
        <w:rPr>
          <w:rFonts w:ascii="Times New Roman" w:eastAsia="Times New Roman" w:hAnsi="Times New Roman" w:cs="Times New Roman"/>
          <w:kern w:val="0"/>
          <w14:ligatures w14:val="none"/>
        </w:rPr>
        <w:t xml:space="preserve"> Tout prescripteur informé en pharmacogénomique aurait vu la collision venir.</w:t>
      </w:r>
    </w:p>
    <w:p w14:paraId="5640F8E9"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57F9673E">
          <v:rect id="_x0000_i1043" style="width:0;height:1.5pt" o:hralign="center" o:hrstd="t" o:hr="t" fillcolor="#a0a0a0" stroked="f"/>
        </w:pict>
      </w:r>
    </w:p>
    <w:p w14:paraId="1599F4C3"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Apple Color Emoji" w:eastAsia="Times New Roman" w:hAnsi="Apple Color Emoji" w:cs="Apple Color Emoji"/>
          <w:b/>
          <w:bCs/>
          <w:kern w:val="0"/>
          <w:sz w:val="36"/>
          <w:szCs w:val="36"/>
          <w14:ligatures w14:val="none"/>
        </w:rPr>
        <w:t>📂</w:t>
      </w:r>
      <w:r w:rsidRPr="00B74705">
        <w:rPr>
          <w:rFonts w:ascii="Times New Roman" w:eastAsia="Times New Roman" w:hAnsi="Times New Roman" w:cs="Times New Roman"/>
          <w:b/>
          <w:bCs/>
          <w:kern w:val="0"/>
          <w:sz w:val="36"/>
          <w:szCs w:val="36"/>
          <w14:ligatures w14:val="none"/>
        </w:rPr>
        <w:t xml:space="preserve"> DOSSIERS DE CAS : LES VICTIMES DU ROCK &amp; ROLL</w:t>
      </w:r>
    </w:p>
    <w:p w14:paraId="4E4FA8D1"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Apple Color Emoji" w:eastAsia="Times New Roman" w:hAnsi="Apple Color Emoji" w:cs="Apple Color Emoji"/>
          <w:b/>
          <w:bCs/>
          <w:kern w:val="0"/>
          <w:sz w:val="27"/>
          <w:szCs w:val="27"/>
          <w14:ligatures w14:val="none"/>
        </w:rPr>
        <w:t>📁</w:t>
      </w:r>
      <w:r w:rsidRPr="00B74705">
        <w:rPr>
          <w:rFonts w:ascii="Times New Roman" w:eastAsia="Times New Roman" w:hAnsi="Times New Roman" w:cs="Times New Roman"/>
          <w:b/>
          <w:bCs/>
          <w:kern w:val="0"/>
          <w:sz w:val="27"/>
          <w:szCs w:val="27"/>
          <w14:ligatures w14:val="none"/>
        </w:rPr>
        <w:t xml:space="preserve"> DOSSIER POST-MORTEM : KEITH MOON (1946-1978)</w:t>
      </w:r>
    </w:p>
    <w:p w14:paraId="610C3ACE"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MODE D'ÉCHEC : </w:t>
      </w:r>
      <w:r w:rsidRPr="00B74705">
        <w:rPr>
          <w:rFonts w:ascii="Times New Roman" w:eastAsia="Times New Roman" w:hAnsi="Times New Roman" w:cs="Times New Roman"/>
          <w:b/>
          <w:bCs/>
          <w:kern w:val="0"/>
          <w14:ligatures w14:val="none"/>
        </w:rPr>
        <w:t>La Prescription Ironique</w:t>
      </w:r>
    </w:p>
    <w:p w14:paraId="2D38EBB8"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Cause Officielle du Décès :</w:t>
      </w:r>
      <w:r w:rsidRPr="00B74705">
        <w:rPr>
          <w:rFonts w:ascii="Times New Roman" w:eastAsia="Times New Roman" w:hAnsi="Times New Roman" w:cs="Times New Roman"/>
          <w:kern w:val="0"/>
          <w14:ligatures w14:val="none"/>
        </w:rPr>
        <w:t xml:space="preserve"> Surdosage de Heminevrin (clométhiazole) — prescrit pour le sevrage alcoolique</w:t>
      </w:r>
    </w:p>
    <w:p w14:paraId="7BB7C77C"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Substances :</w:t>
      </w:r>
      <w:r w:rsidRPr="00B74705">
        <w:rPr>
          <w:rFonts w:ascii="Times New Roman" w:eastAsia="Times New Roman" w:hAnsi="Times New Roman" w:cs="Times New Roman"/>
          <w:kern w:val="0"/>
          <w14:ligatures w14:val="none"/>
        </w:rPr>
        <w:t xml:space="preserve"> 32 comprimés de Heminevrin + alcool à une fête</w:t>
      </w:r>
    </w:p>
    <w:p w14:paraId="546CD17D"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Hypothèse Génétique :</w:t>
      </w:r>
      <w:r w:rsidRPr="00B74705">
        <w:rPr>
          <w:rFonts w:ascii="Times New Roman" w:eastAsia="Times New Roman" w:hAnsi="Times New Roman" w:cs="Times New Roman"/>
          <w:kern w:val="0"/>
          <w14:ligatures w14:val="none"/>
        </w:rPr>
        <w:t xml:space="preserve"> Médicament à fenêtre thérapeutique étroite + alcoolique actif</w:t>
      </w:r>
    </w:p>
    <w:p w14:paraId="6DAD8266"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ANALYSE D'ÉCHEC SYSTÈME :</w:t>
      </w:r>
      <w:r w:rsidRPr="00B74705">
        <w:rPr>
          <w:rFonts w:ascii="Times New Roman" w:eastAsia="Times New Roman" w:hAnsi="Times New Roman" w:cs="Times New Roman"/>
          <w:kern w:val="0"/>
          <w14:ligatures w14:val="none"/>
        </w:rPr>
        <w:t xml:space="preserve"> L'ironie tragique : Keith essayait de devenir sobre. L'Heminevrin lui avait été prescrit pour faciliter le sevrage. Mais il a pris 32 comprimés après avoir bu abondamment. Le médicament censé le sauver l'a tué. Heminevrin + alcool est contre-indiqué.</w:t>
      </w:r>
    </w:p>
    <w:p w14:paraId="347062A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INTERVENTION PRÉVENTIVE :</w:t>
      </w:r>
      <w:r w:rsidRPr="00B74705">
        <w:rPr>
          <w:rFonts w:ascii="Times New Roman" w:eastAsia="Times New Roman" w:hAnsi="Times New Roman" w:cs="Times New Roman"/>
          <w:kern w:val="0"/>
          <w14:ligatures w14:val="none"/>
        </w:rPr>
        <w:t xml:space="preserve"> Désintoxication hospitalière supervisée plutôt que médicaments ambulatoires pour un alcoolique actif. Il avait 32 ans.</w:t>
      </w:r>
    </w:p>
    <w:p w14:paraId="5685E4E7"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Apple Color Emoji" w:eastAsia="Times New Roman" w:hAnsi="Apple Color Emoji" w:cs="Apple Color Emoji"/>
          <w:b/>
          <w:bCs/>
          <w:kern w:val="0"/>
          <w:sz w:val="27"/>
          <w:szCs w:val="27"/>
          <w14:ligatures w14:val="none"/>
        </w:rPr>
        <w:t>📁</w:t>
      </w:r>
      <w:r w:rsidRPr="00B74705">
        <w:rPr>
          <w:rFonts w:ascii="Times New Roman" w:eastAsia="Times New Roman" w:hAnsi="Times New Roman" w:cs="Times New Roman"/>
          <w:b/>
          <w:bCs/>
          <w:kern w:val="0"/>
          <w:sz w:val="27"/>
          <w:szCs w:val="27"/>
          <w14:ligatures w14:val="none"/>
        </w:rPr>
        <w:t xml:space="preserve"> DOSSIER POST-MORTEM : SID VICIOUS (1957-1979)</w:t>
      </w:r>
    </w:p>
    <w:p w14:paraId="69AB674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MODE D'ÉCHEC : </w:t>
      </w:r>
      <w:r w:rsidRPr="00B74705">
        <w:rPr>
          <w:rFonts w:ascii="Times New Roman" w:eastAsia="Times New Roman" w:hAnsi="Times New Roman" w:cs="Times New Roman"/>
          <w:b/>
          <w:bCs/>
          <w:kern w:val="0"/>
          <w14:ligatures w14:val="none"/>
        </w:rPr>
        <w:t>La Réinitialisation de Tolérance</w:t>
      </w:r>
    </w:p>
    <w:p w14:paraId="6FA513AF"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Cause Officielle du Décès :</w:t>
      </w:r>
      <w:r w:rsidRPr="00B74705">
        <w:rPr>
          <w:rFonts w:ascii="Times New Roman" w:eastAsia="Times New Roman" w:hAnsi="Times New Roman" w:cs="Times New Roman"/>
          <w:kern w:val="0"/>
          <w14:ligatures w14:val="none"/>
        </w:rPr>
        <w:t xml:space="preserve"> Overdose d'héroïne. Libéré de Rikers Island la veille.</w:t>
      </w:r>
    </w:p>
    <w:p w14:paraId="2AF1101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Substances :</w:t>
      </w:r>
      <w:r w:rsidRPr="00B74705">
        <w:rPr>
          <w:rFonts w:ascii="Times New Roman" w:eastAsia="Times New Roman" w:hAnsi="Times New Roman" w:cs="Times New Roman"/>
          <w:kern w:val="0"/>
          <w14:ligatures w14:val="none"/>
        </w:rPr>
        <w:t xml:space="preserve"> Héroïne à dose pré-incarcération après désintoxication forcée en prison</w:t>
      </w:r>
    </w:p>
    <w:p w14:paraId="7D0240CD"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Hypothèse Génétique :</w:t>
      </w:r>
      <w:r w:rsidRPr="00B74705">
        <w:rPr>
          <w:rFonts w:ascii="Times New Roman" w:eastAsia="Times New Roman" w:hAnsi="Times New Roman" w:cs="Times New Roman"/>
          <w:kern w:val="0"/>
          <w14:ligatures w14:val="none"/>
        </w:rPr>
        <w:t xml:space="preserve"> Réinitialisation de tolérance post-désintoxication — phénomène physiologique universel</w:t>
      </w:r>
    </w:p>
    <w:p w14:paraId="5A7CF680"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ANALYSE D'ÉCHEC SYSTÈME :</w:t>
      </w:r>
      <w:r w:rsidRPr="00B74705">
        <w:rPr>
          <w:rFonts w:ascii="Times New Roman" w:eastAsia="Times New Roman" w:hAnsi="Times New Roman" w:cs="Times New Roman"/>
          <w:kern w:val="0"/>
          <w14:ligatures w14:val="none"/>
        </w:rPr>
        <w:t xml:space="preserve"> Sid a subi une désintoxication involontaire en prison. La tolérance s'est réinitialisée à presque zéro. À sa libération, il a consommé à sa dose pré-incarcération. L'overdose post-désintoxication est l'un des décès par opioïdes les plus courants — votre cerveau se souvient de la dose, vos récepteurs non.</w:t>
      </w:r>
    </w:p>
    <w:p w14:paraId="07097A46"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lastRenderedPageBreak/>
        <w:t>💡</w:t>
      </w:r>
      <w:r w:rsidRPr="00B74705">
        <w:rPr>
          <w:rFonts w:ascii="Times New Roman" w:eastAsia="Times New Roman" w:hAnsi="Times New Roman" w:cs="Times New Roman"/>
          <w:b/>
          <w:bCs/>
          <w:kern w:val="0"/>
          <w14:ligatures w14:val="none"/>
        </w:rPr>
        <w:t xml:space="preserve"> INTERVENTION PRÉVENTIVE :</w:t>
      </w:r>
      <w:r w:rsidRPr="00B74705">
        <w:rPr>
          <w:rFonts w:ascii="Times New Roman" w:eastAsia="Times New Roman" w:hAnsi="Times New Roman" w:cs="Times New Roman"/>
          <w:kern w:val="0"/>
          <w14:ligatures w14:val="none"/>
        </w:rPr>
        <w:t xml:space="preserve"> Naltrexone post-libération ou réintégration supervisée. Il avait 21 ans.</w:t>
      </w:r>
    </w:p>
    <w:p w14:paraId="11A486E1"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Apple Color Emoji" w:eastAsia="Times New Roman" w:hAnsi="Apple Color Emoji" w:cs="Apple Color Emoji"/>
          <w:b/>
          <w:bCs/>
          <w:kern w:val="0"/>
          <w:sz w:val="27"/>
          <w:szCs w:val="27"/>
          <w14:ligatures w14:val="none"/>
        </w:rPr>
        <w:t>📁</w:t>
      </w:r>
      <w:r w:rsidRPr="00B74705">
        <w:rPr>
          <w:rFonts w:ascii="Times New Roman" w:eastAsia="Times New Roman" w:hAnsi="Times New Roman" w:cs="Times New Roman"/>
          <w:b/>
          <w:bCs/>
          <w:kern w:val="0"/>
          <w:sz w:val="27"/>
          <w:szCs w:val="27"/>
          <w14:ligatures w14:val="none"/>
        </w:rPr>
        <w:t xml:space="preserve"> DOSSIER POST-MORTEM : JOHN BELUSHI (1949-1982)</w:t>
      </w:r>
    </w:p>
    <w:p w14:paraId="6FD72919"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MODE D'ÉCHEC : </w:t>
      </w:r>
      <w:r w:rsidRPr="00B74705">
        <w:rPr>
          <w:rFonts w:ascii="Times New Roman" w:eastAsia="Times New Roman" w:hAnsi="Times New Roman" w:cs="Times New Roman"/>
          <w:b/>
          <w:bCs/>
          <w:kern w:val="0"/>
          <w14:ligatures w14:val="none"/>
        </w:rPr>
        <w:t>Le Speedball Original</w:t>
      </w:r>
    </w:p>
    <w:p w14:paraId="2C50893D"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Cause Officielle du Décès :</w:t>
      </w:r>
      <w:r w:rsidRPr="00B74705">
        <w:rPr>
          <w:rFonts w:ascii="Times New Roman" w:eastAsia="Times New Roman" w:hAnsi="Times New Roman" w:cs="Times New Roman"/>
          <w:kern w:val="0"/>
          <w14:ligatures w14:val="none"/>
        </w:rPr>
        <w:t xml:space="preserve"> Intoxication combinée cocaïne + héroïne ('speedball')</w:t>
      </w:r>
    </w:p>
    <w:p w14:paraId="28ADA4E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Substances :</w:t>
      </w:r>
      <w:r w:rsidRPr="00B74705">
        <w:rPr>
          <w:rFonts w:ascii="Times New Roman" w:eastAsia="Times New Roman" w:hAnsi="Times New Roman" w:cs="Times New Roman"/>
          <w:kern w:val="0"/>
          <w14:ligatures w14:val="none"/>
        </w:rPr>
        <w:t xml:space="preserve"> Cocaïne et héroïne, injectées</w:t>
      </w:r>
    </w:p>
    <w:p w14:paraId="289B1CA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Hypothèse Génétique :</w:t>
      </w:r>
      <w:r w:rsidRPr="00B74705">
        <w:rPr>
          <w:rFonts w:ascii="Times New Roman" w:eastAsia="Times New Roman" w:hAnsi="Times New Roman" w:cs="Times New Roman"/>
          <w:kern w:val="0"/>
          <w14:ligatures w14:val="none"/>
        </w:rPr>
        <w:t xml:space="preserve"> Décalage pharmacocinétique — la cocaïne est éliminée plus vite que l'héroïne</w:t>
      </w:r>
    </w:p>
    <w:p w14:paraId="61A75FD3"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ANALYSE D'ÉCHEC SYSTÈME :</w:t>
      </w:r>
      <w:r w:rsidRPr="00B74705">
        <w:rPr>
          <w:rFonts w:ascii="Times New Roman" w:eastAsia="Times New Roman" w:hAnsi="Times New Roman" w:cs="Times New Roman"/>
          <w:kern w:val="0"/>
          <w14:ligatures w14:val="none"/>
        </w:rPr>
        <w:t xml:space="preserve"> Le mythe du speedball : les utilisateurs croient que le stimulant et le dépresseur 's'équilibrent'. Ils ne le font pas. La cocaïne disparaît plus vite, laissant une dépression respiratoire induite par l'héroïne non protégée. Le cœur, stressé par la cocaïne, ne peut pas gérer la transition.</w:t>
      </w:r>
    </w:p>
    <w:p w14:paraId="6D141916"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INTERVENTION PRÉVENTIVE :</w:t>
      </w:r>
      <w:r w:rsidRPr="00B74705">
        <w:rPr>
          <w:rFonts w:ascii="Times New Roman" w:eastAsia="Times New Roman" w:hAnsi="Times New Roman" w:cs="Times New Roman"/>
          <w:kern w:val="0"/>
          <w14:ligatures w14:val="none"/>
        </w:rPr>
        <w:t xml:space="preserve"> Compréhension de la pharmacocinétique du speedball — les drogues ne s'équilibrent pas. Il avait 33 ans.</w:t>
      </w:r>
    </w:p>
    <w:p w14:paraId="37134F5D"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15FA9A74">
          <v:rect id="_x0000_i1044" style="width:0;height:1.5pt" o:hralign="center" o:hrstd="t" o:hr="t" fillcolor="#a0a0a0" stroked="f"/>
        </w:pict>
      </w:r>
    </w:p>
    <w:p w14:paraId="7AD86BB0"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Apple Color Emoji" w:eastAsia="Times New Roman" w:hAnsi="Apple Color Emoji" w:cs="Apple Color Emoji"/>
          <w:b/>
          <w:bCs/>
          <w:kern w:val="0"/>
          <w:sz w:val="36"/>
          <w:szCs w:val="36"/>
          <w14:ligatures w14:val="none"/>
        </w:rPr>
        <w:t>📂</w:t>
      </w:r>
      <w:r w:rsidRPr="00B74705">
        <w:rPr>
          <w:rFonts w:ascii="Times New Roman" w:eastAsia="Times New Roman" w:hAnsi="Times New Roman" w:cs="Times New Roman"/>
          <w:b/>
          <w:bCs/>
          <w:kern w:val="0"/>
          <w:sz w:val="36"/>
          <w:szCs w:val="36"/>
          <w14:ligatures w14:val="none"/>
        </w:rPr>
        <w:t xml:space="preserve"> DOSSIERS DE CAS : L'ÈRE MODERNE</w:t>
      </w:r>
    </w:p>
    <w:p w14:paraId="5BA83506"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Apple Color Emoji" w:eastAsia="Times New Roman" w:hAnsi="Apple Color Emoji" w:cs="Apple Color Emoji"/>
          <w:b/>
          <w:bCs/>
          <w:kern w:val="0"/>
          <w:sz w:val="27"/>
          <w:szCs w:val="27"/>
          <w14:ligatures w14:val="none"/>
        </w:rPr>
        <w:t>📁</w:t>
      </w:r>
      <w:r w:rsidRPr="00B74705">
        <w:rPr>
          <w:rFonts w:ascii="Times New Roman" w:eastAsia="Times New Roman" w:hAnsi="Times New Roman" w:cs="Times New Roman"/>
          <w:b/>
          <w:bCs/>
          <w:kern w:val="0"/>
          <w:sz w:val="27"/>
          <w:szCs w:val="27"/>
          <w14:ligatures w14:val="none"/>
        </w:rPr>
        <w:t xml:space="preserve"> DOSSIER POST-MORTEM : WHITNEY HOUSTON (1963-2012)</w:t>
      </w:r>
    </w:p>
    <w:p w14:paraId="5F070B35"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MODE D'ÉCHEC : </w:t>
      </w:r>
      <w:r w:rsidRPr="00B74705">
        <w:rPr>
          <w:rFonts w:ascii="Times New Roman" w:eastAsia="Times New Roman" w:hAnsi="Times New Roman" w:cs="Times New Roman"/>
          <w:b/>
          <w:bCs/>
          <w:kern w:val="0"/>
          <w14:ligatures w14:val="none"/>
        </w:rPr>
        <w:t>La Cascade d'Anxiété</w:t>
      </w:r>
    </w:p>
    <w:p w14:paraId="2C45DCE7"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Cause Officielle du Décès :</w:t>
      </w:r>
      <w:r w:rsidRPr="00B74705">
        <w:rPr>
          <w:rFonts w:ascii="Times New Roman" w:eastAsia="Times New Roman" w:hAnsi="Times New Roman" w:cs="Times New Roman"/>
          <w:kern w:val="0"/>
          <w14:ligatures w14:val="none"/>
        </w:rPr>
        <w:t xml:space="preserve"> Noyade avec cocaïne, maladie cardiaque athérosclérotique et alprazolam</w:t>
      </w:r>
    </w:p>
    <w:p w14:paraId="0F384BEF"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Substances :</w:t>
      </w:r>
      <w:r w:rsidRPr="00B74705">
        <w:rPr>
          <w:rFonts w:ascii="Times New Roman" w:eastAsia="Times New Roman" w:hAnsi="Times New Roman" w:cs="Times New Roman"/>
          <w:kern w:val="0"/>
          <w14:ligatures w14:val="none"/>
        </w:rPr>
        <w:t xml:space="preserve"> Cocaïne + Xanax (alprazolam) + bain chaud</w:t>
      </w:r>
    </w:p>
    <w:p w14:paraId="7DC5C445"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Hypothèse Génétique :</w:t>
      </w:r>
      <w:r w:rsidRPr="00B74705">
        <w:rPr>
          <w:rFonts w:ascii="Times New Roman" w:eastAsia="Times New Roman" w:hAnsi="Times New Roman" w:cs="Times New Roman"/>
          <w:kern w:val="0"/>
          <w14:ligatures w14:val="none"/>
        </w:rPr>
        <w:t xml:space="preserve"> COMT Met/Met → anxiété de la cocaïne → automédication aux benzodiazépines</w:t>
      </w:r>
    </w:p>
    <w:p w14:paraId="270790F7"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ANALYSE D'ÉCHEC SYSTÈME :</w:t>
      </w:r>
      <w:r w:rsidRPr="00B74705">
        <w:rPr>
          <w:rFonts w:ascii="Times New Roman" w:eastAsia="Times New Roman" w:hAnsi="Times New Roman" w:cs="Times New Roman"/>
          <w:kern w:val="0"/>
          <w14:ligatures w14:val="none"/>
        </w:rPr>
        <w:t xml:space="preserve"> Le profil de Whitney suggère une spirale d'anxiété liée au COMT. La cocaïne crée une anxiété intense chez les métaboliseurs lents, poussant à l'utilisation de benzodiazépines pour 'couper' l'anxiété. Les benzos suppriment la respiration, la cocaïne sollicite le cœur, et l'eau chaude augmente le stress cardiovasculaire.</w:t>
      </w:r>
    </w:p>
    <w:p w14:paraId="68511DFB"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lastRenderedPageBreak/>
        <w:t>💡</w:t>
      </w:r>
      <w:r w:rsidRPr="00B74705">
        <w:rPr>
          <w:rFonts w:ascii="Times New Roman" w:eastAsia="Times New Roman" w:hAnsi="Times New Roman" w:cs="Times New Roman"/>
          <w:b/>
          <w:bCs/>
          <w:kern w:val="0"/>
          <w14:ligatures w14:val="none"/>
        </w:rPr>
        <w:t xml:space="preserve"> INTERVENTION PRÉVENTIVE :</w:t>
      </w:r>
      <w:r w:rsidRPr="00B74705">
        <w:rPr>
          <w:rFonts w:ascii="Times New Roman" w:eastAsia="Times New Roman" w:hAnsi="Times New Roman" w:cs="Times New Roman"/>
          <w:kern w:val="0"/>
          <w14:ligatures w14:val="none"/>
        </w:rPr>
        <w:t xml:space="preserve"> Les tests COMT auraient pu expliquer pourquoi la cocaïne la rendait si anxieuse, et pourquoi elle 'avait besoin' du Xanax.</w:t>
      </w:r>
    </w:p>
    <w:p w14:paraId="0AF8269D"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Apple Color Emoji" w:eastAsia="Times New Roman" w:hAnsi="Apple Color Emoji" w:cs="Apple Color Emoji"/>
          <w:b/>
          <w:bCs/>
          <w:kern w:val="0"/>
          <w:sz w:val="27"/>
          <w:szCs w:val="27"/>
          <w14:ligatures w14:val="none"/>
        </w:rPr>
        <w:t>📁</w:t>
      </w:r>
      <w:r w:rsidRPr="00B74705">
        <w:rPr>
          <w:rFonts w:ascii="Times New Roman" w:eastAsia="Times New Roman" w:hAnsi="Times New Roman" w:cs="Times New Roman"/>
          <w:b/>
          <w:bCs/>
          <w:kern w:val="0"/>
          <w:sz w:val="27"/>
          <w:szCs w:val="27"/>
          <w14:ligatures w14:val="none"/>
        </w:rPr>
        <w:t xml:space="preserve"> DOSSIER POST-MORTEM : PRINCE (1958-2016)</w:t>
      </w:r>
    </w:p>
    <w:p w14:paraId="6CEE153F"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MODE D'ÉCHEC : </w:t>
      </w:r>
      <w:r w:rsidRPr="00B74705">
        <w:rPr>
          <w:rFonts w:ascii="Times New Roman" w:eastAsia="Times New Roman" w:hAnsi="Times New Roman" w:cs="Times New Roman"/>
          <w:b/>
          <w:bCs/>
          <w:kern w:val="0"/>
          <w14:ligatures w14:val="none"/>
        </w:rPr>
        <w:t>La Bombe à Retardement CYP2D6</w:t>
      </w:r>
    </w:p>
    <w:p w14:paraId="04B20548"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Cause Officielle du Décès :</w:t>
      </w:r>
      <w:r w:rsidRPr="00B74705">
        <w:rPr>
          <w:rFonts w:ascii="Times New Roman" w:eastAsia="Times New Roman" w:hAnsi="Times New Roman" w:cs="Times New Roman"/>
          <w:kern w:val="0"/>
          <w14:ligatures w14:val="none"/>
        </w:rPr>
        <w:t xml:space="preserve"> Overdose de fentanyl par pilules contrefaites</w:t>
      </w:r>
    </w:p>
    <w:p w14:paraId="3C814424"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Substances :</w:t>
      </w:r>
      <w:r w:rsidRPr="00B74705">
        <w:rPr>
          <w:rFonts w:ascii="Times New Roman" w:eastAsia="Times New Roman" w:hAnsi="Times New Roman" w:cs="Times New Roman"/>
          <w:kern w:val="0"/>
          <w14:ligatures w14:val="none"/>
        </w:rPr>
        <w:t xml:space="preserve"> Fentanyl (pensait que c'était du Vicodin)</w:t>
      </w:r>
    </w:p>
    <w:p w14:paraId="462000A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Hypothèse Génétique :</w:t>
      </w:r>
      <w:r w:rsidRPr="00B74705">
        <w:rPr>
          <w:rFonts w:ascii="Times New Roman" w:eastAsia="Times New Roman" w:hAnsi="Times New Roman" w:cs="Times New Roman"/>
          <w:kern w:val="0"/>
          <w14:ligatures w14:val="none"/>
        </w:rPr>
        <w:t xml:space="preserve"> Métaboliseur Lent CYP2D6 → opioïdes standard inefficaces → a cherché des alternatives</w:t>
      </w:r>
    </w:p>
    <w:p w14:paraId="54C4FB60"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ANALYSE D'ÉCHEC SYSTÈME :</w:t>
      </w:r>
      <w:r w:rsidRPr="00B74705">
        <w:rPr>
          <w:rFonts w:ascii="Times New Roman" w:eastAsia="Times New Roman" w:hAnsi="Times New Roman" w:cs="Times New Roman"/>
          <w:kern w:val="0"/>
          <w14:ligatures w14:val="none"/>
        </w:rPr>
        <w:t xml:space="preserve"> Prince avait des douleurs chroniques à la hanche. Selon les directives FDA, les PM CYP2D6 n'obtiennent aucun soulagement de la codéine (ne peut pas être convertie en morphine) mais l'effet complet du fentanyl (contourne CYP2D6). S'il était PM, les opioïdes standard ont échoué pour lui, le poussant vers des sources non réglementées.</w:t>
      </w:r>
    </w:p>
    <w:p w14:paraId="23EC786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INTERVENTION PRÉVENTIVE :</w:t>
      </w:r>
      <w:r w:rsidRPr="00B74705">
        <w:rPr>
          <w:rFonts w:ascii="Times New Roman" w:eastAsia="Times New Roman" w:hAnsi="Times New Roman" w:cs="Times New Roman"/>
          <w:kern w:val="0"/>
          <w14:ligatures w14:val="none"/>
        </w:rPr>
        <w:t xml:space="preserve"> Un test CYP2D6 à 200€ aurait guidé la sélection appropriée d'opioïdes.</w:t>
      </w:r>
    </w:p>
    <w:p w14:paraId="41D2E74C"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Apple Color Emoji" w:eastAsia="Times New Roman" w:hAnsi="Apple Color Emoji" w:cs="Apple Color Emoji"/>
          <w:b/>
          <w:bCs/>
          <w:kern w:val="0"/>
          <w:sz w:val="27"/>
          <w:szCs w:val="27"/>
          <w14:ligatures w14:val="none"/>
        </w:rPr>
        <w:t>📁</w:t>
      </w:r>
      <w:r w:rsidRPr="00B74705">
        <w:rPr>
          <w:rFonts w:ascii="Times New Roman" w:eastAsia="Times New Roman" w:hAnsi="Times New Roman" w:cs="Times New Roman"/>
          <w:b/>
          <w:bCs/>
          <w:kern w:val="0"/>
          <w:sz w:val="27"/>
          <w:szCs w:val="27"/>
          <w14:ligatures w14:val="none"/>
        </w:rPr>
        <w:t xml:space="preserve"> DOSSIER POST-MORTEM : AMY WINEHOUSE (1983-2011)</w:t>
      </w:r>
    </w:p>
    <w:p w14:paraId="53002214"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MODE D'ÉCHEC : </w:t>
      </w:r>
      <w:r w:rsidRPr="00B74705">
        <w:rPr>
          <w:rFonts w:ascii="Times New Roman" w:eastAsia="Times New Roman" w:hAnsi="Times New Roman" w:cs="Times New Roman"/>
          <w:b/>
          <w:bCs/>
          <w:kern w:val="0"/>
          <w14:ligatures w14:val="none"/>
        </w:rPr>
        <w:t>Le Sevrage Qui a Gagné</w:t>
      </w:r>
    </w:p>
    <w:p w14:paraId="4728407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Cause Officielle du Décès :</w:t>
      </w:r>
      <w:r w:rsidRPr="00B74705">
        <w:rPr>
          <w:rFonts w:ascii="Times New Roman" w:eastAsia="Times New Roman" w:hAnsi="Times New Roman" w:cs="Times New Roman"/>
          <w:kern w:val="0"/>
          <w14:ligatures w14:val="none"/>
        </w:rPr>
        <w:t xml:space="preserve"> Empoisonnement alcoolique accidentel (alcoolémie 0,416%)</w:t>
      </w:r>
    </w:p>
    <w:p w14:paraId="6E3D0D75"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Substances :</w:t>
      </w:r>
      <w:r w:rsidRPr="00B74705">
        <w:rPr>
          <w:rFonts w:ascii="Times New Roman" w:eastAsia="Times New Roman" w:hAnsi="Times New Roman" w:cs="Times New Roman"/>
          <w:kern w:val="0"/>
          <w14:ligatures w14:val="none"/>
        </w:rPr>
        <w:t xml:space="preserve"> Alcool après des semaines d'abstinence</w:t>
      </w:r>
    </w:p>
    <w:p w14:paraId="373A3C9D"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Hypothèse Génétique :</w:t>
      </w:r>
      <w:r w:rsidRPr="00B74705">
        <w:rPr>
          <w:rFonts w:ascii="Times New Roman" w:eastAsia="Times New Roman" w:hAnsi="Times New Roman" w:cs="Times New Roman"/>
          <w:kern w:val="0"/>
          <w14:ligatures w14:val="none"/>
        </w:rPr>
        <w:t xml:space="preserve"> Variants ADH1B/ALDH2 + réinitialisation de tolérance post-abstinence</w:t>
      </w:r>
    </w:p>
    <w:p w14:paraId="5034174B"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ANALYSE D'ÉCHEC SYSTÈME :</w:t>
      </w:r>
      <w:r w:rsidRPr="00B74705">
        <w:rPr>
          <w:rFonts w:ascii="Times New Roman" w:eastAsia="Times New Roman" w:hAnsi="Times New Roman" w:cs="Times New Roman"/>
          <w:kern w:val="0"/>
          <w14:ligatures w14:val="none"/>
        </w:rPr>
        <w:t xml:space="preserve"> Après l'abstinence, la tolérance diminue, mais pas l'envie. Amy a bu ce que son ancienne tolérance pouvait gérer ; sa nouvelle tolérance ne le pouvait pas. Une alcoolémie de 0,416% représente plus de 5 fois la limite légale — mortelle pour la plupart des gens.</w:t>
      </w:r>
    </w:p>
    <w:p w14:paraId="796E844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INTERVENTION PRÉVENTIVE :</w:t>
      </w:r>
      <w:r w:rsidRPr="00B74705">
        <w:rPr>
          <w:rFonts w:ascii="Times New Roman" w:eastAsia="Times New Roman" w:hAnsi="Times New Roman" w:cs="Times New Roman"/>
          <w:kern w:val="0"/>
          <w14:ligatures w14:val="none"/>
        </w:rPr>
        <w:t xml:space="preserve"> Naltrexone (guidée par OPRM1) pour la gestion des envies pendant la récupération.</w:t>
      </w:r>
    </w:p>
    <w:p w14:paraId="1FD6083D"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Apple Color Emoji" w:eastAsia="Times New Roman" w:hAnsi="Apple Color Emoji" w:cs="Apple Color Emoji"/>
          <w:b/>
          <w:bCs/>
          <w:kern w:val="0"/>
          <w:sz w:val="27"/>
          <w:szCs w:val="27"/>
          <w14:ligatures w14:val="none"/>
        </w:rPr>
        <w:t>📁</w:t>
      </w:r>
      <w:r w:rsidRPr="00B74705">
        <w:rPr>
          <w:rFonts w:ascii="Times New Roman" w:eastAsia="Times New Roman" w:hAnsi="Times New Roman" w:cs="Times New Roman"/>
          <w:b/>
          <w:bCs/>
          <w:kern w:val="0"/>
          <w:sz w:val="27"/>
          <w:szCs w:val="27"/>
          <w14:ligatures w14:val="none"/>
        </w:rPr>
        <w:t xml:space="preserve"> DOSSIER POST-MORTEM : HEATH LEDGER (1979-2008)</w:t>
      </w:r>
    </w:p>
    <w:p w14:paraId="7106E1A7"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MODE D'ÉCHEC : </w:t>
      </w:r>
      <w:r w:rsidRPr="00B74705">
        <w:rPr>
          <w:rFonts w:ascii="Times New Roman" w:eastAsia="Times New Roman" w:hAnsi="Times New Roman" w:cs="Times New Roman"/>
          <w:b/>
          <w:bCs/>
          <w:kern w:val="0"/>
          <w14:ligatures w14:val="none"/>
        </w:rPr>
        <w:t>Le Carambolage Poly-Pharmaceutique</w:t>
      </w:r>
    </w:p>
    <w:p w14:paraId="300BA72D"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lastRenderedPageBreak/>
        <w:t>Cause Officielle du Décès :</w:t>
      </w:r>
      <w:r w:rsidRPr="00B74705">
        <w:rPr>
          <w:rFonts w:ascii="Times New Roman" w:eastAsia="Times New Roman" w:hAnsi="Times New Roman" w:cs="Times New Roman"/>
          <w:kern w:val="0"/>
          <w14:ligatures w14:val="none"/>
        </w:rPr>
        <w:t xml:space="preserve"> Intoxication aiguë : oxycodone, hydrocodone, diazépam, témazépam, alprazolam, doxylamine</w:t>
      </w:r>
    </w:p>
    <w:p w14:paraId="4A192537"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Substances :</w:t>
      </w:r>
      <w:r w:rsidRPr="00B74705">
        <w:rPr>
          <w:rFonts w:ascii="Times New Roman" w:eastAsia="Times New Roman" w:hAnsi="Times New Roman" w:cs="Times New Roman"/>
          <w:kern w:val="0"/>
          <w14:ligatures w14:val="none"/>
        </w:rPr>
        <w:t xml:space="preserve"> 6 médicaments sur ordonnance de multiples prescripteurs</w:t>
      </w:r>
    </w:p>
    <w:p w14:paraId="41B58DD7"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Hypothèse Génétique :</w:t>
      </w:r>
      <w:r w:rsidRPr="00B74705">
        <w:rPr>
          <w:rFonts w:ascii="Times New Roman" w:eastAsia="Times New Roman" w:hAnsi="Times New Roman" w:cs="Times New Roman"/>
          <w:kern w:val="0"/>
          <w14:ligatures w14:val="none"/>
        </w:rPr>
        <w:t xml:space="preserve"> Empilement de substrats CYP450 — tous en compétition pour CYP3A4/CYP2D6</w:t>
      </w:r>
    </w:p>
    <w:p w14:paraId="6D0F494B"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ANALYSE D'ÉCHEC SYSTÈME :</w:t>
      </w:r>
      <w:r w:rsidRPr="00B74705">
        <w:rPr>
          <w:rFonts w:ascii="Times New Roman" w:eastAsia="Times New Roman" w:hAnsi="Times New Roman" w:cs="Times New Roman"/>
          <w:kern w:val="0"/>
          <w14:ligatures w14:val="none"/>
        </w:rPr>
        <w:t xml:space="preserve"> Cas d'école d'une collision de substrats. Chaque médicament rivalise pour les mêmes enzymes. Tous sont éliminés lentement. Tous s'accumulent. Dépression du SNC par les benzos plus dépression respiratoire par les opioïdes = synergie fatale.</w:t>
      </w:r>
    </w:p>
    <w:p w14:paraId="7E7BBA6D"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INTERVENTION PRÉVENTIVE :</w:t>
      </w:r>
      <w:r w:rsidRPr="00B74705">
        <w:rPr>
          <w:rFonts w:ascii="Times New Roman" w:eastAsia="Times New Roman" w:hAnsi="Times New Roman" w:cs="Times New Roman"/>
          <w:kern w:val="0"/>
          <w14:ligatures w14:val="none"/>
        </w:rPr>
        <w:t xml:space="preserve"> Tout prescripteur conscient de la pharmacogénomique aurait vu la collision.</w:t>
      </w:r>
    </w:p>
    <w:p w14:paraId="6BABF549"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Apple Color Emoji" w:eastAsia="Times New Roman" w:hAnsi="Apple Color Emoji" w:cs="Apple Color Emoji"/>
          <w:b/>
          <w:bCs/>
          <w:kern w:val="0"/>
          <w:sz w:val="27"/>
          <w:szCs w:val="27"/>
          <w14:ligatures w14:val="none"/>
        </w:rPr>
        <w:t>📁</w:t>
      </w:r>
      <w:r w:rsidRPr="00B74705">
        <w:rPr>
          <w:rFonts w:ascii="Times New Roman" w:eastAsia="Times New Roman" w:hAnsi="Times New Roman" w:cs="Times New Roman"/>
          <w:b/>
          <w:bCs/>
          <w:kern w:val="0"/>
          <w:sz w:val="27"/>
          <w:szCs w:val="27"/>
          <w14:ligatures w14:val="none"/>
        </w:rPr>
        <w:t xml:space="preserve"> DOSSIER POST-MORTEM : MATTHEW PERRY (1969-2023)</w:t>
      </w:r>
    </w:p>
    <w:p w14:paraId="3EEDDDF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MODE D'ÉCHEC : </w:t>
      </w:r>
      <w:r w:rsidRPr="00B74705">
        <w:rPr>
          <w:rFonts w:ascii="Times New Roman" w:eastAsia="Times New Roman" w:hAnsi="Times New Roman" w:cs="Times New Roman"/>
          <w:b/>
          <w:bCs/>
          <w:kern w:val="0"/>
          <w14:ligatures w14:val="none"/>
        </w:rPr>
        <w:t>La Tragédie de la Kétamine Thérapeutique</w:t>
      </w:r>
    </w:p>
    <w:p w14:paraId="46683A19"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Cause Officielle du Décès :</w:t>
      </w:r>
      <w:r w:rsidRPr="00B74705">
        <w:rPr>
          <w:rFonts w:ascii="Times New Roman" w:eastAsia="Times New Roman" w:hAnsi="Times New Roman" w:cs="Times New Roman"/>
          <w:kern w:val="0"/>
          <w14:ligatures w14:val="none"/>
        </w:rPr>
        <w:t xml:space="preserve"> Effets aigus de la kétamine, noyade, maladie coronarienne, buprénorphine</w:t>
      </w:r>
    </w:p>
    <w:p w14:paraId="278998DD"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Substances :</w:t>
      </w:r>
      <w:r w:rsidRPr="00B74705">
        <w:rPr>
          <w:rFonts w:ascii="Times New Roman" w:eastAsia="Times New Roman" w:hAnsi="Times New Roman" w:cs="Times New Roman"/>
          <w:kern w:val="0"/>
          <w14:ligatures w14:val="none"/>
        </w:rPr>
        <w:t xml:space="preserve"> Kétamine (recevait des perfusions thérapeutiques) + jacuzzi</w:t>
      </w:r>
    </w:p>
    <w:p w14:paraId="64BA309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Hypothèse Génétique :</w:t>
      </w:r>
      <w:r w:rsidRPr="00B74705">
        <w:rPr>
          <w:rFonts w:ascii="Times New Roman" w:eastAsia="Times New Roman" w:hAnsi="Times New Roman" w:cs="Times New Roman"/>
          <w:kern w:val="0"/>
          <w14:ligatures w14:val="none"/>
        </w:rPr>
        <w:t xml:space="preserve"> Statut CYP3A4/CYP2B6 + profil résistant aux traitements COMT/MTHFR</w:t>
      </w:r>
    </w:p>
    <w:p w14:paraId="55E64C85"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ANALYSE D'ÉCHEC SYSTÈME :</w:t>
      </w:r>
      <w:r w:rsidRPr="00B74705">
        <w:rPr>
          <w:rFonts w:ascii="Times New Roman" w:eastAsia="Times New Roman" w:hAnsi="Times New Roman" w:cs="Times New Roman"/>
          <w:kern w:val="0"/>
          <w14:ligatures w14:val="none"/>
        </w:rPr>
        <w:t xml:space="preserve"> L'ironie la plus tragique : Matthew est mort d'une substance qu'il recevait comme TRAITEMENT MÉDICAL LÉGITIME. Sa dépression résistante aux traitements a conduit à l'escalade vers la thérapie à la kétamine. Mais kétamine + jacuzzi + maladie coronarienne + buprénorphine = fatal. Le système qui essayait de le sauver ne l'a pas protégé de son propre traitement.</w:t>
      </w:r>
    </w:p>
    <w:p w14:paraId="7F127157"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INTERVENTION PRÉVENTIVE :</w:t>
      </w:r>
      <w:r w:rsidRPr="00B74705">
        <w:rPr>
          <w:rFonts w:ascii="Times New Roman" w:eastAsia="Times New Roman" w:hAnsi="Times New Roman" w:cs="Times New Roman"/>
          <w:kern w:val="0"/>
          <w14:ligatures w14:val="none"/>
        </w:rPr>
        <w:t xml:space="preserve"> Tests pharmacogénomiques pour le taux de clairance de la kétamine. Contre-indication explicite du jacuzzi. Il avait 54 ans.</w:t>
      </w:r>
    </w:p>
    <w:p w14:paraId="01930D7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AVERTISSEMENT KÉTAMINE THÉRAPEUTIQUE</w:t>
      </w:r>
      <w:r w:rsidRPr="00B74705">
        <w:rPr>
          <w:rFonts w:ascii="Times New Roman" w:eastAsia="Times New Roman" w:hAnsi="Times New Roman" w:cs="Times New Roman"/>
          <w:kern w:val="0"/>
          <w14:ligatures w14:val="none"/>
        </w:rPr>
        <w:t xml:space="preserve"> La mort de Matthew Perry est un avertissement pour tous ceux qui utilisent la kétamine thérapeutique : le médicament qui vous aide peut vous tuer si les protocoles de sécurité ne sont pas informés par le génotype. Exigez des tests pharmacogénomiques. Connaissez votre taux de clairance. N'utilisez JAMAIS seul près de l'eau.</w:t>
      </w:r>
    </w:p>
    <w:p w14:paraId="0177850A"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4A042151">
          <v:rect id="_x0000_i1045" style="width:0;height:1.5pt" o:hralign="center" o:hrstd="t" o:hr="t" fillcolor="#a0a0a0" stroked="f"/>
        </w:pict>
      </w:r>
    </w:p>
    <w:p w14:paraId="61379411"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Apple Color Emoji" w:eastAsia="Times New Roman" w:hAnsi="Apple Color Emoji" w:cs="Apple Color Emoji"/>
          <w:b/>
          <w:bCs/>
          <w:kern w:val="0"/>
          <w:sz w:val="36"/>
          <w:szCs w:val="36"/>
          <w14:ligatures w14:val="none"/>
        </w:rPr>
        <w:t>📂</w:t>
      </w:r>
      <w:r w:rsidRPr="00B74705">
        <w:rPr>
          <w:rFonts w:ascii="Times New Roman" w:eastAsia="Times New Roman" w:hAnsi="Times New Roman" w:cs="Times New Roman"/>
          <w:b/>
          <w:bCs/>
          <w:kern w:val="0"/>
          <w:sz w:val="36"/>
          <w:szCs w:val="36"/>
          <w14:ligatures w14:val="none"/>
        </w:rPr>
        <w:t xml:space="preserve"> DOSSIERS DE CAS : LA GÉNÉRATION FENTANYL</w:t>
      </w:r>
    </w:p>
    <w:p w14:paraId="2C3847CC"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Apple Color Emoji" w:eastAsia="Times New Roman" w:hAnsi="Apple Color Emoji" w:cs="Apple Color Emoji"/>
          <w:b/>
          <w:bCs/>
          <w:kern w:val="0"/>
          <w:sz w:val="27"/>
          <w:szCs w:val="27"/>
          <w14:ligatures w14:val="none"/>
        </w:rPr>
        <w:lastRenderedPageBreak/>
        <w:t>📁</w:t>
      </w:r>
      <w:r w:rsidRPr="00B74705">
        <w:rPr>
          <w:rFonts w:ascii="Times New Roman" w:eastAsia="Times New Roman" w:hAnsi="Times New Roman" w:cs="Times New Roman"/>
          <w:b/>
          <w:bCs/>
          <w:kern w:val="0"/>
          <w:sz w:val="27"/>
          <w:szCs w:val="27"/>
          <w14:ligatures w14:val="none"/>
        </w:rPr>
        <w:t xml:space="preserve"> DOSSIER POST-MORTEM : MAC MILLER (1992-2018)</w:t>
      </w:r>
    </w:p>
    <w:p w14:paraId="062732C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MODE D'ÉCHEC : </w:t>
      </w:r>
      <w:r w:rsidRPr="00B74705">
        <w:rPr>
          <w:rFonts w:ascii="Times New Roman" w:eastAsia="Times New Roman" w:hAnsi="Times New Roman" w:cs="Times New Roman"/>
          <w:b/>
          <w:bCs/>
          <w:kern w:val="0"/>
          <w14:ligatures w14:val="none"/>
        </w:rPr>
        <w:t>La Crise de la Contrefaçon</w:t>
      </w:r>
    </w:p>
    <w:p w14:paraId="28D2E13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Cause Officielle du Décès :</w:t>
      </w:r>
      <w:r w:rsidRPr="00B74705">
        <w:rPr>
          <w:rFonts w:ascii="Times New Roman" w:eastAsia="Times New Roman" w:hAnsi="Times New Roman" w:cs="Times New Roman"/>
          <w:kern w:val="0"/>
          <w14:ligatures w14:val="none"/>
        </w:rPr>
        <w:t xml:space="preserve"> Toxicité mixte : fentanyl, cocaïne, alcool</w:t>
      </w:r>
    </w:p>
    <w:p w14:paraId="3D15EEC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Substances :</w:t>
      </w:r>
      <w:r w:rsidRPr="00B74705">
        <w:rPr>
          <w:rFonts w:ascii="Times New Roman" w:eastAsia="Times New Roman" w:hAnsi="Times New Roman" w:cs="Times New Roman"/>
          <w:kern w:val="0"/>
          <w14:ligatures w14:val="none"/>
        </w:rPr>
        <w:t xml:space="preserve"> Pilules coupées au fentanyl (pensait que c'était de l'oxycodone)</w:t>
      </w:r>
    </w:p>
    <w:p w14:paraId="0D769AFF"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Hypothèse Génétique :</w:t>
      </w:r>
      <w:r w:rsidRPr="00B74705">
        <w:rPr>
          <w:rFonts w:ascii="Times New Roman" w:eastAsia="Times New Roman" w:hAnsi="Times New Roman" w:cs="Times New Roman"/>
          <w:kern w:val="0"/>
          <w14:ligatures w14:val="none"/>
        </w:rPr>
        <w:t xml:space="preserve"> Variants MTHFR/COMT → dépression/anxiété → automédication</w:t>
      </w:r>
    </w:p>
    <w:p w14:paraId="1A24D36C"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ANALYSE D'ÉCHEC SYSTÈME :</w:t>
      </w:r>
      <w:r w:rsidRPr="00B74705">
        <w:rPr>
          <w:rFonts w:ascii="Times New Roman" w:eastAsia="Times New Roman" w:hAnsi="Times New Roman" w:cs="Times New Roman"/>
          <w:kern w:val="0"/>
          <w14:ligatures w14:val="none"/>
        </w:rPr>
        <w:t xml:space="preserve"> Mac ne savait pas qu'il prenait du fentanyl. Ses luttes publiques avec la dépression suggèrent de possibles variants MTHFR/COMT stimulant l'automédication. Les substances deviennent attirantes quand la neurochimie de base est douloureuse.</w:t>
      </w:r>
    </w:p>
    <w:p w14:paraId="11CFA536"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INTERVENTION PRÉVENTIVE :</w:t>
      </w:r>
      <w:r w:rsidRPr="00B74705">
        <w:rPr>
          <w:rFonts w:ascii="Times New Roman" w:eastAsia="Times New Roman" w:hAnsi="Times New Roman" w:cs="Times New Roman"/>
          <w:kern w:val="0"/>
          <w14:ligatures w14:val="none"/>
        </w:rPr>
        <w:t xml:space="preserve"> Services de vérification des drogues, bandelettes de test fentanyl, traitement de santé mentale guidé par la pharmacogénomique.</w:t>
      </w:r>
    </w:p>
    <w:p w14:paraId="6601CD53"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Apple Color Emoji" w:eastAsia="Times New Roman" w:hAnsi="Apple Color Emoji" w:cs="Apple Color Emoji"/>
          <w:b/>
          <w:bCs/>
          <w:kern w:val="0"/>
          <w:sz w:val="27"/>
          <w:szCs w:val="27"/>
          <w14:ligatures w14:val="none"/>
        </w:rPr>
        <w:t>📁</w:t>
      </w:r>
      <w:r w:rsidRPr="00B74705">
        <w:rPr>
          <w:rFonts w:ascii="Times New Roman" w:eastAsia="Times New Roman" w:hAnsi="Times New Roman" w:cs="Times New Roman"/>
          <w:b/>
          <w:bCs/>
          <w:kern w:val="0"/>
          <w:sz w:val="27"/>
          <w:szCs w:val="27"/>
          <w14:ligatures w14:val="none"/>
        </w:rPr>
        <w:t xml:space="preserve"> DOSSIER POST-MORTEM : AVICII / TIM BERGLING (1989-2018)</w:t>
      </w:r>
    </w:p>
    <w:p w14:paraId="6E2ED8A5"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MODE D'ÉCHEC : </w:t>
      </w:r>
      <w:r w:rsidRPr="00B74705">
        <w:rPr>
          <w:rFonts w:ascii="Times New Roman" w:eastAsia="Times New Roman" w:hAnsi="Times New Roman" w:cs="Times New Roman"/>
          <w:b/>
          <w:bCs/>
          <w:kern w:val="0"/>
          <w14:ligatures w14:val="none"/>
        </w:rPr>
        <w:t>Le Protocole d'Épuisement</w:t>
      </w:r>
    </w:p>
    <w:p w14:paraId="163A1693"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Cause Officielle du Décès :</w:t>
      </w:r>
      <w:r w:rsidRPr="00B74705">
        <w:rPr>
          <w:rFonts w:ascii="Times New Roman" w:eastAsia="Times New Roman" w:hAnsi="Times New Roman" w:cs="Times New Roman"/>
          <w:kern w:val="0"/>
          <w14:ligatures w14:val="none"/>
        </w:rPr>
        <w:t xml:space="preserve"> Suicide après douleur chronique, pancréatite et difficultés de santé mentale</w:t>
      </w:r>
    </w:p>
    <w:p w14:paraId="4D80B6C8"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Historique Médical :</w:t>
      </w:r>
      <w:r w:rsidRPr="00B74705">
        <w:rPr>
          <w:rFonts w:ascii="Times New Roman" w:eastAsia="Times New Roman" w:hAnsi="Times New Roman" w:cs="Times New Roman"/>
          <w:kern w:val="0"/>
          <w14:ligatures w14:val="none"/>
        </w:rPr>
        <w:t xml:space="preserve"> Pancréatite aiguë à 21 ans, ablation de la vésicule biliaire/appendice, anxiété sévère</w:t>
      </w:r>
    </w:p>
    <w:p w14:paraId="5DF0E508"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Hypothèse Génétique :</w:t>
      </w:r>
      <w:r w:rsidRPr="00B74705">
        <w:rPr>
          <w:rFonts w:ascii="Times New Roman" w:eastAsia="Times New Roman" w:hAnsi="Times New Roman" w:cs="Times New Roman"/>
          <w:kern w:val="0"/>
          <w14:ligatures w14:val="none"/>
        </w:rPr>
        <w:t xml:space="preserve"> COMT Met/Met → anxiété de base sévère → seul soulagement par les substances → corps détruit</w:t>
      </w:r>
    </w:p>
    <w:p w14:paraId="7D8F3D98"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ANALYSE D'ÉCHEC SYSTÈME :</w:t>
      </w:r>
      <w:r w:rsidRPr="00B74705">
        <w:rPr>
          <w:rFonts w:ascii="Times New Roman" w:eastAsia="Times New Roman" w:hAnsi="Times New Roman" w:cs="Times New Roman"/>
          <w:kern w:val="0"/>
          <w14:ligatures w14:val="none"/>
        </w:rPr>
        <w:t xml:space="preserve"> Le profil d'Avicii suggère une anxiété COMT Met/Met sévère. Les tournées EDM sont particulièrement éprouvantes pour le génotype Inquiet — caractérisées par des voyages constants, un sommeil irrégulier et des environnements bruyants. Sans substances, l'anxiété était insupportable. Avec les substances, ses organes ont été détruits. Piégé.</w:t>
      </w:r>
    </w:p>
    <w:p w14:paraId="7B3ADA50"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INTERVENTION PRÉVENTIVE :</w:t>
      </w:r>
      <w:r w:rsidRPr="00B74705">
        <w:rPr>
          <w:rFonts w:ascii="Times New Roman" w:eastAsia="Times New Roman" w:hAnsi="Times New Roman" w:cs="Times New Roman"/>
          <w:kern w:val="0"/>
          <w14:ligatures w14:val="none"/>
        </w:rPr>
        <w:t xml:space="preserve"> Comprendre le statut COMT → modifications de carrière, traitement ciblé de l'anxiété, reconnaissance que sa carrière menaçait littéralement sa vie.</w:t>
      </w:r>
    </w:p>
    <w:p w14:paraId="1BD6370F"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Apple Color Emoji" w:eastAsia="Times New Roman" w:hAnsi="Apple Color Emoji" w:cs="Apple Color Emoji"/>
          <w:b/>
          <w:bCs/>
          <w:kern w:val="0"/>
          <w:sz w:val="27"/>
          <w:szCs w:val="27"/>
          <w14:ligatures w14:val="none"/>
        </w:rPr>
        <w:t>📁</w:t>
      </w:r>
      <w:r w:rsidRPr="00B74705">
        <w:rPr>
          <w:rFonts w:ascii="Times New Roman" w:eastAsia="Times New Roman" w:hAnsi="Times New Roman" w:cs="Times New Roman"/>
          <w:b/>
          <w:bCs/>
          <w:kern w:val="0"/>
          <w:sz w:val="27"/>
          <w:szCs w:val="27"/>
          <w14:ligatures w14:val="none"/>
        </w:rPr>
        <w:t xml:space="preserve"> DOSSIER POST-MORTEM : JUICE WRLD / JARAD HIGGINS (1998-2019)</w:t>
      </w:r>
    </w:p>
    <w:p w14:paraId="040B080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MODE D'ÉCHEC : </w:t>
      </w:r>
      <w:r w:rsidRPr="00B74705">
        <w:rPr>
          <w:rFonts w:ascii="Times New Roman" w:eastAsia="Times New Roman" w:hAnsi="Times New Roman" w:cs="Times New Roman"/>
          <w:b/>
          <w:bCs/>
          <w:kern w:val="0"/>
          <w14:ligatures w14:val="none"/>
        </w:rPr>
        <w:t>La Réaction de Panique</w:t>
      </w:r>
    </w:p>
    <w:p w14:paraId="363EC1C4"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lastRenderedPageBreak/>
        <w:t>Cause Officielle du Décès :</w:t>
      </w:r>
      <w:r w:rsidRPr="00B74705">
        <w:rPr>
          <w:rFonts w:ascii="Times New Roman" w:eastAsia="Times New Roman" w:hAnsi="Times New Roman" w:cs="Times New Roman"/>
          <w:kern w:val="0"/>
          <w14:ligatures w14:val="none"/>
        </w:rPr>
        <w:t xml:space="preserve"> Toxicité oxycodone + codéine</w:t>
      </w:r>
    </w:p>
    <w:p w14:paraId="209C46E9"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Circonstances :</w:t>
      </w:r>
      <w:r w:rsidRPr="00B74705">
        <w:rPr>
          <w:rFonts w:ascii="Times New Roman" w:eastAsia="Times New Roman" w:hAnsi="Times New Roman" w:cs="Times New Roman"/>
          <w:kern w:val="0"/>
          <w14:ligatures w14:val="none"/>
        </w:rPr>
        <w:t xml:space="preserve"> Aurait avalé plusieurs pilules pour les cacher aux agents fédéraux à l'aéroport</w:t>
      </w:r>
    </w:p>
    <w:p w14:paraId="26590FCB"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Hypothèse Génétique :</w:t>
      </w:r>
      <w:r w:rsidRPr="00B74705">
        <w:rPr>
          <w:rFonts w:ascii="Times New Roman" w:eastAsia="Times New Roman" w:hAnsi="Times New Roman" w:cs="Times New Roman"/>
          <w:kern w:val="0"/>
          <w14:ligatures w14:val="none"/>
        </w:rPr>
        <w:t xml:space="preserve"> Métaboliseur Ultrarapide CYP2D6 → la codéine est convertie en morphine dangereusement vite</w:t>
      </w:r>
    </w:p>
    <w:p w14:paraId="41BFAC99"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ANALYSE D'ÉCHEC SYSTÈME :</w:t>
      </w:r>
      <w:r w:rsidRPr="00B74705">
        <w:rPr>
          <w:rFonts w:ascii="Times New Roman" w:eastAsia="Times New Roman" w:hAnsi="Times New Roman" w:cs="Times New Roman"/>
          <w:kern w:val="0"/>
          <w14:ligatures w14:val="none"/>
        </w:rPr>
        <w:t xml:space="preserve"> Ingestion motivée par la panique. Son usage de 'lean' (codéine/prométhazine) suggère un possible statut CYP2D6 UM. Les Directives CPIC contre-indiquent la codéine pour les UM — ils la convertissent en morphine trop rapidement.</w:t>
      </w:r>
    </w:p>
    <w:p w14:paraId="714D38D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INTERVENTION PRÉVENTIVE :</w:t>
      </w:r>
      <w:r w:rsidRPr="00B74705">
        <w:rPr>
          <w:rFonts w:ascii="Times New Roman" w:eastAsia="Times New Roman" w:hAnsi="Times New Roman" w:cs="Times New Roman"/>
          <w:kern w:val="0"/>
          <w14:ligatures w14:val="none"/>
        </w:rPr>
        <w:t xml:space="preserve"> Les tests CYP2D6 auraient identifié si la codéine était particulièrement dangereuse. Il avait 21 ans.</w:t>
      </w:r>
    </w:p>
    <w:p w14:paraId="3A8B0A24"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Apple Color Emoji" w:eastAsia="Times New Roman" w:hAnsi="Apple Color Emoji" w:cs="Apple Color Emoji"/>
          <w:b/>
          <w:bCs/>
          <w:kern w:val="0"/>
          <w:sz w:val="27"/>
          <w:szCs w:val="27"/>
          <w14:ligatures w14:val="none"/>
        </w:rPr>
        <w:t>📁</w:t>
      </w:r>
      <w:r w:rsidRPr="00B74705">
        <w:rPr>
          <w:rFonts w:ascii="Times New Roman" w:eastAsia="Times New Roman" w:hAnsi="Times New Roman" w:cs="Times New Roman"/>
          <w:b/>
          <w:bCs/>
          <w:kern w:val="0"/>
          <w:sz w:val="27"/>
          <w:szCs w:val="27"/>
          <w14:ligatures w14:val="none"/>
        </w:rPr>
        <w:t xml:space="preserve"> DOSSIER POST-MORTEM : LIL PEEP / GUSTAV ÅHR (1996-2017)</w:t>
      </w:r>
    </w:p>
    <w:p w14:paraId="0310E62B"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MODE D'ÉCHEC : </w:t>
      </w:r>
      <w:r w:rsidRPr="00B74705">
        <w:rPr>
          <w:rFonts w:ascii="Times New Roman" w:eastAsia="Times New Roman" w:hAnsi="Times New Roman" w:cs="Times New Roman"/>
          <w:b/>
          <w:bCs/>
          <w:kern w:val="0"/>
          <w14:ligatures w14:val="none"/>
        </w:rPr>
        <w:t>La Loterie du Fentanyl</w:t>
      </w:r>
    </w:p>
    <w:p w14:paraId="3A5A9FFE"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Cause Officielle du Décès :</w:t>
      </w:r>
      <w:r w:rsidRPr="00B74705">
        <w:rPr>
          <w:rFonts w:ascii="Times New Roman" w:eastAsia="Times New Roman" w:hAnsi="Times New Roman" w:cs="Times New Roman"/>
          <w:kern w:val="0"/>
          <w14:ligatures w14:val="none"/>
        </w:rPr>
        <w:t xml:space="preserve"> Toxicité combinée fentanyl + alprazolam</w:t>
      </w:r>
    </w:p>
    <w:p w14:paraId="41B898BC"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Substances :</w:t>
      </w:r>
      <w:r w:rsidRPr="00B74705">
        <w:rPr>
          <w:rFonts w:ascii="Times New Roman" w:eastAsia="Times New Roman" w:hAnsi="Times New Roman" w:cs="Times New Roman"/>
          <w:kern w:val="0"/>
          <w14:ligatures w14:val="none"/>
        </w:rPr>
        <w:t xml:space="preserve"> Pilules Xanax contrefaites contenant du fentanyl</w:t>
      </w:r>
    </w:p>
    <w:p w14:paraId="61C83D63"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Hypothèse Génétique :</w:t>
      </w:r>
      <w:r w:rsidRPr="00B74705">
        <w:rPr>
          <w:rFonts w:ascii="Times New Roman" w:eastAsia="Times New Roman" w:hAnsi="Times New Roman" w:cs="Times New Roman"/>
          <w:kern w:val="0"/>
          <w14:ligatures w14:val="none"/>
        </w:rPr>
        <w:t xml:space="preserve"> Dysfonction GABAergique (GABRA2/GAD1) → anxiété sévère → dépendance aux benzos</w:t>
      </w:r>
    </w:p>
    <w:p w14:paraId="59E7D7AE"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ANALYSE D'ÉCHEC SYSTÈME :</w:t>
      </w:r>
      <w:r w:rsidRPr="00B74705">
        <w:rPr>
          <w:rFonts w:ascii="Times New Roman" w:eastAsia="Times New Roman" w:hAnsi="Times New Roman" w:cs="Times New Roman"/>
          <w:kern w:val="0"/>
          <w14:ligatures w14:val="none"/>
        </w:rPr>
        <w:t xml:space="preserve"> Lil Peep pensait prendre du Xanax. Pourquoi un jeune de 21 ans était-il si dépendant aux benzos ? Ses paroles décrivent dépression/anxiété entrelacées avec l'usage de substances. Cela suggère une dysfonction GABAergique — signaux calmants naturels inadéquats.</w:t>
      </w:r>
    </w:p>
    <w:p w14:paraId="2E4A0A73"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INTERVENTION PRÉVENTIVE :</w:t>
      </w:r>
      <w:r w:rsidRPr="00B74705">
        <w:rPr>
          <w:rFonts w:ascii="Times New Roman" w:eastAsia="Times New Roman" w:hAnsi="Times New Roman" w:cs="Times New Roman"/>
          <w:kern w:val="0"/>
          <w14:ligatures w14:val="none"/>
        </w:rPr>
        <w:t xml:space="preserve"> Tests pour les variants GABAergiques, vérification des drogues, bandelettes de test fentanyl. Il avait 21 ans.</w:t>
      </w:r>
    </w:p>
    <w:p w14:paraId="697FA841"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1B7EFDB7">
          <v:rect id="_x0000_i1046" style="width:0;height:1.5pt" o:hralign="center" o:hrstd="t" o:hr="t" fillcolor="#a0a0a0" stroked="f"/>
        </w:pict>
      </w:r>
    </w:p>
    <w:p w14:paraId="6166B495"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La Leçon : Vous Avez Ce Qu'ils N'Avaient Pas</w:t>
      </w:r>
    </w:p>
    <w:p w14:paraId="3C2A9258"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De Marilyn Monroe en 1962 à Matthew Perry en 2023 — </w:t>
      </w:r>
      <w:r w:rsidRPr="00B74705">
        <w:rPr>
          <w:rFonts w:ascii="Times New Roman" w:eastAsia="Times New Roman" w:hAnsi="Times New Roman" w:cs="Times New Roman"/>
          <w:b/>
          <w:bCs/>
          <w:kern w:val="0"/>
          <w14:ligatures w14:val="none"/>
        </w:rPr>
        <w:t>soixante ans de morts évitables</w:t>
      </w:r>
      <w:r w:rsidRPr="00B74705">
        <w:rPr>
          <w:rFonts w:ascii="Times New Roman" w:eastAsia="Times New Roman" w:hAnsi="Times New Roman" w:cs="Times New Roman"/>
          <w:kern w:val="0"/>
          <w14:ligatures w14:val="none"/>
        </w:rPr>
        <w:t>. Les mêmes schémas. Les mêmes échecs. Le même manque de compréhension pharmacogénomique.</w:t>
      </w:r>
    </w:p>
    <w:p w14:paraId="483D081E"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JOURNAL DE L'ARCHITECTE</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i/>
          <w:iCs/>
          <w:kern w:val="0"/>
          <w14:ligatures w14:val="none"/>
        </w:rPr>
        <w:t>Chaque personne dans ce mémorial serait probablement encore en vie si leurs prescripteurs avaient compris la pharmacogénomique. Si leurs médecins avaient demandé 'Quel médicament fonctionne pour VOTRE génotype ?' au lieu de 'Quel médicament prescrivons-nous habituellement ?'</w:t>
      </w:r>
    </w:p>
    <w:p w14:paraId="686D520B"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lastRenderedPageBreak/>
        <w:t>✅</w:t>
      </w:r>
      <w:r w:rsidRPr="00B74705">
        <w:rPr>
          <w:rFonts w:ascii="Times New Roman" w:eastAsia="Times New Roman" w:hAnsi="Times New Roman" w:cs="Times New Roman"/>
          <w:b/>
          <w:bCs/>
          <w:kern w:val="0"/>
          <w14:ligatures w14:val="none"/>
        </w:rPr>
        <w:t xml:space="preserve"> SYSTÈME VERT — LE TEST EXISTE</w:t>
      </w:r>
      <w:r w:rsidRPr="00B74705">
        <w:rPr>
          <w:rFonts w:ascii="Times New Roman" w:eastAsia="Times New Roman" w:hAnsi="Times New Roman" w:cs="Times New Roman"/>
          <w:kern w:val="0"/>
          <w14:ligatures w14:val="none"/>
        </w:rPr>
        <w:t xml:space="preserve"> Un panel pharmacogénomique coûte 200-400€. Comprendre vos variants COMT, CYP450, MTHFR, OPRM1 nécessite un seul test. Cette information peut faire la différence entre un traitement réussi et un crash système.</w:t>
      </w:r>
    </w:p>
    <w:p w14:paraId="44F16675"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Les schémas sur 60 ans sont clairs :</w:t>
      </w:r>
    </w:p>
    <w:p w14:paraId="7BF4770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MÉTABOLISEURS LENTS CYP2D6</w:t>
      </w:r>
      <w:r w:rsidRPr="00B74705">
        <w:rPr>
          <w:rFonts w:ascii="Times New Roman" w:eastAsia="Times New Roman" w:hAnsi="Times New Roman" w:cs="Times New Roman"/>
          <w:kern w:val="0"/>
          <w14:ligatures w14:val="none"/>
        </w:rPr>
        <w:t xml:space="preserve"> N'obtiennent aucun soulagement de la codéine mais effet complet/fatal du fentanyl (Prince, autres)</w:t>
      </w:r>
    </w:p>
    <w:p w14:paraId="6C86862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ATTENTION SYSTÈME — COMT MET/MET ('INQUIET')</w:t>
      </w:r>
      <w:r w:rsidRPr="00B74705">
        <w:rPr>
          <w:rFonts w:ascii="Times New Roman" w:eastAsia="Times New Roman" w:hAnsi="Times New Roman" w:cs="Times New Roman"/>
          <w:kern w:val="0"/>
          <w14:ligatures w14:val="none"/>
        </w:rPr>
        <w:t xml:space="preserve"> Crée une anxiété de base qui pousse à l'automédication avec des dépresseurs (Whitney, Avicii, possiblement beaucoup d'autres)</w:t>
      </w:r>
    </w:p>
    <w:p w14:paraId="7FD48A4F"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RÉINITIALISATION DE TOLÉRANCE POST-DÉSINTOXICATION</w:t>
      </w:r>
      <w:r w:rsidRPr="00B74705">
        <w:rPr>
          <w:rFonts w:ascii="Times New Roman" w:eastAsia="Times New Roman" w:hAnsi="Times New Roman" w:cs="Times New Roman"/>
          <w:kern w:val="0"/>
          <w14:ligatures w14:val="none"/>
        </w:rPr>
        <w:t xml:space="preserve"> L'ancienne dose devient la dose mortelle (Sid Vicious, Cory Monteith, Philip Seymour Hoffman)</w:t>
      </w:r>
    </w:p>
    <w:p w14:paraId="17CAEF50"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EMPILEMENT DE SUBSTRATS CYP450</w:t>
      </w:r>
      <w:r w:rsidRPr="00B74705">
        <w:rPr>
          <w:rFonts w:ascii="Times New Roman" w:eastAsia="Times New Roman" w:hAnsi="Times New Roman" w:cs="Times New Roman"/>
          <w:kern w:val="0"/>
          <w14:ligatures w14:val="none"/>
        </w:rPr>
        <w:t xml:space="preserve"> Multiples médicaments en compétition pour les mêmes enzymes → accumulation imprévisible (Elvis, Heath Ledger)</w:t>
      </w:r>
    </w:p>
    <w:p w14:paraId="5F4B9838"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71D80E6C">
          <v:rect id="_x0000_i1047" style="width:0;height:1.5pt" o:hralign="center" o:hrstd="t" o:hr="t" fillcolor="#a0a0a0" stroked="f"/>
        </w:pict>
      </w:r>
    </w:p>
    <w:p w14:paraId="721B731C" w14:textId="77777777" w:rsidR="00B74705" w:rsidRPr="00B74705" w:rsidRDefault="00B74705" w:rsidP="00B747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705">
        <w:rPr>
          <w:rFonts w:ascii="Times New Roman" w:eastAsia="Times New Roman" w:hAnsi="Times New Roman" w:cs="Times New Roman"/>
          <w:b/>
          <w:bCs/>
          <w:kern w:val="36"/>
          <w:sz w:val="48"/>
          <w:szCs w:val="48"/>
          <w14:ligatures w14:val="none"/>
        </w:rPr>
        <w:t>Chapitre 1 : Pourquoi la Volonté Ne Suffit Pas</w:t>
      </w:r>
    </w:p>
    <w:p w14:paraId="221BE00D"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Le Modèle de Défaillance Matérielle de l'Addiction</w:t>
      </w:r>
    </w:p>
    <w:p w14:paraId="226F1556"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1.1 Le Mythe de la Faiblesse Morale</w:t>
      </w:r>
    </w:p>
    <w:p w14:paraId="1A924A14"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JOURNAL DE L'ARCHITECTE</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i/>
          <w:iCs/>
          <w:kern w:val="0"/>
          <w14:ligatures w14:val="none"/>
        </w:rPr>
        <w:t>Si l'addiction était un échec moral, les personnes 'moralement fortes' ne deviendraient jamais dépendantes. Pourtant, nous voyons des médecins, des athlètes olympiques, des PDG et des prêtres lutter. L'addiction ne discrimine pas par caractère — elle discrimine par génétique.</w:t>
      </w:r>
    </w:p>
    <w:p w14:paraId="79309FD4"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L'addiction est une maladie de la neurochimie, pas du caractère. La compréhension de votre profil génétique unique transforme la récupération d'une 'bataille de volonté' en un 'projet d'ingénierie'.</w:t>
      </w:r>
    </w:p>
    <w:p w14:paraId="59707B8E"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Les Trois Systèmes de l'Addiction</w:t>
      </w:r>
    </w:p>
    <w:p w14:paraId="4B40D3DF" w14:textId="77777777" w:rsidR="00B74705" w:rsidRPr="00B74705" w:rsidRDefault="00B74705" w:rsidP="00B747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Le Système d'Approvisionnement (MTHFR)</w:t>
      </w:r>
      <w:r w:rsidRPr="00B74705">
        <w:rPr>
          <w:rFonts w:ascii="Times New Roman" w:eastAsia="Times New Roman" w:hAnsi="Times New Roman" w:cs="Times New Roman"/>
          <w:kern w:val="0"/>
          <w14:ligatures w14:val="none"/>
        </w:rPr>
        <w:t xml:space="preserve"> — Production des neurotransmetteurs</w:t>
      </w:r>
    </w:p>
    <w:p w14:paraId="110CF153" w14:textId="77777777" w:rsidR="00B74705" w:rsidRPr="00B74705" w:rsidRDefault="00B74705" w:rsidP="00B747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lastRenderedPageBreak/>
        <w:t>Le Système de Clairance (COMT)</w:t>
      </w:r>
      <w:r w:rsidRPr="00B74705">
        <w:rPr>
          <w:rFonts w:ascii="Times New Roman" w:eastAsia="Times New Roman" w:hAnsi="Times New Roman" w:cs="Times New Roman"/>
          <w:kern w:val="0"/>
          <w14:ligatures w14:val="none"/>
        </w:rPr>
        <w:t xml:space="preserve"> — Élimination des neurotransmetteurs</w:t>
      </w:r>
    </w:p>
    <w:p w14:paraId="3892B26D" w14:textId="77777777" w:rsidR="00B74705" w:rsidRPr="00B74705" w:rsidRDefault="00B74705" w:rsidP="00B747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Le Système de Traitement (CYP450)</w:t>
      </w:r>
      <w:r w:rsidRPr="00B74705">
        <w:rPr>
          <w:rFonts w:ascii="Times New Roman" w:eastAsia="Times New Roman" w:hAnsi="Times New Roman" w:cs="Times New Roman"/>
          <w:kern w:val="0"/>
          <w14:ligatures w14:val="none"/>
        </w:rPr>
        <w:t xml:space="preserve"> — Métabolisme des médicaments</w:t>
      </w:r>
    </w:p>
    <w:p w14:paraId="6ED3DF0E"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Quand l'un de ces systèmes est génétiquement compromis, la vulnérabilité à l'addiction augmente exponentiellement.</w:t>
      </w:r>
    </w:p>
    <w:p w14:paraId="512105A9"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08AE473D">
          <v:rect id="_x0000_i1048" style="width:0;height:1.5pt" o:hralign="center" o:hrstd="t" o:hr="t" fillcolor="#a0a0a0" stroked="f"/>
        </w:pict>
      </w:r>
    </w:p>
    <w:p w14:paraId="7AE2FBAF"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1.2 Votre Cerveau Comme Centre de Données</w:t>
      </w:r>
    </w:p>
    <w:p w14:paraId="70DE59DD"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L'ANALOGIE DU CENTRE DE DONNÉES</w:t>
      </w:r>
      <w:r w:rsidRPr="00B74705">
        <w:rPr>
          <w:rFonts w:ascii="Times New Roman" w:eastAsia="Times New Roman" w:hAnsi="Times New Roman" w:cs="Times New Roman"/>
          <w:kern w:val="0"/>
          <w14:ligatures w14:val="none"/>
        </w:rPr>
        <w:t xml:space="preserve"> Imaginez votre cerveau comme un centre de données sophistiqué : • </w:t>
      </w:r>
      <w:r w:rsidRPr="00B74705">
        <w:rPr>
          <w:rFonts w:ascii="Times New Roman" w:eastAsia="Times New Roman" w:hAnsi="Times New Roman" w:cs="Times New Roman"/>
          <w:b/>
          <w:bCs/>
          <w:kern w:val="0"/>
          <w14:ligatures w14:val="none"/>
        </w:rPr>
        <w:t>Neurotransmetteurs</w:t>
      </w:r>
      <w:r w:rsidRPr="00B74705">
        <w:rPr>
          <w:rFonts w:ascii="Times New Roman" w:eastAsia="Times New Roman" w:hAnsi="Times New Roman" w:cs="Times New Roman"/>
          <w:kern w:val="0"/>
          <w14:ligatures w14:val="none"/>
        </w:rPr>
        <w:t xml:space="preserve"> = Données circulant entre serveurs • </w:t>
      </w:r>
      <w:r w:rsidRPr="00B74705">
        <w:rPr>
          <w:rFonts w:ascii="Times New Roman" w:eastAsia="Times New Roman" w:hAnsi="Times New Roman" w:cs="Times New Roman"/>
          <w:b/>
          <w:bCs/>
          <w:kern w:val="0"/>
          <w14:ligatures w14:val="none"/>
        </w:rPr>
        <w:t>Récepteurs</w:t>
      </w:r>
      <w:r w:rsidRPr="00B74705">
        <w:rPr>
          <w:rFonts w:ascii="Times New Roman" w:eastAsia="Times New Roman" w:hAnsi="Times New Roman" w:cs="Times New Roman"/>
          <w:kern w:val="0"/>
          <w14:ligatures w14:val="none"/>
        </w:rPr>
        <w:t xml:space="preserve"> = Ports recevant les données • </w:t>
      </w:r>
      <w:r w:rsidRPr="00B74705">
        <w:rPr>
          <w:rFonts w:ascii="Times New Roman" w:eastAsia="Times New Roman" w:hAnsi="Times New Roman" w:cs="Times New Roman"/>
          <w:b/>
          <w:bCs/>
          <w:kern w:val="0"/>
          <w14:ligatures w14:val="none"/>
        </w:rPr>
        <w:t>Enzymes</w:t>
      </w:r>
      <w:r w:rsidRPr="00B74705">
        <w:rPr>
          <w:rFonts w:ascii="Times New Roman" w:eastAsia="Times New Roman" w:hAnsi="Times New Roman" w:cs="Times New Roman"/>
          <w:kern w:val="0"/>
          <w14:ligatures w14:val="none"/>
        </w:rPr>
        <w:t xml:space="preserve"> = Routeurs contrôlant le flux de données • </w:t>
      </w:r>
      <w:r w:rsidRPr="00B74705">
        <w:rPr>
          <w:rFonts w:ascii="Times New Roman" w:eastAsia="Times New Roman" w:hAnsi="Times New Roman" w:cs="Times New Roman"/>
          <w:b/>
          <w:bCs/>
          <w:kern w:val="0"/>
          <w14:ligatures w14:val="none"/>
        </w:rPr>
        <w:t>Gènes</w:t>
      </w:r>
      <w:r w:rsidRPr="00B74705">
        <w:rPr>
          <w:rFonts w:ascii="Times New Roman" w:eastAsia="Times New Roman" w:hAnsi="Times New Roman" w:cs="Times New Roman"/>
          <w:kern w:val="0"/>
          <w14:ligatures w14:val="none"/>
        </w:rPr>
        <w:t xml:space="preserve"> = Code source déterminant la configuration matérielle</w:t>
      </w:r>
    </w:p>
    <w:p w14:paraId="1D2A65B4"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Quand le code source contient des variants, le matériel fonctionne différemment. Ce n'est ni bon ni mauvais — c'est simplement différent. Mais utiliser le mauvais manuel pour votre matériel cause des pannes.</w:t>
      </w:r>
    </w:p>
    <w:p w14:paraId="7E8C6BF3"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20EFA855">
          <v:rect id="_x0000_i1049" style="width:0;height:1.5pt" o:hralign="center" o:hrstd="t" o:hr="t" fillcolor="#a0a0a0" stroked="f"/>
        </w:pict>
      </w:r>
    </w:p>
    <w:p w14:paraId="6C164701"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1.3 Le Piège de la Dose Standard</w:t>
      </w:r>
    </w:p>
    <w:p w14:paraId="2DAEE9A0"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LE MYTHE DE LA TAILLE UNIQUE</w:t>
      </w:r>
      <w:r w:rsidRPr="00B74705">
        <w:rPr>
          <w:rFonts w:ascii="Times New Roman" w:eastAsia="Times New Roman" w:hAnsi="Times New Roman" w:cs="Times New Roman"/>
          <w:kern w:val="0"/>
          <w14:ligatures w14:val="none"/>
        </w:rPr>
        <w:t xml:space="preserve"> Les essais cliniques testent les médicaments sur des 'métaboliseurs normaux' — environ 50-70% de la population. Si vous êtes dans les 30-50% restants, la 'dose standard' peut être : • Inefficace (métaboliseurs ultrarapides) • Toxique (métaboliseurs lents) • Partiellement efficace (métaboliseurs intermédiaires)</w:t>
      </w:r>
    </w:p>
    <w:p w14:paraId="2A45672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Exemple Clinique :</w:t>
      </w:r>
      <w:r w:rsidRPr="00B74705">
        <w:rPr>
          <w:rFonts w:ascii="Times New Roman" w:eastAsia="Times New Roman" w:hAnsi="Times New Roman" w:cs="Times New Roman"/>
          <w:kern w:val="0"/>
          <w14:ligatures w14:val="none"/>
        </w:rPr>
        <w:t xml:space="preserve"> La codéine prescrite à un métaboliseur lent CYP2D6 ne fournit AUCUN soulagement de la douleur. Le patient demande des médicaments plus forts. Le médecin le soupçonne de chercher des drogues. Le patient se tourne vers des sources illicites. L'escalade vers le fentanyl se produit. L'overdose suit.</w:t>
      </w:r>
    </w:p>
    <w:p w14:paraId="43924C2F"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Tout cela aurait pu être évité avec un test génétique de 200€.</w:t>
      </w:r>
    </w:p>
    <w:p w14:paraId="5E816FD4"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25198F0F">
          <v:rect id="_x0000_i1050" style="width:0;height:1.5pt" o:hralign="center" o:hrstd="t" o:hr="t" fillcolor="#a0a0a0" stroked="f"/>
        </w:pict>
      </w:r>
    </w:p>
    <w:p w14:paraId="26AC002B" w14:textId="77777777" w:rsidR="00B74705" w:rsidRPr="00B74705" w:rsidRDefault="00B74705" w:rsidP="00B747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705">
        <w:rPr>
          <w:rFonts w:ascii="Times New Roman" w:eastAsia="Times New Roman" w:hAnsi="Times New Roman" w:cs="Times New Roman"/>
          <w:b/>
          <w:bCs/>
          <w:kern w:val="36"/>
          <w:sz w:val="48"/>
          <w:szCs w:val="48"/>
          <w14:ligatures w14:val="none"/>
        </w:rPr>
        <w:t>Chapitre 2 : Le Système d'Approvisionnement</w:t>
      </w:r>
    </w:p>
    <w:p w14:paraId="2F8F3788"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MTHFR et la Production de Neurotransmetteurs</w:t>
      </w:r>
    </w:p>
    <w:p w14:paraId="245221F1"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lastRenderedPageBreak/>
        <w:t>2.1 Qu'est-ce que MTHFR ?</w:t>
      </w:r>
    </w:p>
    <w:p w14:paraId="7DECE39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Le gène </w:t>
      </w:r>
      <w:r w:rsidRPr="00B74705">
        <w:rPr>
          <w:rFonts w:ascii="Times New Roman" w:eastAsia="Times New Roman" w:hAnsi="Times New Roman" w:cs="Times New Roman"/>
          <w:b/>
          <w:bCs/>
          <w:kern w:val="0"/>
          <w14:ligatures w14:val="none"/>
        </w:rPr>
        <w:t>MTHFR</w:t>
      </w:r>
      <w:r w:rsidRPr="00B74705">
        <w:rPr>
          <w:rFonts w:ascii="Times New Roman" w:eastAsia="Times New Roman" w:hAnsi="Times New Roman" w:cs="Times New Roman"/>
          <w:kern w:val="0"/>
          <w14:ligatures w14:val="none"/>
        </w:rPr>
        <w:t xml:space="preserve"> (Méthylènetétrahydrofolate Réductase) code pour une enzyme qui convertit le folate en sa forme active : le </w:t>
      </w:r>
      <w:r w:rsidRPr="00B74705">
        <w:rPr>
          <w:rFonts w:ascii="Times New Roman" w:eastAsia="Times New Roman" w:hAnsi="Times New Roman" w:cs="Times New Roman"/>
          <w:b/>
          <w:bCs/>
          <w:kern w:val="0"/>
          <w14:ligatures w14:val="none"/>
        </w:rPr>
        <w:t>L-méthylfolate</w:t>
      </w:r>
      <w:r w:rsidRPr="00B74705">
        <w:rPr>
          <w:rFonts w:ascii="Times New Roman" w:eastAsia="Times New Roman" w:hAnsi="Times New Roman" w:cs="Times New Roman"/>
          <w:kern w:val="0"/>
          <w14:ligatures w14:val="none"/>
        </w:rPr>
        <w:t>. Cette forme active est essentielle pour :</w:t>
      </w:r>
    </w:p>
    <w:p w14:paraId="03E48EF9"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La production de sérotonine (humeur, sommeil, satiété) • La production de dopamine (motivation, plaisir, concentration) • La production de noradrénaline (énergie, vigilance) • Les réactions de méthylation dans tout le corps</w:t>
      </w:r>
    </w:p>
    <w:p w14:paraId="724D9BE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ATTENTION SYSTÈME — PRÉVALENCE DES VARIANTS MTHFR</w:t>
      </w:r>
      <w:r w:rsidRPr="00B74705">
        <w:rPr>
          <w:rFonts w:ascii="Times New Roman" w:eastAsia="Times New Roman" w:hAnsi="Times New Roman" w:cs="Times New Roman"/>
          <w:kern w:val="0"/>
          <w14:ligatures w14:val="none"/>
        </w:rPr>
        <w:t xml:space="preserve"> • C677T Hétérozygote (C/T) : ~40% de la population • C677T Homozygote (T/T) : ~10-15% de la population • A1298C : Variant additionnel affectant la même voie</w:t>
      </w:r>
    </w:p>
    <w:p w14:paraId="2661F423"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6092058B">
          <v:rect id="_x0000_i1051" style="width:0;height:1.5pt" o:hralign="center" o:hrstd="t" o:hr="t" fillcolor="#a0a0a0" stroked="f"/>
        </w:pict>
      </w:r>
    </w:p>
    <w:p w14:paraId="16DF9DB0"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2.2 Impact sur la Récupération</w:t>
      </w:r>
    </w:p>
    <w:p w14:paraId="1BB11A8B"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Profil C/C (Type Sauvage)</w:t>
      </w:r>
    </w:p>
    <w:p w14:paraId="74540369"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FONCTION NORMALE</w:t>
      </w:r>
      <w:r w:rsidRPr="00B74705">
        <w:rPr>
          <w:rFonts w:ascii="Times New Roman" w:eastAsia="Times New Roman" w:hAnsi="Times New Roman" w:cs="Times New Roman"/>
          <w:kern w:val="0"/>
          <w14:ligatures w14:val="none"/>
        </w:rPr>
        <w:t xml:space="preserve"> • 100% de fonction enzymatique • Le folate alimentaire est efficacement converti • La production de neurotransmetteurs procède normalement • Les antidépresseurs standard fonctionnent généralement comme prévu</w:t>
      </w:r>
    </w:p>
    <w:p w14:paraId="5613C6D5"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Profil C/T (Hétérozygote)</w:t>
      </w:r>
    </w:p>
    <w:p w14:paraId="4FBFC49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ATTENTION SYSTÈME — FONCTION RÉDUITE</w:t>
      </w:r>
      <w:r w:rsidRPr="00B74705">
        <w:rPr>
          <w:rFonts w:ascii="Times New Roman" w:eastAsia="Times New Roman" w:hAnsi="Times New Roman" w:cs="Times New Roman"/>
          <w:kern w:val="0"/>
          <w14:ligatures w14:val="none"/>
        </w:rPr>
        <w:t xml:space="preserve"> • ~65% de fonction enzymatique • Peut nécessiter une supplémentation en méthylfolate • Les antidépresseurs peuvent être partiellement efficaces • Vulnérabilité modérée à la dépression/anxiété</w:t>
      </w:r>
    </w:p>
    <w:p w14:paraId="0AE61F04"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Profil T/T (Homozygote)</w:t>
      </w:r>
    </w:p>
    <w:p w14:paraId="3940927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FONCTION SÉVÈREMENT RÉDUITE</w:t>
      </w:r>
      <w:r w:rsidRPr="00B74705">
        <w:rPr>
          <w:rFonts w:ascii="Times New Roman" w:eastAsia="Times New Roman" w:hAnsi="Times New Roman" w:cs="Times New Roman"/>
          <w:kern w:val="0"/>
          <w14:ligatures w14:val="none"/>
        </w:rPr>
        <w:t xml:space="preserve"> • ~30% de fonction enzymatique • La production de neurotransmetteurs est significativement compromise • Les antidépresseurs échouent souvent sans supplémentation en méthylfolate • Haute vulnérabilité à la dépression, l'anxiété et l'automédication</w:t>
      </w:r>
    </w:p>
    <w:p w14:paraId="7D402ABB"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5CEB9031">
          <v:rect id="_x0000_i1052" style="width:0;height:1.5pt" o:hralign="center" o:hrstd="t" o:hr="t" fillcolor="#a0a0a0" stroked="f"/>
        </w:pict>
      </w:r>
    </w:p>
    <w:p w14:paraId="21B45507"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2.3 Protocole de Supplémentation MTHFR</w:t>
      </w:r>
    </w:p>
    <w:p w14:paraId="1E2EA238"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STACK APPROUVÉ POUR T/T</w:t>
      </w:r>
      <w:r w:rsidRPr="00B74705">
        <w:rPr>
          <w:rFonts w:ascii="Times New Roman" w:eastAsia="Times New Roman" w:hAnsi="Times New Roman" w:cs="Times New Roman"/>
          <w:kern w:val="0"/>
          <w14:ligatures w14:val="none"/>
        </w:rPr>
        <w:t xml:space="preserve"> • </w:t>
      </w:r>
      <w:r w:rsidRPr="00B74705">
        <w:rPr>
          <w:rFonts w:ascii="Times New Roman" w:eastAsia="Times New Roman" w:hAnsi="Times New Roman" w:cs="Times New Roman"/>
          <w:b/>
          <w:bCs/>
          <w:kern w:val="0"/>
          <w14:ligatures w14:val="none"/>
        </w:rPr>
        <w:t>L-Méthylfolate</w:t>
      </w:r>
      <w:r w:rsidRPr="00B74705">
        <w:rPr>
          <w:rFonts w:ascii="Times New Roman" w:eastAsia="Times New Roman" w:hAnsi="Times New Roman" w:cs="Times New Roman"/>
          <w:kern w:val="0"/>
          <w14:ligatures w14:val="none"/>
        </w:rPr>
        <w:t xml:space="preserve"> (400-800 mcg/jour, augmenter lentement jusqu'à 15mg si toléré) • </w:t>
      </w:r>
      <w:r w:rsidRPr="00B74705">
        <w:rPr>
          <w:rFonts w:ascii="Times New Roman" w:eastAsia="Times New Roman" w:hAnsi="Times New Roman" w:cs="Times New Roman"/>
          <w:b/>
          <w:bCs/>
          <w:kern w:val="0"/>
          <w14:ligatures w14:val="none"/>
        </w:rPr>
        <w:t>Méthylcobalamine (B12)</w:t>
      </w:r>
      <w:r w:rsidRPr="00B74705">
        <w:rPr>
          <w:rFonts w:ascii="Times New Roman" w:eastAsia="Times New Roman" w:hAnsi="Times New Roman" w:cs="Times New Roman"/>
          <w:kern w:val="0"/>
          <w14:ligatures w14:val="none"/>
        </w:rPr>
        <w:t xml:space="preserve"> (1000-5000 mcg/jour) • </w:t>
      </w:r>
      <w:r w:rsidRPr="00B74705">
        <w:rPr>
          <w:rFonts w:ascii="Times New Roman" w:eastAsia="Times New Roman" w:hAnsi="Times New Roman" w:cs="Times New Roman"/>
          <w:b/>
          <w:bCs/>
          <w:kern w:val="0"/>
          <w14:ligatures w14:val="none"/>
        </w:rPr>
        <w:t>P-5-P (B6 active)</w:t>
      </w:r>
      <w:r w:rsidRPr="00B74705">
        <w:rPr>
          <w:rFonts w:ascii="Times New Roman" w:eastAsia="Times New Roman" w:hAnsi="Times New Roman" w:cs="Times New Roman"/>
          <w:kern w:val="0"/>
          <w14:ligatures w14:val="none"/>
        </w:rPr>
        <w:t xml:space="preserve"> (25-50mg/jour) • </w:t>
      </w:r>
      <w:r w:rsidRPr="00B74705">
        <w:rPr>
          <w:rFonts w:ascii="Times New Roman" w:eastAsia="Times New Roman" w:hAnsi="Times New Roman" w:cs="Times New Roman"/>
          <w:b/>
          <w:bCs/>
          <w:kern w:val="0"/>
          <w14:ligatures w14:val="none"/>
        </w:rPr>
        <w:t>Riboflavine (B2)</w:t>
      </w:r>
      <w:r w:rsidRPr="00B74705">
        <w:rPr>
          <w:rFonts w:ascii="Times New Roman" w:eastAsia="Times New Roman" w:hAnsi="Times New Roman" w:cs="Times New Roman"/>
          <w:kern w:val="0"/>
          <w14:ligatures w14:val="none"/>
        </w:rPr>
        <w:t xml:space="preserve"> (25-50mg/jour) • </w:t>
      </w:r>
      <w:r w:rsidRPr="00B74705">
        <w:rPr>
          <w:rFonts w:ascii="Times New Roman" w:eastAsia="Times New Roman" w:hAnsi="Times New Roman" w:cs="Times New Roman"/>
          <w:b/>
          <w:bCs/>
          <w:kern w:val="0"/>
          <w14:ligatures w14:val="none"/>
        </w:rPr>
        <w:t>TMG (Triméthylglycine)</w:t>
      </w:r>
      <w:r w:rsidRPr="00B74705">
        <w:rPr>
          <w:rFonts w:ascii="Times New Roman" w:eastAsia="Times New Roman" w:hAnsi="Times New Roman" w:cs="Times New Roman"/>
          <w:kern w:val="0"/>
          <w14:ligatures w14:val="none"/>
        </w:rPr>
        <w:t xml:space="preserve"> (500-1000mg/jour) — voie de méthylation alternative</w:t>
      </w:r>
    </w:p>
    <w:p w14:paraId="7E120C6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lastRenderedPageBreak/>
        <w:t>⚠️</w:t>
      </w:r>
      <w:r w:rsidRPr="00B74705">
        <w:rPr>
          <w:rFonts w:ascii="Times New Roman" w:eastAsia="Times New Roman" w:hAnsi="Times New Roman" w:cs="Times New Roman"/>
          <w:b/>
          <w:bCs/>
          <w:kern w:val="0"/>
          <w14:ligatures w14:val="none"/>
        </w:rPr>
        <w:t xml:space="preserve"> ATTENTION SYSTÈME — RISQUE DE SURMÉTHYLATION</w:t>
      </w:r>
      <w:r w:rsidRPr="00B74705">
        <w:rPr>
          <w:rFonts w:ascii="Times New Roman" w:eastAsia="Times New Roman" w:hAnsi="Times New Roman" w:cs="Times New Roman"/>
          <w:kern w:val="0"/>
          <w14:ligatures w14:val="none"/>
        </w:rPr>
        <w:t xml:space="preserve"> Commencez avec des doses faibles. La surméthylation peut provoquer anxiété, irritabilité et insomnie. Augmentez lentement sur 2-4 semaines. Si des symptômes de surméthylation apparaissent, réduisez la dose ou ajoutez de la niacine (50-100mg).</w:t>
      </w:r>
    </w:p>
    <w:p w14:paraId="1573490E"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54079AD1">
          <v:rect id="_x0000_i1053" style="width:0;height:1.5pt" o:hralign="center" o:hrstd="t" o:hr="t" fillcolor="#a0a0a0" stroked="f"/>
        </w:pict>
      </w:r>
    </w:p>
    <w:p w14:paraId="02C64C05" w14:textId="77777777" w:rsidR="00B74705" w:rsidRPr="00B74705" w:rsidRDefault="00B74705" w:rsidP="00B747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705">
        <w:rPr>
          <w:rFonts w:ascii="Times New Roman" w:eastAsia="Times New Roman" w:hAnsi="Times New Roman" w:cs="Times New Roman"/>
          <w:b/>
          <w:bCs/>
          <w:kern w:val="36"/>
          <w:sz w:val="48"/>
          <w:szCs w:val="48"/>
          <w14:ligatures w14:val="none"/>
        </w:rPr>
        <w:t>Chapitre 3 : Le Système de Clairance</w:t>
      </w:r>
    </w:p>
    <w:p w14:paraId="0C5F1C8F"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COMT et le Métabolisme de la Dopamine</w:t>
      </w:r>
    </w:p>
    <w:p w14:paraId="37D74B08"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3.1 Qu'est-ce que COMT ?</w:t>
      </w:r>
    </w:p>
    <w:p w14:paraId="59663B66"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Le gène </w:t>
      </w:r>
      <w:r w:rsidRPr="00B74705">
        <w:rPr>
          <w:rFonts w:ascii="Times New Roman" w:eastAsia="Times New Roman" w:hAnsi="Times New Roman" w:cs="Times New Roman"/>
          <w:b/>
          <w:bCs/>
          <w:kern w:val="0"/>
          <w14:ligatures w14:val="none"/>
        </w:rPr>
        <w:t>COMT</w:t>
      </w:r>
      <w:r w:rsidRPr="00B74705">
        <w:rPr>
          <w:rFonts w:ascii="Times New Roman" w:eastAsia="Times New Roman" w:hAnsi="Times New Roman" w:cs="Times New Roman"/>
          <w:kern w:val="0"/>
          <w14:ligatures w14:val="none"/>
        </w:rPr>
        <w:t xml:space="preserve"> (Catéchol-O-Méthyltransférase) code pour une enzyme qui dégrade :</w:t>
      </w:r>
    </w:p>
    <w:p w14:paraId="4201B03D"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La dopamine • La noradrénaline • L'adrénaline • Les œstrogènes catéchols</w:t>
      </w:r>
    </w:p>
    <w:p w14:paraId="55D2FB7C"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Le variant rs4680 (Val158Met) détermine la vitesse de cette enzyme.</w:t>
      </w:r>
    </w:p>
    <w:p w14:paraId="1A06B065"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42CB16CC">
          <v:rect id="_x0000_i1054" style="width:0;height:1.5pt" o:hralign="center" o:hrstd="t" o:hr="t" fillcolor="#a0a0a0" stroked="f"/>
        </w:pict>
      </w:r>
    </w:p>
    <w:p w14:paraId="0DA9DF32"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3.2 Le Spectre Guerrier-Inquiet</w:t>
      </w:r>
    </w:p>
    <w:p w14:paraId="48E44619"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Val/Val — Le Guerrier</w:t>
      </w:r>
    </w:p>
    <w:p w14:paraId="78620B1D"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CLAIRANCE RAPIDE</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b/>
          <w:bCs/>
          <w:kern w:val="0"/>
          <w14:ligatures w14:val="none"/>
        </w:rPr>
        <w:t>Caractéristiques :</w:t>
      </w:r>
      <w:r w:rsidRPr="00B74705">
        <w:rPr>
          <w:rFonts w:ascii="Times New Roman" w:eastAsia="Times New Roman" w:hAnsi="Times New Roman" w:cs="Times New Roman"/>
          <w:kern w:val="0"/>
          <w14:ligatures w14:val="none"/>
        </w:rPr>
        <w:t xml:space="preserve"> • Clairance rapide de la dopamine (4x plus vite que Met/Met) • Faible anxiété de base • Excellent sous stress aigu • Peut paraître 'détaché' ou 'insensible'</w:t>
      </w:r>
    </w:p>
    <w:p w14:paraId="64515629"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Risques d'Addiction :</w:t>
      </w:r>
      <w:r w:rsidRPr="00B74705">
        <w:rPr>
          <w:rFonts w:ascii="Times New Roman" w:eastAsia="Times New Roman" w:hAnsi="Times New Roman" w:cs="Times New Roman"/>
          <w:kern w:val="0"/>
          <w14:ligatures w14:val="none"/>
        </w:rPr>
        <w:t xml:space="preserve"> • Peut rechercher des stimulants pour 'se sentir normal' • Comportements à risque pour générer de la dopamine • Moins affecté par les récompenses normales</w:t>
      </w:r>
    </w:p>
    <w:p w14:paraId="1F63620D"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Forces en Récupération :</w:t>
      </w:r>
      <w:r w:rsidRPr="00B74705">
        <w:rPr>
          <w:rFonts w:ascii="Times New Roman" w:eastAsia="Times New Roman" w:hAnsi="Times New Roman" w:cs="Times New Roman"/>
          <w:kern w:val="0"/>
          <w14:ligatures w14:val="none"/>
        </w:rPr>
        <w:t xml:space="preserve"> • Moins de symptômes de sevrage émotionnel • Peut mieux gérer les environnements stressants • Moins susceptible à la rechute induite par l'anxiété</w:t>
      </w:r>
    </w:p>
    <w:p w14:paraId="42B54991"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Val/Met — L'Équilibré</w:t>
      </w:r>
    </w:p>
    <w:p w14:paraId="3FD40609"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ATTENTION SYSTÈME — CLAIRANCE INTERMÉDIAIRE</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b/>
          <w:bCs/>
          <w:kern w:val="0"/>
          <w14:ligatures w14:val="none"/>
        </w:rPr>
        <w:t>Caractéristiques :</w:t>
      </w:r>
      <w:r w:rsidRPr="00B74705">
        <w:rPr>
          <w:rFonts w:ascii="Times New Roman" w:eastAsia="Times New Roman" w:hAnsi="Times New Roman" w:cs="Times New Roman"/>
          <w:kern w:val="0"/>
          <w14:ligatures w14:val="none"/>
        </w:rPr>
        <w:t xml:space="preserve"> • Fonction enzymatique modérée • Peut s'adapter à divers environnements • Flexibilité cognitive</w:t>
      </w:r>
    </w:p>
    <w:p w14:paraId="43F85040"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Risques d'Addiction :</w:t>
      </w:r>
      <w:r w:rsidRPr="00B74705">
        <w:rPr>
          <w:rFonts w:ascii="Times New Roman" w:eastAsia="Times New Roman" w:hAnsi="Times New Roman" w:cs="Times New Roman"/>
          <w:kern w:val="0"/>
          <w14:ligatures w14:val="none"/>
        </w:rPr>
        <w:t xml:space="preserve"> • Dépend du contexte et des autres gènes • Peut pencher vers Guerrier ou Inquiet selon l'environnement</w:t>
      </w:r>
    </w:p>
    <w:p w14:paraId="282B7DF2"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lastRenderedPageBreak/>
        <w:t>Met/Met — L'Inquiet</w:t>
      </w:r>
    </w:p>
    <w:p w14:paraId="278B6676"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CLAIRANCE LENTE</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b/>
          <w:bCs/>
          <w:kern w:val="0"/>
          <w14:ligatures w14:val="none"/>
        </w:rPr>
        <w:t>Caractéristiques :</w:t>
      </w:r>
      <w:r w:rsidRPr="00B74705">
        <w:rPr>
          <w:rFonts w:ascii="Times New Roman" w:eastAsia="Times New Roman" w:hAnsi="Times New Roman" w:cs="Times New Roman"/>
          <w:kern w:val="0"/>
          <w14:ligatures w14:val="none"/>
        </w:rPr>
        <w:t xml:space="preserve"> • Clairance lente de la dopamine • Haute anxiété de base • Excellent pour les tâches cognitives complexes dans des environnements calmes • Submergé par le stress aigu</w:t>
      </w:r>
    </w:p>
    <w:p w14:paraId="29E68387"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Risques d'Addiction :</w:t>
      </w:r>
      <w:r w:rsidRPr="00B74705">
        <w:rPr>
          <w:rFonts w:ascii="Times New Roman" w:eastAsia="Times New Roman" w:hAnsi="Times New Roman" w:cs="Times New Roman"/>
          <w:kern w:val="0"/>
          <w14:ligatures w14:val="none"/>
        </w:rPr>
        <w:t xml:space="preserve"> • Automédication avec des dépresseurs (alcool, benzos, opioïdes) • Les stimulants créent une anxiété insupportable • Peut utiliser des substances pour 'éteindre' un cerveau hyperactif</w:t>
      </w:r>
    </w:p>
    <w:p w14:paraId="0B509089"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Défis en Récupération :</w:t>
      </w:r>
      <w:r w:rsidRPr="00B74705">
        <w:rPr>
          <w:rFonts w:ascii="Times New Roman" w:eastAsia="Times New Roman" w:hAnsi="Times New Roman" w:cs="Times New Roman"/>
          <w:kern w:val="0"/>
          <w14:ligatures w14:val="none"/>
        </w:rPr>
        <w:t xml:space="preserve"> • Symptômes de sevrage émotionnel intenses • Haute vulnérabilité à la rechute induite par l'anxiété • Besoin d'environnements de récupération calmes et structurés</w:t>
      </w:r>
    </w:p>
    <w:p w14:paraId="2CC59DFB"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043665E8">
          <v:rect id="_x0000_i1055" style="width:0;height:1.5pt" o:hralign="center" o:hrstd="t" o:hr="t" fillcolor="#a0a0a0" stroked="f"/>
        </w:pict>
      </w:r>
    </w:p>
    <w:p w14:paraId="344A613A"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3.3 Protocole de Support COMT</w:t>
      </w:r>
    </w:p>
    <w:p w14:paraId="2480CD02"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Pour Val/Val (Guerrier)</w:t>
      </w:r>
    </w:p>
    <w:p w14:paraId="7C457E85"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STACK DE SUPPORT DOPAMINE</w:t>
      </w:r>
      <w:r w:rsidRPr="00B74705">
        <w:rPr>
          <w:rFonts w:ascii="Times New Roman" w:eastAsia="Times New Roman" w:hAnsi="Times New Roman" w:cs="Times New Roman"/>
          <w:kern w:val="0"/>
          <w14:ligatures w14:val="none"/>
        </w:rPr>
        <w:t xml:space="preserve"> • </w:t>
      </w:r>
      <w:r w:rsidRPr="00B74705">
        <w:rPr>
          <w:rFonts w:ascii="Times New Roman" w:eastAsia="Times New Roman" w:hAnsi="Times New Roman" w:cs="Times New Roman"/>
          <w:b/>
          <w:bCs/>
          <w:kern w:val="0"/>
          <w14:ligatures w14:val="none"/>
        </w:rPr>
        <w:t>L-Tyrosine</w:t>
      </w:r>
      <w:r w:rsidRPr="00B74705">
        <w:rPr>
          <w:rFonts w:ascii="Times New Roman" w:eastAsia="Times New Roman" w:hAnsi="Times New Roman" w:cs="Times New Roman"/>
          <w:kern w:val="0"/>
          <w14:ligatures w14:val="none"/>
        </w:rPr>
        <w:t xml:space="preserve"> (500-1000mg le matin, à jeun) • </w:t>
      </w:r>
      <w:r w:rsidRPr="00B74705">
        <w:rPr>
          <w:rFonts w:ascii="Times New Roman" w:eastAsia="Times New Roman" w:hAnsi="Times New Roman" w:cs="Times New Roman"/>
          <w:b/>
          <w:bCs/>
          <w:kern w:val="0"/>
          <w14:ligatures w14:val="none"/>
        </w:rPr>
        <w:t>Mucuna Pruriens</w:t>
      </w:r>
      <w:r w:rsidRPr="00B74705">
        <w:rPr>
          <w:rFonts w:ascii="Times New Roman" w:eastAsia="Times New Roman" w:hAnsi="Times New Roman" w:cs="Times New Roman"/>
          <w:kern w:val="0"/>
          <w14:ligatures w14:val="none"/>
        </w:rPr>
        <w:t xml:space="preserve"> (15% L-DOPA, 100-200mg) • </w:t>
      </w:r>
      <w:r w:rsidRPr="00B74705">
        <w:rPr>
          <w:rFonts w:ascii="Times New Roman" w:eastAsia="Times New Roman" w:hAnsi="Times New Roman" w:cs="Times New Roman"/>
          <w:b/>
          <w:bCs/>
          <w:kern w:val="0"/>
          <w14:ligatures w14:val="none"/>
        </w:rPr>
        <w:t>Rhodiola Rosea</w:t>
      </w:r>
      <w:r w:rsidRPr="00B74705">
        <w:rPr>
          <w:rFonts w:ascii="Times New Roman" w:eastAsia="Times New Roman" w:hAnsi="Times New Roman" w:cs="Times New Roman"/>
          <w:kern w:val="0"/>
          <w14:ligatures w14:val="none"/>
        </w:rPr>
        <w:t xml:space="preserve"> (200-400mg) • </w:t>
      </w:r>
      <w:r w:rsidRPr="00B74705">
        <w:rPr>
          <w:rFonts w:ascii="Times New Roman" w:eastAsia="Times New Roman" w:hAnsi="Times New Roman" w:cs="Times New Roman"/>
          <w:b/>
          <w:bCs/>
          <w:kern w:val="0"/>
          <w14:ligatures w14:val="none"/>
        </w:rPr>
        <w:t>Exercice intense</w:t>
      </w:r>
      <w:r w:rsidRPr="00B74705">
        <w:rPr>
          <w:rFonts w:ascii="Times New Roman" w:eastAsia="Times New Roman" w:hAnsi="Times New Roman" w:cs="Times New Roman"/>
          <w:kern w:val="0"/>
          <w14:ligatures w14:val="none"/>
        </w:rPr>
        <w:t xml:space="preserve"> régulier pour la libération de dopamine</w:t>
      </w:r>
    </w:p>
    <w:p w14:paraId="1113A862"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Pour Met/Met (Inquiet)</w:t>
      </w:r>
    </w:p>
    <w:p w14:paraId="3A2F7904"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STACK CALMANT</w:t>
      </w:r>
      <w:r w:rsidRPr="00B74705">
        <w:rPr>
          <w:rFonts w:ascii="Times New Roman" w:eastAsia="Times New Roman" w:hAnsi="Times New Roman" w:cs="Times New Roman"/>
          <w:kern w:val="0"/>
          <w14:ligatures w14:val="none"/>
        </w:rPr>
        <w:t xml:space="preserve"> • </w:t>
      </w:r>
      <w:r w:rsidRPr="00B74705">
        <w:rPr>
          <w:rFonts w:ascii="Times New Roman" w:eastAsia="Times New Roman" w:hAnsi="Times New Roman" w:cs="Times New Roman"/>
          <w:b/>
          <w:bCs/>
          <w:kern w:val="0"/>
          <w14:ligatures w14:val="none"/>
        </w:rPr>
        <w:t>Magnésium Glycinate</w:t>
      </w:r>
      <w:r w:rsidRPr="00B74705">
        <w:rPr>
          <w:rFonts w:ascii="Times New Roman" w:eastAsia="Times New Roman" w:hAnsi="Times New Roman" w:cs="Times New Roman"/>
          <w:kern w:val="0"/>
          <w14:ligatures w14:val="none"/>
        </w:rPr>
        <w:t xml:space="preserve"> (400-600mg/jour) • </w:t>
      </w:r>
      <w:r w:rsidRPr="00B74705">
        <w:rPr>
          <w:rFonts w:ascii="Times New Roman" w:eastAsia="Times New Roman" w:hAnsi="Times New Roman" w:cs="Times New Roman"/>
          <w:b/>
          <w:bCs/>
          <w:kern w:val="0"/>
          <w14:ligatures w14:val="none"/>
        </w:rPr>
        <w:t>L-Théanine</w:t>
      </w:r>
      <w:r w:rsidRPr="00B74705">
        <w:rPr>
          <w:rFonts w:ascii="Times New Roman" w:eastAsia="Times New Roman" w:hAnsi="Times New Roman" w:cs="Times New Roman"/>
          <w:kern w:val="0"/>
          <w14:ligatures w14:val="none"/>
        </w:rPr>
        <w:t xml:space="preserve"> (200-400mg selon besoin) • </w:t>
      </w:r>
      <w:r w:rsidRPr="00B74705">
        <w:rPr>
          <w:rFonts w:ascii="Times New Roman" w:eastAsia="Times New Roman" w:hAnsi="Times New Roman" w:cs="Times New Roman"/>
          <w:b/>
          <w:bCs/>
          <w:kern w:val="0"/>
          <w14:ligatures w14:val="none"/>
        </w:rPr>
        <w:t>Phosphatidylsérine</w:t>
      </w:r>
      <w:r w:rsidRPr="00B74705">
        <w:rPr>
          <w:rFonts w:ascii="Times New Roman" w:eastAsia="Times New Roman" w:hAnsi="Times New Roman" w:cs="Times New Roman"/>
          <w:kern w:val="0"/>
          <w14:ligatures w14:val="none"/>
        </w:rPr>
        <w:t xml:space="preserve"> (300mg le soir) • </w:t>
      </w:r>
      <w:r w:rsidRPr="00B74705">
        <w:rPr>
          <w:rFonts w:ascii="Times New Roman" w:eastAsia="Times New Roman" w:hAnsi="Times New Roman" w:cs="Times New Roman"/>
          <w:b/>
          <w:bCs/>
          <w:kern w:val="0"/>
          <w14:ligatures w14:val="none"/>
        </w:rPr>
        <w:t>Ashwagandha</w:t>
      </w:r>
      <w:r w:rsidRPr="00B74705">
        <w:rPr>
          <w:rFonts w:ascii="Times New Roman" w:eastAsia="Times New Roman" w:hAnsi="Times New Roman" w:cs="Times New Roman"/>
          <w:kern w:val="0"/>
          <w14:ligatures w14:val="none"/>
        </w:rPr>
        <w:t xml:space="preserve"> (300-600mg, forme KSM-66) • </w:t>
      </w:r>
      <w:r w:rsidRPr="00B74705">
        <w:rPr>
          <w:rFonts w:ascii="Times New Roman" w:eastAsia="Times New Roman" w:hAnsi="Times New Roman" w:cs="Times New Roman"/>
          <w:b/>
          <w:bCs/>
          <w:kern w:val="0"/>
          <w14:ligatures w14:val="none"/>
        </w:rPr>
        <w:t>ÉVITEZ</w:t>
      </w:r>
      <w:r w:rsidRPr="00B74705">
        <w:rPr>
          <w:rFonts w:ascii="Times New Roman" w:eastAsia="Times New Roman" w:hAnsi="Times New Roman" w:cs="Times New Roman"/>
          <w:kern w:val="0"/>
          <w14:ligatures w14:val="none"/>
        </w:rPr>
        <w:t xml:space="preserve"> : Caféine excessive, stimulants, environnements chaotiques</w:t>
      </w:r>
    </w:p>
    <w:p w14:paraId="4A4257E2"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35F027EF">
          <v:rect id="_x0000_i1056" style="width:0;height:1.5pt" o:hralign="center" o:hrstd="t" o:hr="t" fillcolor="#a0a0a0" stroked="f"/>
        </w:pict>
      </w:r>
    </w:p>
    <w:p w14:paraId="6E32533D" w14:textId="77777777" w:rsidR="00B74705" w:rsidRPr="00B74705" w:rsidRDefault="00B74705" w:rsidP="00B747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705">
        <w:rPr>
          <w:rFonts w:ascii="Times New Roman" w:eastAsia="Times New Roman" w:hAnsi="Times New Roman" w:cs="Times New Roman"/>
          <w:b/>
          <w:bCs/>
          <w:kern w:val="36"/>
          <w:sz w:val="48"/>
          <w:szCs w:val="48"/>
          <w14:ligatures w14:val="none"/>
        </w:rPr>
        <w:t>Chapitre 4 : Le Système de Traitement</w:t>
      </w:r>
    </w:p>
    <w:p w14:paraId="1BB038B5"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CYP450 et le Métabolisme des Médicaments</w:t>
      </w:r>
    </w:p>
    <w:p w14:paraId="527C40A9"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4.1 La Famille CYP450</w:t>
      </w:r>
    </w:p>
    <w:p w14:paraId="03C9631F"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Les enzymes </w:t>
      </w:r>
      <w:r w:rsidRPr="00B74705">
        <w:rPr>
          <w:rFonts w:ascii="Times New Roman" w:eastAsia="Times New Roman" w:hAnsi="Times New Roman" w:cs="Times New Roman"/>
          <w:b/>
          <w:bCs/>
          <w:kern w:val="0"/>
          <w14:ligatures w14:val="none"/>
        </w:rPr>
        <w:t>CYP450</w:t>
      </w:r>
      <w:r w:rsidRPr="00B74705">
        <w:rPr>
          <w:rFonts w:ascii="Times New Roman" w:eastAsia="Times New Roman" w:hAnsi="Times New Roman" w:cs="Times New Roman"/>
          <w:kern w:val="0"/>
          <w14:ligatures w14:val="none"/>
        </w:rPr>
        <w:t xml:space="preserve"> sont les principaux systèmes de traitement des médicaments de votre foie. Les plus cliniquement pertinentes sont :</w:t>
      </w:r>
    </w:p>
    <w:p w14:paraId="5FEC59ED"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b/>
          <w:bCs/>
          <w:kern w:val="0"/>
          <w14:ligatures w14:val="none"/>
        </w:rPr>
        <w:t>CYP2D6</w:t>
      </w:r>
      <w:r w:rsidRPr="00B74705">
        <w:rPr>
          <w:rFonts w:ascii="Times New Roman" w:eastAsia="Times New Roman" w:hAnsi="Times New Roman" w:cs="Times New Roman"/>
          <w:kern w:val="0"/>
          <w14:ligatures w14:val="none"/>
        </w:rPr>
        <w:t xml:space="preserve"> : Métabolise ~25% de tous les médicaments prescrits • </w:t>
      </w:r>
      <w:r w:rsidRPr="00B74705">
        <w:rPr>
          <w:rFonts w:ascii="Times New Roman" w:eastAsia="Times New Roman" w:hAnsi="Times New Roman" w:cs="Times New Roman"/>
          <w:b/>
          <w:bCs/>
          <w:kern w:val="0"/>
          <w14:ligatures w14:val="none"/>
        </w:rPr>
        <w:t>CYP3A4</w:t>
      </w:r>
      <w:r w:rsidRPr="00B74705">
        <w:rPr>
          <w:rFonts w:ascii="Times New Roman" w:eastAsia="Times New Roman" w:hAnsi="Times New Roman" w:cs="Times New Roman"/>
          <w:kern w:val="0"/>
          <w14:ligatures w14:val="none"/>
        </w:rPr>
        <w:t xml:space="preserve"> : Métabolise ~50% de tous les médicaments prescrits • </w:t>
      </w:r>
      <w:r w:rsidRPr="00B74705">
        <w:rPr>
          <w:rFonts w:ascii="Times New Roman" w:eastAsia="Times New Roman" w:hAnsi="Times New Roman" w:cs="Times New Roman"/>
          <w:b/>
          <w:bCs/>
          <w:kern w:val="0"/>
          <w14:ligatures w14:val="none"/>
        </w:rPr>
        <w:t>CYP2C19</w:t>
      </w:r>
      <w:r w:rsidRPr="00B74705">
        <w:rPr>
          <w:rFonts w:ascii="Times New Roman" w:eastAsia="Times New Roman" w:hAnsi="Times New Roman" w:cs="Times New Roman"/>
          <w:kern w:val="0"/>
          <w14:ligatures w14:val="none"/>
        </w:rPr>
        <w:t xml:space="preserve"> : Métabolise les IPP, certains antidépresseurs, </w:t>
      </w:r>
      <w:r w:rsidRPr="00B74705">
        <w:rPr>
          <w:rFonts w:ascii="Times New Roman" w:eastAsia="Times New Roman" w:hAnsi="Times New Roman" w:cs="Times New Roman"/>
          <w:kern w:val="0"/>
          <w14:ligatures w14:val="none"/>
        </w:rPr>
        <w:lastRenderedPageBreak/>
        <w:t xml:space="preserve">clopidogrel • </w:t>
      </w:r>
      <w:r w:rsidRPr="00B74705">
        <w:rPr>
          <w:rFonts w:ascii="Times New Roman" w:eastAsia="Times New Roman" w:hAnsi="Times New Roman" w:cs="Times New Roman"/>
          <w:b/>
          <w:bCs/>
          <w:kern w:val="0"/>
          <w14:ligatures w14:val="none"/>
        </w:rPr>
        <w:t>CYP2B6</w:t>
      </w:r>
      <w:r w:rsidRPr="00B74705">
        <w:rPr>
          <w:rFonts w:ascii="Times New Roman" w:eastAsia="Times New Roman" w:hAnsi="Times New Roman" w:cs="Times New Roman"/>
          <w:kern w:val="0"/>
          <w14:ligatures w14:val="none"/>
        </w:rPr>
        <w:t xml:space="preserve"> : Métabolise la méthadone, le bupropion, la kétamine • </w:t>
      </w:r>
      <w:r w:rsidRPr="00B74705">
        <w:rPr>
          <w:rFonts w:ascii="Times New Roman" w:eastAsia="Times New Roman" w:hAnsi="Times New Roman" w:cs="Times New Roman"/>
          <w:b/>
          <w:bCs/>
          <w:kern w:val="0"/>
          <w14:ligatures w14:val="none"/>
        </w:rPr>
        <w:t>CYP1A2</w:t>
      </w:r>
      <w:r w:rsidRPr="00B74705">
        <w:rPr>
          <w:rFonts w:ascii="Times New Roman" w:eastAsia="Times New Roman" w:hAnsi="Times New Roman" w:cs="Times New Roman"/>
          <w:kern w:val="0"/>
          <w14:ligatures w14:val="none"/>
        </w:rPr>
        <w:t xml:space="preserve"> : Métabolise la caféine, certains antipsychotiques</w:t>
      </w:r>
    </w:p>
    <w:p w14:paraId="0942C5BF"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5938CD92">
          <v:rect id="_x0000_i1057" style="width:0;height:1.5pt" o:hralign="center" o:hrstd="t" o:hr="t" fillcolor="#a0a0a0" stroked="f"/>
        </w:pict>
      </w:r>
    </w:p>
    <w:p w14:paraId="61A8F266"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4.2 Phénotypes CYP2D6 et Implications Cliniques</w:t>
      </w:r>
    </w:p>
    <w:p w14:paraId="29680DDF"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Métaboliseur Lent (PM)</w:t>
      </w:r>
    </w:p>
    <w:p w14:paraId="17E8DD2F"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ACCUMULATION DE MÉDICAMENTS</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b/>
          <w:bCs/>
          <w:kern w:val="0"/>
          <w14:ligatures w14:val="none"/>
        </w:rPr>
        <w:t>Prévalence :</w:t>
      </w:r>
      <w:r w:rsidRPr="00B74705">
        <w:rPr>
          <w:rFonts w:ascii="Times New Roman" w:eastAsia="Times New Roman" w:hAnsi="Times New Roman" w:cs="Times New Roman"/>
          <w:kern w:val="0"/>
          <w14:ligatures w14:val="none"/>
        </w:rPr>
        <w:t xml:space="preserve"> 5-10% des Caucasiens, 1-2% des Asiatiques</w:t>
      </w:r>
    </w:p>
    <w:p w14:paraId="5B7A1E40"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Implications :</w:t>
      </w:r>
      <w:r w:rsidRPr="00B74705">
        <w:rPr>
          <w:rFonts w:ascii="Times New Roman" w:eastAsia="Times New Roman" w:hAnsi="Times New Roman" w:cs="Times New Roman"/>
          <w:kern w:val="0"/>
          <w14:ligatures w14:val="none"/>
        </w:rPr>
        <w:t xml:space="preserve"> • La codéine ne fournit AUCUN soulagement (ne peut pas être convertie en morphine) • Le tramadol est inefficace • Les antidépresseurs s'accumulent à des niveaux toxiques • Le fentanyl frappe de plein fouet (contourne CYP2D6)</w:t>
      </w:r>
    </w:p>
    <w:p w14:paraId="76E776B5"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Médicaments à Éviter/Ajuster :</w:t>
      </w:r>
      <w:r w:rsidRPr="00B74705">
        <w:rPr>
          <w:rFonts w:ascii="Times New Roman" w:eastAsia="Times New Roman" w:hAnsi="Times New Roman" w:cs="Times New Roman"/>
          <w:kern w:val="0"/>
          <w14:ligatures w14:val="none"/>
        </w:rPr>
        <w:t xml:space="preserve"> • Codéine, tramadol (inefficaces) • Fluoxétine, paroxétine (accumulation toxique) • Métoprolol, propranolol (accumulation)</w:t>
      </w:r>
    </w:p>
    <w:p w14:paraId="28C1E874"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Métaboliseur Normal (NM)</w:t>
      </w:r>
    </w:p>
    <w:p w14:paraId="31FF76CB"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DOSAGE STANDARD</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b/>
          <w:bCs/>
          <w:kern w:val="0"/>
          <w14:ligatures w14:val="none"/>
        </w:rPr>
        <w:t>Prévalence :</w:t>
      </w:r>
      <w:r w:rsidRPr="00B74705">
        <w:rPr>
          <w:rFonts w:ascii="Times New Roman" w:eastAsia="Times New Roman" w:hAnsi="Times New Roman" w:cs="Times New Roman"/>
          <w:kern w:val="0"/>
          <w14:ligatures w14:val="none"/>
        </w:rPr>
        <w:t xml:space="preserve"> 50-70% de la population • Le dosage standard des médicaments s'applique • La plupart des essais cliniques sont conçus pour ce groupe</w:t>
      </w:r>
    </w:p>
    <w:p w14:paraId="307D1C9E"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Métaboliseur Ultrarapide (UM)</w:t>
      </w:r>
    </w:p>
    <w:p w14:paraId="4ABFAF3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ÉLIMINATION TROP RAPIDE</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b/>
          <w:bCs/>
          <w:kern w:val="0"/>
          <w14:ligatures w14:val="none"/>
        </w:rPr>
        <w:t>Prévalence :</w:t>
      </w:r>
      <w:r w:rsidRPr="00B74705">
        <w:rPr>
          <w:rFonts w:ascii="Times New Roman" w:eastAsia="Times New Roman" w:hAnsi="Times New Roman" w:cs="Times New Roman"/>
          <w:kern w:val="0"/>
          <w14:ligatures w14:val="none"/>
        </w:rPr>
        <w:t xml:space="preserve"> 1-10% (varie selon l'ethnicité ; plus fréquent chez les Éthiopiens, Saoudiens)</w:t>
      </w:r>
    </w:p>
    <w:p w14:paraId="36B0C3D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Implications :</w:t>
      </w:r>
      <w:r w:rsidRPr="00B74705">
        <w:rPr>
          <w:rFonts w:ascii="Times New Roman" w:eastAsia="Times New Roman" w:hAnsi="Times New Roman" w:cs="Times New Roman"/>
          <w:kern w:val="0"/>
          <w14:ligatures w14:val="none"/>
        </w:rPr>
        <w:t xml:space="preserve"> • Les doses standard sont inefficaces • La codéine est convertie en morphine DANGEREUSEMENT vite • Les antidépresseurs sont éliminés avant de faire effet • Peut être étiqueté 'résistant aux traitements' alors que c'est un problème de dose</w:t>
      </w:r>
    </w:p>
    <w:p w14:paraId="3654FAAC"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Directives CPIC :</w:t>
      </w:r>
      <w:r w:rsidRPr="00B74705">
        <w:rPr>
          <w:rFonts w:ascii="Times New Roman" w:eastAsia="Times New Roman" w:hAnsi="Times New Roman" w:cs="Times New Roman"/>
          <w:kern w:val="0"/>
          <w14:ligatures w14:val="none"/>
        </w:rPr>
        <w:t xml:space="preserve"> La codéine est CONTRE-INDIQUÉE chez les UM en raison du risque de surdosage en morphine.</w:t>
      </w:r>
    </w:p>
    <w:p w14:paraId="752178D7"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73333A65">
          <v:rect id="_x0000_i1058" style="width:0;height:1.5pt" o:hralign="center" o:hrstd="t" o:hr="t" fillcolor="#a0a0a0" stroked="f"/>
        </w:pict>
      </w:r>
    </w:p>
    <w:p w14:paraId="2025C093"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4.3 Interactions Médicamenteuses CYP450</w:t>
      </w:r>
    </w:p>
    <w:p w14:paraId="6359939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ATTENTION SYSTÈME — EMPILEMENT DE SUBSTRATS</w:t>
      </w:r>
      <w:r w:rsidRPr="00B74705">
        <w:rPr>
          <w:rFonts w:ascii="Times New Roman" w:eastAsia="Times New Roman" w:hAnsi="Times New Roman" w:cs="Times New Roman"/>
          <w:kern w:val="0"/>
          <w14:ligatures w14:val="none"/>
        </w:rPr>
        <w:t xml:space="preserve"> Quand plusieurs médicaments utilisent la même enzyme CYP450, ils 'rivalisent' pour le traitement. Cela provoque : • Accumulation imprévisible • Toxicité aux doses 'normales' • Échec thérapeutique</w:t>
      </w:r>
    </w:p>
    <w:p w14:paraId="7E8070BB"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lastRenderedPageBreak/>
        <w:t>Inhibiteurs CYP2D6 Courants (ralentissent le métabolisme) :</w:t>
      </w:r>
      <w:r w:rsidRPr="00B74705">
        <w:rPr>
          <w:rFonts w:ascii="Times New Roman" w:eastAsia="Times New Roman" w:hAnsi="Times New Roman" w:cs="Times New Roman"/>
          <w:kern w:val="0"/>
          <w14:ligatures w14:val="none"/>
        </w:rPr>
        <w:t xml:space="preserve"> • Fluoxétine (Prozac) • Paroxétine (Deroxat) • Bupropion (Wellbutrin) • Quinidine</w:t>
      </w:r>
    </w:p>
    <w:p w14:paraId="2071A475"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Substrats CYP2D6 Courants (métabolisés par CYP2D6) :</w:t>
      </w:r>
      <w:r w:rsidRPr="00B74705">
        <w:rPr>
          <w:rFonts w:ascii="Times New Roman" w:eastAsia="Times New Roman" w:hAnsi="Times New Roman" w:cs="Times New Roman"/>
          <w:kern w:val="0"/>
          <w14:ligatures w14:val="none"/>
        </w:rPr>
        <w:t xml:space="preserve"> • Codéine, tramadol, hydrocodone, oxycodone • Métoprolol, propranolol • Amitriptyline, nortriptyline • Rispéridone, aripiprazole</w:t>
      </w:r>
    </w:p>
    <w:p w14:paraId="42BECCFC"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0F542529">
          <v:rect id="_x0000_i1059" style="width:0;height:1.5pt" o:hralign="center" o:hrstd="t" o:hr="t" fillcolor="#a0a0a0" stroked="f"/>
        </w:pict>
      </w:r>
    </w:p>
    <w:p w14:paraId="2CCAA708" w14:textId="77777777" w:rsidR="00B74705" w:rsidRPr="00B74705" w:rsidRDefault="00B74705" w:rsidP="00B747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705">
        <w:rPr>
          <w:rFonts w:ascii="Times New Roman" w:eastAsia="Times New Roman" w:hAnsi="Times New Roman" w:cs="Times New Roman"/>
          <w:b/>
          <w:bCs/>
          <w:kern w:val="36"/>
          <w:sz w:val="48"/>
          <w:szCs w:val="48"/>
          <w14:ligatures w14:val="none"/>
        </w:rPr>
        <w:t>Chapitre 5 : L'Effet Combiné</w:t>
      </w:r>
    </w:p>
    <w:p w14:paraId="75769C5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Quand Plusieurs Variants Se Rencontrent</w:t>
      </w:r>
    </w:p>
    <w:p w14:paraId="6257DB64"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5.1 Le Multiplicateur de Risque</w:t>
      </w:r>
    </w:p>
    <w:p w14:paraId="5F8870DB"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JOURNAL DE L'ARCHITECTE</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i/>
          <w:iCs/>
          <w:kern w:val="0"/>
          <w14:ligatures w14:val="none"/>
        </w:rPr>
        <w:t>Les risques génétiques ne s'additionnent pas — ils se multiplient. Un variant MTHFR + un variant COMT + un variant CYP450 ne crée pas 3x le risque. Cela peut créer 10x le risque. Chaque système compromis sollicite davantage les autres.</w:t>
      </w:r>
    </w:p>
    <w:p w14:paraId="105E601F"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Profil à Haut Risque : L'Inquiet Sous-Méthylé</w:t>
      </w:r>
    </w:p>
    <w:p w14:paraId="0F9A4195"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COMBINAISON DANGEREUSE</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b/>
          <w:bCs/>
          <w:kern w:val="0"/>
          <w14:ligatures w14:val="none"/>
        </w:rPr>
        <w:t>Génotype :</w:t>
      </w:r>
      <w:r w:rsidRPr="00B74705">
        <w:rPr>
          <w:rFonts w:ascii="Times New Roman" w:eastAsia="Times New Roman" w:hAnsi="Times New Roman" w:cs="Times New Roman"/>
          <w:kern w:val="0"/>
          <w14:ligatures w14:val="none"/>
        </w:rPr>
        <w:t xml:space="preserve"> MTHFR T/T + COMT Met/Met</w:t>
      </w:r>
    </w:p>
    <w:p w14:paraId="2BD2AD13"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Mécanisme :</w:t>
      </w:r>
      <w:r w:rsidRPr="00B74705">
        <w:rPr>
          <w:rFonts w:ascii="Times New Roman" w:eastAsia="Times New Roman" w:hAnsi="Times New Roman" w:cs="Times New Roman"/>
          <w:kern w:val="0"/>
          <w14:ligatures w14:val="none"/>
        </w:rPr>
        <w:t xml:space="preserve"> • MTHFR T/T = Production réduite de neurotransmetteurs • COMT Met/Met = Clairance lente de dopamine • Résultat = Oscillation entre dopamine basse (dépression) et dopamine persistante (anxiété)</w:t>
      </w:r>
    </w:p>
    <w:p w14:paraId="4C46715E"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Présentation :</w:t>
      </w:r>
      <w:r w:rsidRPr="00B74705">
        <w:rPr>
          <w:rFonts w:ascii="Times New Roman" w:eastAsia="Times New Roman" w:hAnsi="Times New Roman" w:cs="Times New Roman"/>
          <w:kern w:val="0"/>
          <w14:ligatures w14:val="none"/>
        </w:rPr>
        <w:t xml:space="preserve"> • Dépression mixte avec anxiété • Résistant aux traitements • Automédication probable avec des dépresseurs • Les antidépresseurs standard échouent souvent</w:t>
      </w:r>
    </w:p>
    <w:p w14:paraId="4577F738"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Profil à Haut Risque : Le Guerrier Sous-Méthylé</w:t>
      </w:r>
    </w:p>
    <w:p w14:paraId="2653F18B"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ATTENTION SYSTÈME — COMBINAISON PROBLÉMATIQUE</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b/>
          <w:bCs/>
          <w:kern w:val="0"/>
          <w14:ligatures w14:val="none"/>
        </w:rPr>
        <w:t>Génotype :</w:t>
      </w:r>
      <w:r w:rsidRPr="00B74705">
        <w:rPr>
          <w:rFonts w:ascii="Times New Roman" w:eastAsia="Times New Roman" w:hAnsi="Times New Roman" w:cs="Times New Roman"/>
          <w:kern w:val="0"/>
          <w14:ligatures w14:val="none"/>
        </w:rPr>
        <w:t xml:space="preserve"> MTHFR T/T + COMT Val/Val</w:t>
      </w:r>
    </w:p>
    <w:p w14:paraId="7D661EEF"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Mécanisme :</w:t>
      </w:r>
      <w:r w:rsidRPr="00B74705">
        <w:rPr>
          <w:rFonts w:ascii="Times New Roman" w:eastAsia="Times New Roman" w:hAnsi="Times New Roman" w:cs="Times New Roman"/>
          <w:kern w:val="0"/>
          <w14:ligatures w14:val="none"/>
        </w:rPr>
        <w:t xml:space="preserve"> • MTHFR T/T = Production réduite de neurotransmetteurs • COMT Val/Val = Clairance rapide de dopamine • Résultat = Déficit chronique en dopamine</w:t>
      </w:r>
    </w:p>
    <w:p w14:paraId="51BDB4EE"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Présentation :</w:t>
      </w:r>
      <w:r w:rsidRPr="00B74705">
        <w:rPr>
          <w:rFonts w:ascii="Times New Roman" w:eastAsia="Times New Roman" w:hAnsi="Times New Roman" w:cs="Times New Roman"/>
          <w:kern w:val="0"/>
          <w14:ligatures w14:val="none"/>
        </w:rPr>
        <w:t xml:space="preserve"> • Recherche de sensations • Comportements à risque • Automédication probable avec des stimulants • TDAH-like sans TDAH réel</w:t>
      </w:r>
    </w:p>
    <w:p w14:paraId="75D2DCE8"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2A226219">
          <v:rect id="_x0000_i1060" style="width:0;height:1.5pt" o:hralign="center" o:hrstd="t" o:hr="t" fillcolor="#a0a0a0" stroked="f"/>
        </w:pict>
      </w:r>
    </w:p>
    <w:p w14:paraId="3571B74E"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5.2 Le Triangle de Danger CYP450</w:t>
      </w:r>
    </w:p>
    <w:p w14:paraId="6691EAF3"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lastRenderedPageBreak/>
        <w:t>🛑</w:t>
      </w:r>
      <w:r w:rsidRPr="00B74705">
        <w:rPr>
          <w:rFonts w:ascii="Times New Roman" w:eastAsia="Times New Roman" w:hAnsi="Times New Roman" w:cs="Times New Roman"/>
          <w:b/>
          <w:bCs/>
          <w:kern w:val="0"/>
          <w14:ligatures w14:val="none"/>
        </w:rPr>
        <w:t xml:space="preserve"> RISQUE D'ÉCHEC SYSTÈME CRITIQUE — COLLISION MULTI-ENZYMES</w:t>
      </w:r>
      <w:r w:rsidRPr="00B74705">
        <w:rPr>
          <w:rFonts w:ascii="Times New Roman" w:eastAsia="Times New Roman" w:hAnsi="Times New Roman" w:cs="Times New Roman"/>
          <w:kern w:val="0"/>
          <w14:ligatures w14:val="none"/>
        </w:rPr>
        <w:t xml:space="preserve"> Quand un patient est PM pour plusieurs enzymes CYP450 :</w:t>
      </w:r>
    </w:p>
    <w:p w14:paraId="06EF4E4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Exemple :</w:t>
      </w:r>
      <w:r w:rsidRPr="00B74705">
        <w:rPr>
          <w:rFonts w:ascii="Times New Roman" w:eastAsia="Times New Roman" w:hAnsi="Times New Roman" w:cs="Times New Roman"/>
          <w:kern w:val="0"/>
          <w14:ligatures w14:val="none"/>
        </w:rPr>
        <w:t xml:space="preserve"> PM CYP2D6 + PM CYP2C19 • La majorité des antidépresseurs s'accumulent • Les opioïdes traditionnels ne fonctionnent pas • Les IPP causent une suppression acide excessive • Les risques d'interaction sont exponentiels</w:t>
      </w:r>
    </w:p>
    <w:p w14:paraId="259B107A"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pict w14:anchorId="041A2883">
          <v:rect id="_x0000_i1061" style="width:0;height:1.5pt" o:hralign="center" o:hrstd="t" o:hr="t" fillcolor="#a0a0a0" stroked="f"/>
        </w:pict>
      </w:r>
    </w:p>
    <w:p w14:paraId="48D3D683"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5.3 Cas Cliniques Combinés</w:t>
      </w:r>
    </w:p>
    <w:p w14:paraId="01D9304B"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Cas A : La Spirale du Poly-Usage</w:t>
      </w:r>
    </w:p>
    <w:p w14:paraId="041E526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Patient :</w:t>
      </w:r>
      <w:r w:rsidRPr="00B74705">
        <w:rPr>
          <w:rFonts w:ascii="Times New Roman" w:eastAsia="Times New Roman" w:hAnsi="Times New Roman" w:cs="Times New Roman"/>
          <w:kern w:val="0"/>
          <w14:ligatures w14:val="none"/>
        </w:rPr>
        <w:t xml:space="preserve"> Homme, 28 ans, historique d'usage de multiples substances </w:t>
      </w:r>
      <w:r w:rsidRPr="00B74705">
        <w:rPr>
          <w:rFonts w:ascii="Times New Roman" w:eastAsia="Times New Roman" w:hAnsi="Times New Roman" w:cs="Times New Roman"/>
          <w:b/>
          <w:bCs/>
          <w:kern w:val="0"/>
          <w14:ligatures w14:val="none"/>
        </w:rPr>
        <w:t>Génotype :</w:t>
      </w:r>
      <w:r w:rsidRPr="00B74705">
        <w:rPr>
          <w:rFonts w:ascii="Times New Roman" w:eastAsia="Times New Roman" w:hAnsi="Times New Roman" w:cs="Times New Roman"/>
          <w:kern w:val="0"/>
          <w14:ligatures w14:val="none"/>
        </w:rPr>
        <w:t xml:space="preserve"> MTHFR C/T, COMT Met/Met, CYP2D6 PM</w:t>
      </w:r>
    </w:p>
    <w:p w14:paraId="1A4C6396"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Historique :</w:t>
      </w:r>
      <w:r w:rsidRPr="00B74705">
        <w:rPr>
          <w:rFonts w:ascii="Times New Roman" w:eastAsia="Times New Roman" w:hAnsi="Times New Roman" w:cs="Times New Roman"/>
          <w:kern w:val="0"/>
          <w14:ligatures w14:val="none"/>
        </w:rPr>
        <w:t xml:space="preserve"> • Anxiété sévère depuis l'enfance • Automédication à l'alcool à 16 ans • Prescription de benzos à 20 ans → dépendance • Essai de codéine pour douleur → inefficace → escalade vers l'héroïne • Multiples échecs de traitement</w:t>
      </w:r>
    </w:p>
    <w:p w14:paraId="7F95290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Analyse Système :</w:t>
      </w:r>
      <w:r w:rsidRPr="00B74705">
        <w:rPr>
          <w:rFonts w:ascii="Times New Roman" w:eastAsia="Times New Roman" w:hAnsi="Times New Roman" w:cs="Times New Roman"/>
          <w:kern w:val="0"/>
          <w14:ligatures w14:val="none"/>
        </w:rPr>
        <w:t xml:space="preserve"> • COMT Met/Met explique l'anxiété de base • CYP2D6 PM explique l'échec de la codéine • MTHFR C/T contribue à la vulnérabilité à la dépression</w:t>
      </w:r>
    </w:p>
    <w:p w14:paraId="18531ACC"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Intervention Pharmacogénomique :</w:t>
      </w:r>
      <w:r w:rsidRPr="00B74705">
        <w:rPr>
          <w:rFonts w:ascii="Times New Roman" w:eastAsia="Times New Roman" w:hAnsi="Times New Roman" w:cs="Times New Roman"/>
          <w:kern w:val="0"/>
          <w14:ligatures w14:val="none"/>
        </w:rPr>
        <w:t xml:space="preserve"> • Méthylfolate 15mg + cofacteurs • Gabapentine (pas métabolisée par CYP2D6) pour l'anxiété • Buprénorphine (pas de conversion CYP2D6 requise) pour la MAT • Évitement strict des benzos</w:t>
      </w:r>
    </w:p>
    <w:p w14:paraId="4737C91E"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Cas B : La Résistante aux Traitements</w:t>
      </w:r>
    </w:p>
    <w:p w14:paraId="422B68E7"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Patiente :</w:t>
      </w:r>
      <w:r w:rsidRPr="00B74705">
        <w:rPr>
          <w:rFonts w:ascii="Times New Roman" w:eastAsia="Times New Roman" w:hAnsi="Times New Roman" w:cs="Times New Roman"/>
          <w:kern w:val="0"/>
          <w14:ligatures w14:val="none"/>
        </w:rPr>
        <w:t xml:space="preserve"> Femme, 45 ans, dépression 'réfractaire' depuis 20 ans </w:t>
      </w:r>
      <w:r w:rsidRPr="00B74705">
        <w:rPr>
          <w:rFonts w:ascii="Times New Roman" w:eastAsia="Times New Roman" w:hAnsi="Times New Roman" w:cs="Times New Roman"/>
          <w:b/>
          <w:bCs/>
          <w:kern w:val="0"/>
          <w14:ligatures w14:val="none"/>
        </w:rPr>
        <w:t>Génotype :</w:t>
      </w:r>
      <w:r w:rsidRPr="00B74705">
        <w:rPr>
          <w:rFonts w:ascii="Times New Roman" w:eastAsia="Times New Roman" w:hAnsi="Times New Roman" w:cs="Times New Roman"/>
          <w:kern w:val="0"/>
          <w14:ligatures w14:val="none"/>
        </w:rPr>
        <w:t xml:space="preserve"> MTHFR T/T, COMT Val/Met, CYP2C19 UM</w:t>
      </w:r>
    </w:p>
    <w:p w14:paraId="16643A1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Historique :</w:t>
      </w:r>
      <w:r w:rsidRPr="00B74705">
        <w:rPr>
          <w:rFonts w:ascii="Times New Roman" w:eastAsia="Times New Roman" w:hAnsi="Times New Roman" w:cs="Times New Roman"/>
          <w:kern w:val="0"/>
          <w14:ligatures w14:val="none"/>
        </w:rPr>
        <w:t xml:space="preserve"> • 15+ antidépresseurs essayés • Hospitalisations multiples • Étiquetée 'difficile' par les psychiatres • Automédication à l'alcool</w:t>
      </w:r>
    </w:p>
    <w:p w14:paraId="1E1450FB"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Analyse Système :</w:t>
      </w:r>
      <w:r w:rsidRPr="00B74705">
        <w:rPr>
          <w:rFonts w:ascii="Times New Roman" w:eastAsia="Times New Roman" w:hAnsi="Times New Roman" w:cs="Times New Roman"/>
          <w:kern w:val="0"/>
          <w14:ligatures w14:val="none"/>
        </w:rPr>
        <w:t xml:space="preserve"> • MTHFR T/T = Ne produit pas assez de précurseurs de sérotonine • CYP2C19 UM = Élimine les ISRS trop vite pour un effet • Résultat = Chaque ISRS échoue car il manque le substrat ET est éliminé trop vite</w:t>
      </w:r>
    </w:p>
    <w:p w14:paraId="0C73668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Intervention Pharmacogénomique :</w:t>
      </w:r>
      <w:r w:rsidRPr="00B74705">
        <w:rPr>
          <w:rFonts w:ascii="Times New Roman" w:eastAsia="Times New Roman" w:hAnsi="Times New Roman" w:cs="Times New Roman"/>
          <w:kern w:val="0"/>
          <w14:ligatures w14:val="none"/>
        </w:rPr>
        <w:t xml:space="preserve"> • Méthylfolate 15mg (fournir le substrat manquant) • Venlafaxine (pas métabolisée par CYP2C19) à dose plus élevée • Surveillance des niveaux plasmatiques • Réponse en 6 semaines après 20 ans d'échecs</w:t>
      </w:r>
    </w:p>
    <w:p w14:paraId="42303AFB"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41FD2736">
          <v:rect id="_x0000_i1071" alt="" style="width:468pt;height:.05pt;mso-width-percent:0;mso-height-percent:0;mso-width-percent:0;mso-height-percent:0" o:hralign="center" o:hrstd="t" o:hr="t" fillcolor="#a0a0a0" stroked="f"/>
        </w:pict>
      </w:r>
    </w:p>
    <w:p w14:paraId="4F537A09" w14:textId="77777777" w:rsidR="00B74705" w:rsidRPr="00B74705" w:rsidRDefault="00B74705" w:rsidP="00B747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705">
        <w:rPr>
          <w:rFonts w:ascii="Times New Roman" w:eastAsia="Times New Roman" w:hAnsi="Times New Roman" w:cs="Times New Roman"/>
          <w:b/>
          <w:bCs/>
          <w:kern w:val="36"/>
          <w:sz w:val="48"/>
          <w:szCs w:val="48"/>
          <w14:ligatures w14:val="none"/>
        </w:rPr>
        <w:lastRenderedPageBreak/>
        <w:t>Chapitre 6 : Le Terrain de Jeu Épigénétique</w:t>
      </w:r>
    </w:p>
    <w:p w14:paraId="507D96B7"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Adapter Votre Mode de Vie à Votre Génotype</w:t>
      </w:r>
    </w:p>
    <w:p w14:paraId="7D0BD673"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6.1 L'Épigénétique : Le Logiciel Sur Votre Matériel</w:t>
      </w:r>
    </w:p>
    <w:p w14:paraId="4A2EF02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JOURNAL DE L'ARCHITECTE</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i/>
          <w:iCs/>
          <w:kern w:val="0"/>
          <w14:ligatures w14:val="none"/>
        </w:rPr>
        <w:t>Vos gènes sont le matériel. L'épigénétique est le logiciel. Vous ne pouvez pas changer le matériel, mais vous pouvez optimiser le logiciel. Le mode de vie — alimentation, exercice, sommeil, stress — modifie l'expression de vos gènes.</w:t>
      </w:r>
    </w:p>
    <w:p w14:paraId="05C054CD"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L'épigénétique explique pourquoi deux personnes avec le même génotype peuvent avoir des résultats très différents. Vos choix de vie 'allument' ou 'éteignent' certains gènes.</w:t>
      </w:r>
    </w:p>
    <w:p w14:paraId="3E81F246"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5C40234B">
          <v:rect id="_x0000_i1070" alt="" style="width:468pt;height:.05pt;mso-width-percent:0;mso-height-percent:0;mso-width-percent:0;mso-height-percent:0" o:hralign="center" o:hrstd="t" o:hr="t" fillcolor="#a0a0a0" stroked="f"/>
        </w:pict>
      </w:r>
    </w:p>
    <w:p w14:paraId="1A382AF1"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6.2 Adapter le Mode de Vie au Génotype COMT</w:t>
      </w:r>
    </w:p>
    <w:p w14:paraId="77D42C46"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Pour Val/Val (Guerrier)</w:t>
      </w:r>
    </w:p>
    <w:p w14:paraId="21B379A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OPTIMISATION GUERRIER</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b/>
          <w:bCs/>
          <w:kern w:val="0"/>
          <w14:ligatures w14:val="none"/>
        </w:rPr>
        <w:t>Exercice :</w:t>
      </w:r>
      <w:r w:rsidRPr="00B74705">
        <w:rPr>
          <w:rFonts w:ascii="Times New Roman" w:eastAsia="Times New Roman" w:hAnsi="Times New Roman" w:cs="Times New Roman"/>
          <w:kern w:val="0"/>
          <w14:ligatures w14:val="none"/>
        </w:rPr>
        <w:t xml:space="preserve"> Haute intensité, compétitif, sports d'équipe </w:t>
      </w:r>
      <w:r w:rsidRPr="00B74705">
        <w:rPr>
          <w:rFonts w:ascii="Times New Roman" w:eastAsia="Times New Roman" w:hAnsi="Times New Roman" w:cs="Times New Roman"/>
          <w:b/>
          <w:bCs/>
          <w:kern w:val="0"/>
          <w14:ligatures w14:val="none"/>
        </w:rPr>
        <w:t>Alimentation :</w:t>
      </w:r>
      <w:r w:rsidRPr="00B74705">
        <w:rPr>
          <w:rFonts w:ascii="Times New Roman" w:eastAsia="Times New Roman" w:hAnsi="Times New Roman" w:cs="Times New Roman"/>
          <w:kern w:val="0"/>
          <w14:ligatures w14:val="none"/>
        </w:rPr>
        <w:t xml:space="preserve"> Peut tolérer plus de protéines, moins sensible à la tyrosine </w:t>
      </w:r>
      <w:r w:rsidRPr="00B74705">
        <w:rPr>
          <w:rFonts w:ascii="Times New Roman" w:eastAsia="Times New Roman" w:hAnsi="Times New Roman" w:cs="Times New Roman"/>
          <w:b/>
          <w:bCs/>
          <w:kern w:val="0"/>
          <w14:ligatures w14:val="none"/>
        </w:rPr>
        <w:t>Café :</w:t>
      </w:r>
      <w:r w:rsidRPr="00B74705">
        <w:rPr>
          <w:rFonts w:ascii="Times New Roman" w:eastAsia="Times New Roman" w:hAnsi="Times New Roman" w:cs="Times New Roman"/>
          <w:kern w:val="0"/>
          <w14:ligatures w14:val="none"/>
        </w:rPr>
        <w:t xml:space="preserve"> Bien toléré, peut même être bénéfique </w:t>
      </w:r>
      <w:r w:rsidRPr="00B74705">
        <w:rPr>
          <w:rFonts w:ascii="Times New Roman" w:eastAsia="Times New Roman" w:hAnsi="Times New Roman" w:cs="Times New Roman"/>
          <w:b/>
          <w:bCs/>
          <w:kern w:val="0"/>
          <w14:ligatures w14:val="none"/>
        </w:rPr>
        <w:t>Carrière :</w:t>
      </w:r>
      <w:r w:rsidRPr="00B74705">
        <w:rPr>
          <w:rFonts w:ascii="Times New Roman" w:eastAsia="Times New Roman" w:hAnsi="Times New Roman" w:cs="Times New Roman"/>
          <w:kern w:val="0"/>
          <w14:ligatures w14:val="none"/>
        </w:rPr>
        <w:t xml:space="preserve"> Performant dans les environnements à haute pression </w:t>
      </w:r>
      <w:r w:rsidRPr="00B74705">
        <w:rPr>
          <w:rFonts w:ascii="Times New Roman" w:eastAsia="Times New Roman" w:hAnsi="Times New Roman" w:cs="Times New Roman"/>
          <w:b/>
          <w:bCs/>
          <w:kern w:val="0"/>
          <w14:ligatures w14:val="none"/>
        </w:rPr>
        <w:t>Récupération :</w:t>
      </w:r>
      <w:r w:rsidRPr="00B74705">
        <w:rPr>
          <w:rFonts w:ascii="Times New Roman" w:eastAsia="Times New Roman" w:hAnsi="Times New Roman" w:cs="Times New Roman"/>
          <w:kern w:val="0"/>
          <w14:ligatures w14:val="none"/>
        </w:rPr>
        <w:t xml:space="preserve"> A besoin de défis, d'objectifs concrets, de structure</w:t>
      </w:r>
    </w:p>
    <w:p w14:paraId="7D4E0D98"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Pour Met/Met (Inquiet)</w:t>
      </w:r>
    </w:p>
    <w:p w14:paraId="366C86F1"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OPTIMISATION INQUIET</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b/>
          <w:bCs/>
          <w:kern w:val="0"/>
          <w14:ligatures w14:val="none"/>
        </w:rPr>
        <w:t>Exercice :</w:t>
      </w:r>
      <w:r w:rsidRPr="00B74705">
        <w:rPr>
          <w:rFonts w:ascii="Times New Roman" w:eastAsia="Times New Roman" w:hAnsi="Times New Roman" w:cs="Times New Roman"/>
          <w:kern w:val="0"/>
          <w14:ligatures w14:val="none"/>
        </w:rPr>
        <w:t xml:space="preserve"> Modéré, yoga, natation, marche dans la nature </w:t>
      </w:r>
      <w:r w:rsidRPr="00B74705">
        <w:rPr>
          <w:rFonts w:ascii="Times New Roman" w:eastAsia="Times New Roman" w:hAnsi="Times New Roman" w:cs="Times New Roman"/>
          <w:b/>
          <w:bCs/>
          <w:kern w:val="0"/>
          <w14:ligatures w14:val="none"/>
        </w:rPr>
        <w:t>Alimentation :</w:t>
      </w:r>
      <w:r w:rsidRPr="00B74705">
        <w:rPr>
          <w:rFonts w:ascii="Times New Roman" w:eastAsia="Times New Roman" w:hAnsi="Times New Roman" w:cs="Times New Roman"/>
          <w:kern w:val="0"/>
          <w14:ligatures w14:val="none"/>
        </w:rPr>
        <w:t xml:space="preserve"> Limiter la tyrosine le soir, éviter les aliments inflammatoires </w:t>
      </w:r>
      <w:r w:rsidRPr="00B74705">
        <w:rPr>
          <w:rFonts w:ascii="Times New Roman" w:eastAsia="Times New Roman" w:hAnsi="Times New Roman" w:cs="Times New Roman"/>
          <w:b/>
          <w:bCs/>
          <w:kern w:val="0"/>
          <w14:ligatures w14:val="none"/>
        </w:rPr>
        <w:t>Café :</w:t>
      </w:r>
      <w:r w:rsidRPr="00B74705">
        <w:rPr>
          <w:rFonts w:ascii="Times New Roman" w:eastAsia="Times New Roman" w:hAnsi="Times New Roman" w:cs="Times New Roman"/>
          <w:kern w:val="0"/>
          <w14:ligatures w14:val="none"/>
        </w:rPr>
        <w:t xml:space="preserve"> Limiter ou éviter — peut déclencher l'anxiété </w:t>
      </w:r>
      <w:r w:rsidRPr="00B74705">
        <w:rPr>
          <w:rFonts w:ascii="Times New Roman" w:eastAsia="Times New Roman" w:hAnsi="Times New Roman" w:cs="Times New Roman"/>
          <w:b/>
          <w:bCs/>
          <w:kern w:val="0"/>
          <w14:ligatures w14:val="none"/>
        </w:rPr>
        <w:t>Carrière :</w:t>
      </w:r>
      <w:r w:rsidRPr="00B74705">
        <w:rPr>
          <w:rFonts w:ascii="Times New Roman" w:eastAsia="Times New Roman" w:hAnsi="Times New Roman" w:cs="Times New Roman"/>
          <w:kern w:val="0"/>
          <w14:ligatures w14:val="none"/>
        </w:rPr>
        <w:t xml:space="preserve"> Performant dans les environnements calmes, structurés </w:t>
      </w:r>
      <w:r w:rsidRPr="00B74705">
        <w:rPr>
          <w:rFonts w:ascii="Times New Roman" w:eastAsia="Times New Roman" w:hAnsi="Times New Roman" w:cs="Times New Roman"/>
          <w:b/>
          <w:bCs/>
          <w:kern w:val="0"/>
          <w14:ligatures w14:val="none"/>
        </w:rPr>
        <w:t>Récupération :</w:t>
      </w:r>
      <w:r w:rsidRPr="00B74705">
        <w:rPr>
          <w:rFonts w:ascii="Times New Roman" w:eastAsia="Times New Roman" w:hAnsi="Times New Roman" w:cs="Times New Roman"/>
          <w:kern w:val="0"/>
          <w14:ligatures w14:val="none"/>
        </w:rPr>
        <w:t xml:space="preserve"> A besoin de calme, de prévisibilité, de sécurité émotionnelle</w:t>
      </w:r>
    </w:p>
    <w:p w14:paraId="7C8195A7"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013028AF">
          <v:rect id="_x0000_i1069" alt="" style="width:468pt;height:.05pt;mso-width-percent:0;mso-height-percent:0;mso-width-percent:0;mso-height-percent:0" o:hralign="center" o:hrstd="t" o:hr="t" fillcolor="#a0a0a0" stroked="f"/>
        </w:pict>
      </w:r>
    </w:p>
    <w:p w14:paraId="12571A29"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6.3 Optimisation Épigénétique MTHFR</w:t>
      </w:r>
    </w:p>
    <w:p w14:paraId="32935F5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ALIMENTATION POUR MTHFR T/T</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b/>
          <w:bCs/>
          <w:kern w:val="0"/>
          <w14:ligatures w14:val="none"/>
        </w:rPr>
        <w:t>Aliments Riches en Folate Naturel :</w:t>
      </w:r>
      <w:r w:rsidRPr="00B74705">
        <w:rPr>
          <w:rFonts w:ascii="Times New Roman" w:eastAsia="Times New Roman" w:hAnsi="Times New Roman" w:cs="Times New Roman"/>
          <w:kern w:val="0"/>
          <w14:ligatures w14:val="none"/>
        </w:rPr>
        <w:t xml:space="preserve"> • Légumes à feuilles vertes (épinards, kale) • Foie (source la plus concentrée) • Légumineuses (lentilles, pois chiches) • Asperges, brocoli</w:t>
      </w:r>
    </w:p>
    <w:p w14:paraId="5ABDCBF9"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Éviter :</w:t>
      </w:r>
      <w:r w:rsidRPr="00B74705">
        <w:rPr>
          <w:rFonts w:ascii="Times New Roman" w:eastAsia="Times New Roman" w:hAnsi="Times New Roman" w:cs="Times New Roman"/>
          <w:kern w:val="0"/>
          <w14:ligatures w14:val="none"/>
        </w:rPr>
        <w:t xml:space="preserve"> • Acide folique synthétique (dans les aliments enrichis) • Alcool (épuise les folates) • Stress chronique (augmente la demande en méthylation)</w:t>
      </w:r>
    </w:p>
    <w:p w14:paraId="3E46E5DA"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lastRenderedPageBreak/>
        <w:pict w14:anchorId="33DF77DD">
          <v:rect id="_x0000_i1068" alt="" style="width:468pt;height:.05pt;mso-width-percent:0;mso-height-percent:0;mso-width-percent:0;mso-height-percent:0" o:hralign="center" o:hrstd="t" o:hr="t" fillcolor="#a0a0a0" stroked="f"/>
        </w:pict>
      </w:r>
    </w:p>
    <w:p w14:paraId="40ECA03B"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6.4 Stratégies de Récupération par Génotype</w:t>
      </w:r>
    </w:p>
    <w:p w14:paraId="50CBCE93"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Le Protocole Guerrier (Val/Val)</w:t>
      </w:r>
    </w:p>
    <w:p w14:paraId="35C0C0C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RÉCUPÉRATION ORIENTÉE ACTION</w:t>
      </w:r>
    </w:p>
    <w:p w14:paraId="3EAFA6C5" w14:textId="77777777" w:rsidR="00B74705" w:rsidRPr="00B74705" w:rsidRDefault="00B74705" w:rsidP="00B747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Objectifs concrets</w:t>
      </w:r>
      <w:r w:rsidRPr="00B74705">
        <w:rPr>
          <w:rFonts w:ascii="Times New Roman" w:eastAsia="Times New Roman" w:hAnsi="Times New Roman" w:cs="Times New Roman"/>
          <w:kern w:val="0"/>
          <w14:ligatures w14:val="none"/>
        </w:rPr>
        <w:t xml:space="preserve"> : Jalons mesurables, récompenses tangibles</w:t>
      </w:r>
    </w:p>
    <w:p w14:paraId="739DBAAA" w14:textId="77777777" w:rsidR="00B74705" w:rsidRPr="00B74705" w:rsidRDefault="00B74705" w:rsidP="00B747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Exercice intensif</w:t>
      </w:r>
      <w:r w:rsidRPr="00B74705">
        <w:rPr>
          <w:rFonts w:ascii="Times New Roman" w:eastAsia="Times New Roman" w:hAnsi="Times New Roman" w:cs="Times New Roman"/>
          <w:kern w:val="0"/>
          <w14:ligatures w14:val="none"/>
        </w:rPr>
        <w:t xml:space="preserve"> : Libération de dopamine par le sport</w:t>
      </w:r>
    </w:p>
    <w:p w14:paraId="050F0991" w14:textId="77777777" w:rsidR="00B74705" w:rsidRPr="00B74705" w:rsidRDefault="00B74705" w:rsidP="00B747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Compétition saine</w:t>
      </w:r>
      <w:r w:rsidRPr="00B74705">
        <w:rPr>
          <w:rFonts w:ascii="Times New Roman" w:eastAsia="Times New Roman" w:hAnsi="Times New Roman" w:cs="Times New Roman"/>
          <w:kern w:val="0"/>
          <w14:ligatures w14:val="none"/>
        </w:rPr>
        <w:t xml:space="preserve"> : Sports, jeux, défis</w:t>
      </w:r>
    </w:p>
    <w:p w14:paraId="2CEEB241" w14:textId="77777777" w:rsidR="00B74705" w:rsidRPr="00B74705" w:rsidRDefault="00B74705" w:rsidP="00B747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Structure externe</w:t>
      </w:r>
      <w:r w:rsidRPr="00B74705">
        <w:rPr>
          <w:rFonts w:ascii="Times New Roman" w:eastAsia="Times New Roman" w:hAnsi="Times New Roman" w:cs="Times New Roman"/>
          <w:kern w:val="0"/>
          <w14:ligatures w14:val="none"/>
        </w:rPr>
        <w:t xml:space="preserve"> : Parrain actif, réunions quotidiennes au début</w:t>
      </w:r>
    </w:p>
    <w:p w14:paraId="5C393264" w14:textId="77777777" w:rsidR="00B74705" w:rsidRPr="00B74705" w:rsidRDefault="00B74705" w:rsidP="00B747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Stimulation cognitive</w:t>
      </w:r>
      <w:r w:rsidRPr="00B74705">
        <w:rPr>
          <w:rFonts w:ascii="Times New Roman" w:eastAsia="Times New Roman" w:hAnsi="Times New Roman" w:cs="Times New Roman"/>
          <w:kern w:val="0"/>
          <w14:ligatures w14:val="none"/>
        </w:rPr>
        <w:t xml:space="preserve"> : Nouveaux apprentissages, projets engageants</w:t>
      </w:r>
    </w:p>
    <w:p w14:paraId="194F0ACF"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Le Protocole Inquiet (Met/Met)</w:t>
      </w:r>
    </w:p>
    <w:p w14:paraId="085E70EF"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RÉCUPÉRATION ORIENTÉE SÉCURITÉ</w:t>
      </w:r>
    </w:p>
    <w:p w14:paraId="2A1F2A1D" w14:textId="77777777" w:rsidR="00B74705" w:rsidRPr="00B74705" w:rsidRDefault="00B74705" w:rsidP="00B747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Environnement calme</w:t>
      </w:r>
      <w:r w:rsidRPr="00B74705">
        <w:rPr>
          <w:rFonts w:ascii="Times New Roman" w:eastAsia="Times New Roman" w:hAnsi="Times New Roman" w:cs="Times New Roman"/>
          <w:kern w:val="0"/>
          <w14:ligatures w14:val="none"/>
        </w:rPr>
        <w:t xml:space="preserve"> : Éviter les centres de traitement chaotiques</w:t>
      </w:r>
    </w:p>
    <w:p w14:paraId="089F513D" w14:textId="77777777" w:rsidR="00B74705" w:rsidRPr="00B74705" w:rsidRDefault="00B74705" w:rsidP="00B747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Routine prévisible</w:t>
      </w:r>
      <w:r w:rsidRPr="00B74705">
        <w:rPr>
          <w:rFonts w:ascii="Times New Roman" w:eastAsia="Times New Roman" w:hAnsi="Times New Roman" w:cs="Times New Roman"/>
          <w:kern w:val="0"/>
          <w14:ligatures w14:val="none"/>
        </w:rPr>
        <w:t xml:space="preserve"> : Même heure de réveil, repas, sommeil</w:t>
      </w:r>
    </w:p>
    <w:p w14:paraId="62FC3533" w14:textId="77777777" w:rsidR="00B74705" w:rsidRPr="00B74705" w:rsidRDefault="00B74705" w:rsidP="00B747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Réduction du stress</w:t>
      </w:r>
      <w:r w:rsidRPr="00B74705">
        <w:rPr>
          <w:rFonts w:ascii="Times New Roman" w:eastAsia="Times New Roman" w:hAnsi="Times New Roman" w:cs="Times New Roman"/>
          <w:kern w:val="0"/>
          <w14:ligatures w14:val="none"/>
        </w:rPr>
        <w:t xml:space="preserve"> : Méditation, respiration, yoga</w:t>
      </w:r>
    </w:p>
    <w:p w14:paraId="0091CD88" w14:textId="77777777" w:rsidR="00B74705" w:rsidRPr="00B74705" w:rsidRDefault="00B74705" w:rsidP="00B747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Support émotionnel</w:t>
      </w:r>
      <w:r w:rsidRPr="00B74705">
        <w:rPr>
          <w:rFonts w:ascii="Times New Roman" w:eastAsia="Times New Roman" w:hAnsi="Times New Roman" w:cs="Times New Roman"/>
          <w:kern w:val="0"/>
          <w14:ligatures w14:val="none"/>
        </w:rPr>
        <w:t xml:space="preserve"> : Thérapie individuelle avant les groupes</w:t>
      </w:r>
    </w:p>
    <w:p w14:paraId="74869260" w14:textId="77777777" w:rsidR="00B74705" w:rsidRPr="00B74705" w:rsidRDefault="00B74705" w:rsidP="00B747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Transition lente</w:t>
      </w:r>
      <w:r w:rsidRPr="00B74705">
        <w:rPr>
          <w:rFonts w:ascii="Times New Roman" w:eastAsia="Times New Roman" w:hAnsi="Times New Roman" w:cs="Times New Roman"/>
          <w:kern w:val="0"/>
          <w14:ligatures w14:val="none"/>
        </w:rPr>
        <w:t xml:space="preserve"> : Éviter les changements brusques</w:t>
      </w:r>
    </w:p>
    <w:p w14:paraId="69AA6103"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61A2072F">
          <v:rect id="_x0000_i1067" alt="" style="width:468pt;height:.05pt;mso-width-percent:0;mso-height-percent:0;mso-width-percent:0;mso-height-percent:0" o:hralign="center" o:hrstd="t" o:hr="t" fillcolor="#a0a0a0" stroked="f"/>
        </w:pict>
      </w:r>
    </w:p>
    <w:p w14:paraId="4858AA4C" w14:textId="77777777" w:rsidR="00B74705" w:rsidRPr="00B74705" w:rsidRDefault="00B74705" w:rsidP="00B747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705">
        <w:rPr>
          <w:rFonts w:ascii="Times New Roman" w:eastAsia="Times New Roman" w:hAnsi="Times New Roman" w:cs="Times New Roman"/>
          <w:b/>
          <w:bCs/>
          <w:kern w:val="36"/>
          <w:sz w:val="48"/>
          <w:szCs w:val="48"/>
          <w14:ligatures w14:val="none"/>
        </w:rPr>
        <w:t>ANNEXE A</w:t>
      </w:r>
    </w:p>
    <w:p w14:paraId="0C8A0944"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Tables de Référence Clinique</w:t>
      </w:r>
    </w:p>
    <w:p w14:paraId="26923F82"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Tableau A.1 : Matrice CYP2D6 — Opioïdes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594"/>
        <w:gridCol w:w="1036"/>
        <w:gridCol w:w="1631"/>
        <w:gridCol w:w="3584"/>
      </w:tblGrid>
      <w:tr w:rsidR="00B74705" w:rsidRPr="00B74705" w14:paraId="049C1BC5" w14:textId="77777777">
        <w:trPr>
          <w:tblHeader/>
          <w:tblCellSpacing w:w="15" w:type="dxa"/>
        </w:trPr>
        <w:tc>
          <w:tcPr>
            <w:tcW w:w="0" w:type="auto"/>
            <w:vAlign w:val="center"/>
            <w:hideMark/>
          </w:tcPr>
          <w:p w14:paraId="539B34D8"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Opioïde</w:t>
            </w:r>
          </w:p>
        </w:tc>
        <w:tc>
          <w:tcPr>
            <w:tcW w:w="0" w:type="auto"/>
            <w:vAlign w:val="center"/>
            <w:hideMark/>
          </w:tcPr>
          <w:p w14:paraId="04471B6A"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PM</w:t>
            </w:r>
          </w:p>
        </w:tc>
        <w:tc>
          <w:tcPr>
            <w:tcW w:w="0" w:type="auto"/>
            <w:vAlign w:val="center"/>
            <w:hideMark/>
          </w:tcPr>
          <w:p w14:paraId="36F355ED"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NM</w:t>
            </w:r>
          </w:p>
        </w:tc>
        <w:tc>
          <w:tcPr>
            <w:tcW w:w="0" w:type="auto"/>
            <w:vAlign w:val="center"/>
            <w:hideMark/>
          </w:tcPr>
          <w:p w14:paraId="30342337"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UM</w:t>
            </w:r>
          </w:p>
        </w:tc>
        <w:tc>
          <w:tcPr>
            <w:tcW w:w="0" w:type="auto"/>
            <w:vAlign w:val="center"/>
            <w:hideMark/>
          </w:tcPr>
          <w:p w14:paraId="5B37BEB5"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Notes</w:t>
            </w:r>
          </w:p>
        </w:tc>
      </w:tr>
      <w:tr w:rsidR="00B74705" w:rsidRPr="00B74705" w14:paraId="1279085F" w14:textId="77777777">
        <w:trPr>
          <w:tblCellSpacing w:w="15" w:type="dxa"/>
        </w:trPr>
        <w:tc>
          <w:tcPr>
            <w:tcW w:w="0" w:type="auto"/>
            <w:vAlign w:val="center"/>
            <w:hideMark/>
          </w:tcPr>
          <w:p w14:paraId="73E20B43"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Codéine</w:t>
            </w:r>
          </w:p>
        </w:tc>
        <w:tc>
          <w:tcPr>
            <w:tcW w:w="0" w:type="auto"/>
            <w:vAlign w:val="center"/>
            <w:hideMark/>
          </w:tcPr>
          <w:p w14:paraId="41D6FA1B"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INEFFICACE</w:t>
            </w:r>
          </w:p>
        </w:tc>
        <w:tc>
          <w:tcPr>
            <w:tcW w:w="0" w:type="auto"/>
            <w:vAlign w:val="center"/>
            <w:hideMark/>
          </w:tcPr>
          <w:p w14:paraId="6F45C5E2"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c>
          <w:tcPr>
            <w:tcW w:w="0" w:type="auto"/>
            <w:vAlign w:val="center"/>
            <w:hideMark/>
          </w:tcPr>
          <w:p w14:paraId="62C55467"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CONTRE-INDIQUÉ</w:t>
            </w:r>
          </w:p>
        </w:tc>
        <w:tc>
          <w:tcPr>
            <w:tcW w:w="0" w:type="auto"/>
            <w:vAlign w:val="center"/>
            <w:hideMark/>
          </w:tcPr>
          <w:p w14:paraId="4743E370"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PM : pas de conversion en morphine. UM : conversion trop rapide</w:t>
            </w:r>
          </w:p>
        </w:tc>
      </w:tr>
      <w:tr w:rsidR="00B74705" w:rsidRPr="00B74705" w14:paraId="1BF75310" w14:textId="77777777">
        <w:trPr>
          <w:tblCellSpacing w:w="15" w:type="dxa"/>
        </w:trPr>
        <w:tc>
          <w:tcPr>
            <w:tcW w:w="0" w:type="auto"/>
            <w:vAlign w:val="center"/>
            <w:hideMark/>
          </w:tcPr>
          <w:p w14:paraId="4842DF55"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Tramadol</w:t>
            </w:r>
          </w:p>
        </w:tc>
        <w:tc>
          <w:tcPr>
            <w:tcW w:w="0" w:type="auto"/>
            <w:vAlign w:val="center"/>
            <w:hideMark/>
          </w:tcPr>
          <w:p w14:paraId="487E89E8"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INEFFICACE</w:t>
            </w:r>
          </w:p>
        </w:tc>
        <w:tc>
          <w:tcPr>
            <w:tcW w:w="0" w:type="auto"/>
            <w:vAlign w:val="center"/>
            <w:hideMark/>
          </w:tcPr>
          <w:p w14:paraId="397D74CE"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c>
          <w:tcPr>
            <w:tcW w:w="0" w:type="auto"/>
            <w:vAlign w:val="center"/>
            <w:hideMark/>
          </w:tcPr>
          <w:p w14:paraId="1CF6CF6A"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Risque toxicité</w:t>
            </w:r>
          </w:p>
        </w:tc>
        <w:tc>
          <w:tcPr>
            <w:tcW w:w="0" w:type="auto"/>
            <w:vAlign w:val="center"/>
            <w:hideMark/>
          </w:tcPr>
          <w:p w14:paraId="437FE169"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Similaire à la codéine</w:t>
            </w:r>
          </w:p>
        </w:tc>
      </w:tr>
      <w:tr w:rsidR="00B74705" w:rsidRPr="00B74705" w14:paraId="4267A316" w14:textId="77777777">
        <w:trPr>
          <w:tblCellSpacing w:w="15" w:type="dxa"/>
        </w:trPr>
        <w:tc>
          <w:tcPr>
            <w:tcW w:w="0" w:type="auto"/>
            <w:vAlign w:val="center"/>
            <w:hideMark/>
          </w:tcPr>
          <w:p w14:paraId="7A3A3F16"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Oxycodone</w:t>
            </w:r>
          </w:p>
        </w:tc>
        <w:tc>
          <w:tcPr>
            <w:tcW w:w="0" w:type="auto"/>
            <w:vAlign w:val="center"/>
            <w:hideMark/>
          </w:tcPr>
          <w:p w14:paraId="27932AA0"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Effet réduit</w:t>
            </w:r>
          </w:p>
        </w:tc>
        <w:tc>
          <w:tcPr>
            <w:tcW w:w="0" w:type="auto"/>
            <w:vAlign w:val="center"/>
            <w:hideMark/>
          </w:tcPr>
          <w:p w14:paraId="53D70AB9"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c>
          <w:tcPr>
            <w:tcW w:w="0" w:type="auto"/>
            <w:vAlign w:val="center"/>
            <w:hideMark/>
          </w:tcPr>
          <w:p w14:paraId="7BC349CC"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Effet réduit</w:t>
            </w:r>
          </w:p>
        </w:tc>
        <w:tc>
          <w:tcPr>
            <w:tcW w:w="0" w:type="auto"/>
            <w:vAlign w:val="center"/>
            <w:hideMark/>
          </w:tcPr>
          <w:p w14:paraId="0DF31B36"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Partiellement métabolisée par CYP2D6</w:t>
            </w:r>
          </w:p>
        </w:tc>
      </w:tr>
      <w:tr w:rsidR="00B74705" w:rsidRPr="00B74705" w14:paraId="3556A720" w14:textId="77777777">
        <w:trPr>
          <w:tblCellSpacing w:w="15" w:type="dxa"/>
        </w:trPr>
        <w:tc>
          <w:tcPr>
            <w:tcW w:w="0" w:type="auto"/>
            <w:vAlign w:val="center"/>
            <w:hideMark/>
          </w:tcPr>
          <w:p w14:paraId="1CE84CE0"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Hydrocodone</w:t>
            </w:r>
          </w:p>
        </w:tc>
        <w:tc>
          <w:tcPr>
            <w:tcW w:w="0" w:type="auto"/>
            <w:vAlign w:val="center"/>
            <w:hideMark/>
          </w:tcPr>
          <w:p w14:paraId="16D9E49A"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Effet réduit</w:t>
            </w:r>
          </w:p>
        </w:tc>
        <w:tc>
          <w:tcPr>
            <w:tcW w:w="0" w:type="auto"/>
            <w:vAlign w:val="center"/>
            <w:hideMark/>
          </w:tcPr>
          <w:p w14:paraId="40239667"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c>
          <w:tcPr>
            <w:tcW w:w="0" w:type="auto"/>
            <w:vAlign w:val="center"/>
            <w:hideMark/>
          </w:tcPr>
          <w:p w14:paraId="304DB893"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Risque toxicité</w:t>
            </w:r>
          </w:p>
        </w:tc>
        <w:tc>
          <w:tcPr>
            <w:tcW w:w="0" w:type="auto"/>
            <w:vAlign w:val="center"/>
            <w:hideMark/>
          </w:tcPr>
          <w:p w14:paraId="30AE99FF"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Conversion en hydromorphone</w:t>
            </w:r>
          </w:p>
        </w:tc>
      </w:tr>
      <w:tr w:rsidR="00B74705" w:rsidRPr="00B74705" w14:paraId="0D9EA0D9" w14:textId="77777777">
        <w:trPr>
          <w:tblCellSpacing w:w="15" w:type="dxa"/>
        </w:trPr>
        <w:tc>
          <w:tcPr>
            <w:tcW w:w="0" w:type="auto"/>
            <w:vAlign w:val="center"/>
            <w:hideMark/>
          </w:tcPr>
          <w:p w14:paraId="58564825"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lastRenderedPageBreak/>
              <w:t>Morphine</w:t>
            </w:r>
          </w:p>
        </w:tc>
        <w:tc>
          <w:tcPr>
            <w:tcW w:w="0" w:type="auto"/>
            <w:vAlign w:val="center"/>
            <w:hideMark/>
          </w:tcPr>
          <w:p w14:paraId="011AA543"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c>
          <w:tcPr>
            <w:tcW w:w="0" w:type="auto"/>
            <w:vAlign w:val="center"/>
            <w:hideMark/>
          </w:tcPr>
          <w:p w14:paraId="7642AB71"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c>
          <w:tcPr>
            <w:tcW w:w="0" w:type="auto"/>
            <w:vAlign w:val="center"/>
            <w:hideMark/>
          </w:tcPr>
          <w:p w14:paraId="76B7FF6A"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c>
          <w:tcPr>
            <w:tcW w:w="0" w:type="auto"/>
            <w:vAlign w:val="center"/>
            <w:hideMark/>
          </w:tcPr>
          <w:p w14:paraId="0BCE8A5C"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Ne nécessite pas CYP2D6</w:t>
            </w:r>
          </w:p>
        </w:tc>
      </w:tr>
      <w:tr w:rsidR="00B74705" w:rsidRPr="00B74705" w14:paraId="3704F0B9" w14:textId="77777777">
        <w:trPr>
          <w:tblCellSpacing w:w="15" w:type="dxa"/>
        </w:trPr>
        <w:tc>
          <w:tcPr>
            <w:tcW w:w="0" w:type="auto"/>
            <w:vAlign w:val="center"/>
            <w:hideMark/>
          </w:tcPr>
          <w:p w14:paraId="198D6BDE"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Fentanyl</w:t>
            </w:r>
          </w:p>
        </w:tc>
        <w:tc>
          <w:tcPr>
            <w:tcW w:w="0" w:type="auto"/>
            <w:vAlign w:val="center"/>
            <w:hideMark/>
          </w:tcPr>
          <w:p w14:paraId="616FDE9E"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PLEIN EFFET</w:t>
            </w:r>
          </w:p>
        </w:tc>
        <w:tc>
          <w:tcPr>
            <w:tcW w:w="0" w:type="auto"/>
            <w:vAlign w:val="center"/>
            <w:hideMark/>
          </w:tcPr>
          <w:p w14:paraId="1BBC2B5E"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c>
          <w:tcPr>
            <w:tcW w:w="0" w:type="auto"/>
            <w:vAlign w:val="center"/>
            <w:hideMark/>
          </w:tcPr>
          <w:p w14:paraId="1CD87211"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c>
          <w:tcPr>
            <w:tcW w:w="0" w:type="auto"/>
            <w:vAlign w:val="center"/>
            <w:hideMark/>
          </w:tcPr>
          <w:p w14:paraId="369CC381"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Contourne CYP2D6</w:t>
            </w:r>
          </w:p>
        </w:tc>
      </w:tr>
      <w:tr w:rsidR="00B74705" w:rsidRPr="00B74705" w14:paraId="67C4AB93" w14:textId="77777777">
        <w:trPr>
          <w:tblCellSpacing w:w="15" w:type="dxa"/>
        </w:trPr>
        <w:tc>
          <w:tcPr>
            <w:tcW w:w="0" w:type="auto"/>
            <w:vAlign w:val="center"/>
            <w:hideMark/>
          </w:tcPr>
          <w:p w14:paraId="5393C046"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Buprénorphine</w:t>
            </w:r>
          </w:p>
        </w:tc>
        <w:tc>
          <w:tcPr>
            <w:tcW w:w="0" w:type="auto"/>
            <w:vAlign w:val="center"/>
            <w:hideMark/>
          </w:tcPr>
          <w:p w14:paraId="664419D0"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c>
          <w:tcPr>
            <w:tcW w:w="0" w:type="auto"/>
            <w:vAlign w:val="center"/>
            <w:hideMark/>
          </w:tcPr>
          <w:p w14:paraId="5D9F3F57"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c>
          <w:tcPr>
            <w:tcW w:w="0" w:type="auto"/>
            <w:vAlign w:val="center"/>
            <w:hideMark/>
          </w:tcPr>
          <w:p w14:paraId="414DD355"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c>
          <w:tcPr>
            <w:tcW w:w="0" w:type="auto"/>
            <w:vAlign w:val="center"/>
            <w:hideMark/>
          </w:tcPr>
          <w:p w14:paraId="61B13ED7"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CYP3A4, pas CYP2D6</w:t>
            </w:r>
          </w:p>
        </w:tc>
      </w:tr>
      <w:tr w:rsidR="00B74705" w:rsidRPr="00B74705" w14:paraId="4CBD778C" w14:textId="77777777">
        <w:trPr>
          <w:tblCellSpacing w:w="15" w:type="dxa"/>
        </w:trPr>
        <w:tc>
          <w:tcPr>
            <w:tcW w:w="0" w:type="auto"/>
            <w:vAlign w:val="center"/>
            <w:hideMark/>
          </w:tcPr>
          <w:p w14:paraId="7EF70EB3"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Méthadone</w:t>
            </w:r>
          </w:p>
        </w:tc>
        <w:tc>
          <w:tcPr>
            <w:tcW w:w="0" w:type="auto"/>
            <w:vAlign w:val="center"/>
            <w:hideMark/>
          </w:tcPr>
          <w:p w14:paraId="66FBE33C"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Ajuster</w:t>
            </w:r>
          </w:p>
        </w:tc>
        <w:tc>
          <w:tcPr>
            <w:tcW w:w="0" w:type="auto"/>
            <w:vAlign w:val="center"/>
            <w:hideMark/>
          </w:tcPr>
          <w:p w14:paraId="68495886"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c>
          <w:tcPr>
            <w:tcW w:w="0" w:type="auto"/>
            <w:vAlign w:val="center"/>
            <w:hideMark/>
          </w:tcPr>
          <w:p w14:paraId="60D603D0"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Ajuster</w:t>
            </w:r>
          </w:p>
        </w:tc>
        <w:tc>
          <w:tcPr>
            <w:tcW w:w="0" w:type="auto"/>
            <w:vAlign w:val="center"/>
            <w:hideMark/>
          </w:tcPr>
          <w:p w14:paraId="0D5D3B6D"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CYP2B6, CYP3A4</w:t>
            </w:r>
          </w:p>
        </w:tc>
      </w:tr>
    </w:tbl>
    <w:p w14:paraId="1BA0237B"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Tableau A.2 : Matrice CYP2D6 — Antidépresseurs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1620"/>
        <w:gridCol w:w="1214"/>
        <w:gridCol w:w="3175"/>
      </w:tblGrid>
      <w:tr w:rsidR="00B74705" w:rsidRPr="00B74705" w14:paraId="4430F105" w14:textId="77777777">
        <w:trPr>
          <w:tblHeader/>
          <w:tblCellSpacing w:w="15" w:type="dxa"/>
        </w:trPr>
        <w:tc>
          <w:tcPr>
            <w:tcW w:w="0" w:type="auto"/>
            <w:vAlign w:val="center"/>
            <w:hideMark/>
          </w:tcPr>
          <w:p w14:paraId="697DF58E"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Antidépresseur</w:t>
            </w:r>
          </w:p>
        </w:tc>
        <w:tc>
          <w:tcPr>
            <w:tcW w:w="0" w:type="auto"/>
            <w:vAlign w:val="center"/>
            <w:hideMark/>
          </w:tcPr>
          <w:p w14:paraId="20423A8E"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PM</w:t>
            </w:r>
          </w:p>
        </w:tc>
        <w:tc>
          <w:tcPr>
            <w:tcW w:w="0" w:type="auto"/>
            <w:vAlign w:val="center"/>
            <w:hideMark/>
          </w:tcPr>
          <w:p w14:paraId="27CD17A1"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NM</w:t>
            </w:r>
          </w:p>
        </w:tc>
        <w:tc>
          <w:tcPr>
            <w:tcW w:w="0" w:type="auto"/>
            <w:vAlign w:val="center"/>
            <w:hideMark/>
          </w:tcPr>
          <w:p w14:paraId="02103E41"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UM</w:t>
            </w:r>
          </w:p>
        </w:tc>
      </w:tr>
      <w:tr w:rsidR="00B74705" w:rsidRPr="00B74705" w14:paraId="48F09C20" w14:textId="77777777">
        <w:trPr>
          <w:tblCellSpacing w:w="15" w:type="dxa"/>
        </w:trPr>
        <w:tc>
          <w:tcPr>
            <w:tcW w:w="0" w:type="auto"/>
            <w:vAlign w:val="center"/>
            <w:hideMark/>
          </w:tcPr>
          <w:p w14:paraId="249B2982"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Fluoxétine</w:t>
            </w:r>
          </w:p>
        </w:tc>
        <w:tc>
          <w:tcPr>
            <w:tcW w:w="0" w:type="auto"/>
            <w:vAlign w:val="center"/>
            <w:hideMark/>
          </w:tcPr>
          <w:p w14:paraId="6F941ECA"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Réduire 50%</w:t>
            </w:r>
          </w:p>
        </w:tc>
        <w:tc>
          <w:tcPr>
            <w:tcW w:w="0" w:type="auto"/>
            <w:vAlign w:val="center"/>
            <w:hideMark/>
          </w:tcPr>
          <w:p w14:paraId="206E1EED"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c>
          <w:tcPr>
            <w:tcW w:w="0" w:type="auto"/>
            <w:vAlign w:val="center"/>
            <w:hideMark/>
          </w:tcPr>
          <w:p w14:paraId="3BA52105"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Peut nécessiter augmentation</w:t>
            </w:r>
          </w:p>
        </w:tc>
      </w:tr>
      <w:tr w:rsidR="00B74705" w:rsidRPr="00B74705" w14:paraId="4613E2B5" w14:textId="77777777">
        <w:trPr>
          <w:tblCellSpacing w:w="15" w:type="dxa"/>
        </w:trPr>
        <w:tc>
          <w:tcPr>
            <w:tcW w:w="0" w:type="auto"/>
            <w:vAlign w:val="center"/>
            <w:hideMark/>
          </w:tcPr>
          <w:p w14:paraId="51A25343"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Paroxétine</w:t>
            </w:r>
          </w:p>
        </w:tc>
        <w:tc>
          <w:tcPr>
            <w:tcW w:w="0" w:type="auto"/>
            <w:vAlign w:val="center"/>
            <w:hideMark/>
          </w:tcPr>
          <w:p w14:paraId="5B6110CC"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Réduire 50%</w:t>
            </w:r>
          </w:p>
        </w:tc>
        <w:tc>
          <w:tcPr>
            <w:tcW w:w="0" w:type="auto"/>
            <w:vAlign w:val="center"/>
            <w:hideMark/>
          </w:tcPr>
          <w:p w14:paraId="35CE4BAF"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c>
          <w:tcPr>
            <w:tcW w:w="0" w:type="auto"/>
            <w:vAlign w:val="center"/>
            <w:hideMark/>
          </w:tcPr>
          <w:p w14:paraId="463A4FCA"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Peut nécessiter augmentation</w:t>
            </w:r>
          </w:p>
        </w:tc>
      </w:tr>
      <w:tr w:rsidR="00B74705" w:rsidRPr="00B74705" w14:paraId="5FB6EF44" w14:textId="77777777">
        <w:trPr>
          <w:tblCellSpacing w:w="15" w:type="dxa"/>
        </w:trPr>
        <w:tc>
          <w:tcPr>
            <w:tcW w:w="0" w:type="auto"/>
            <w:vAlign w:val="center"/>
            <w:hideMark/>
          </w:tcPr>
          <w:p w14:paraId="03ED09EE"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Venlafaxine</w:t>
            </w:r>
          </w:p>
        </w:tc>
        <w:tc>
          <w:tcPr>
            <w:tcW w:w="0" w:type="auto"/>
            <w:vAlign w:val="center"/>
            <w:hideMark/>
          </w:tcPr>
          <w:p w14:paraId="37A2B093"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Réduire 50%</w:t>
            </w:r>
          </w:p>
        </w:tc>
        <w:tc>
          <w:tcPr>
            <w:tcW w:w="0" w:type="auto"/>
            <w:vAlign w:val="center"/>
            <w:hideMark/>
          </w:tcPr>
          <w:p w14:paraId="775CCB52"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c>
          <w:tcPr>
            <w:tcW w:w="0" w:type="auto"/>
            <w:vAlign w:val="center"/>
            <w:hideMark/>
          </w:tcPr>
          <w:p w14:paraId="3DF0F36A"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Augmenter si inefficace</w:t>
            </w:r>
          </w:p>
        </w:tc>
      </w:tr>
      <w:tr w:rsidR="00B74705" w:rsidRPr="00B74705" w14:paraId="74AF5F78" w14:textId="77777777">
        <w:trPr>
          <w:tblCellSpacing w:w="15" w:type="dxa"/>
        </w:trPr>
        <w:tc>
          <w:tcPr>
            <w:tcW w:w="0" w:type="auto"/>
            <w:vAlign w:val="center"/>
            <w:hideMark/>
          </w:tcPr>
          <w:p w14:paraId="0805E1AB"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Duloxétine</w:t>
            </w:r>
          </w:p>
        </w:tc>
        <w:tc>
          <w:tcPr>
            <w:tcW w:w="0" w:type="auto"/>
            <w:vAlign w:val="center"/>
            <w:hideMark/>
          </w:tcPr>
          <w:p w14:paraId="64AF080E"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Réduire</w:t>
            </w:r>
          </w:p>
        </w:tc>
        <w:tc>
          <w:tcPr>
            <w:tcW w:w="0" w:type="auto"/>
            <w:vAlign w:val="center"/>
            <w:hideMark/>
          </w:tcPr>
          <w:p w14:paraId="29D4DE00"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c>
          <w:tcPr>
            <w:tcW w:w="0" w:type="auto"/>
            <w:vAlign w:val="center"/>
            <w:hideMark/>
          </w:tcPr>
          <w:p w14:paraId="66556277"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r>
      <w:tr w:rsidR="00B74705" w:rsidRPr="00B74705" w14:paraId="6C4447F8" w14:textId="77777777">
        <w:trPr>
          <w:tblCellSpacing w:w="15" w:type="dxa"/>
        </w:trPr>
        <w:tc>
          <w:tcPr>
            <w:tcW w:w="0" w:type="auto"/>
            <w:vAlign w:val="center"/>
            <w:hideMark/>
          </w:tcPr>
          <w:p w14:paraId="06EE828C"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Amitriptyline</w:t>
            </w:r>
          </w:p>
        </w:tc>
        <w:tc>
          <w:tcPr>
            <w:tcW w:w="0" w:type="auto"/>
            <w:vAlign w:val="center"/>
            <w:hideMark/>
          </w:tcPr>
          <w:p w14:paraId="0712E365"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Réduire 50%</w:t>
            </w:r>
          </w:p>
        </w:tc>
        <w:tc>
          <w:tcPr>
            <w:tcW w:w="0" w:type="auto"/>
            <w:vAlign w:val="center"/>
            <w:hideMark/>
          </w:tcPr>
          <w:p w14:paraId="7AAA4572"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c>
          <w:tcPr>
            <w:tcW w:w="0" w:type="auto"/>
            <w:vAlign w:val="center"/>
            <w:hideMark/>
          </w:tcPr>
          <w:p w14:paraId="7137299C"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Augmenter</w:t>
            </w:r>
          </w:p>
        </w:tc>
      </w:tr>
      <w:tr w:rsidR="00B74705" w:rsidRPr="00B74705" w14:paraId="0F3D9E56" w14:textId="77777777">
        <w:trPr>
          <w:tblCellSpacing w:w="15" w:type="dxa"/>
        </w:trPr>
        <w:tc>
          <w:tcPr>
            <w:tcW w:w="0" w:type="auto"/>
            <w:vAlign w:val="center"/>
            <w:hideMark/>
          </w:tcPr>
          <w:p w14:paraId="1289F081"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Nortriptyline</w:t>
            </w:r>
          </w:p>
        </w:tc>
        <w:tc>
          <w:tcPr>
            <w:tcW w:w="0" w:type="auto"/>
            <w:vAlign w:val="center"/>
            <w:hideMark/>
          </w:tcPr>
          <w:p w14:paraId="50DC3EA2"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Réduire 50%</w:t>
            </w:r>
          </w:p>
        </w:tc>
        <w:tc>
          <w:tcPr>
            <w:tcW w:w="0" w:type="auto"/>
            <w:vAlign w:val="center"/>
            <w:hideMark/>
          </w:tcPr>
          <w:p w14:paraId="2C5BA86A"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Standard</w:t>
            </w:r>
          </w:p>
        </w:tc>
        <w:tc>
          <w:tcPr>
            <w:tcW w:w="0" w:type="auto"/>
            <w:vAlign w:val="center"/>
            <w:hideMark/>
          </w:tcPr>
          <w:p w14:paraId="5358C2FF"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kern w:val="0"/>
                <w14:ligatures w14:val="none"/>
              </w:rPr>
              <w:t>⚠️</w:t>
            </w:r>
            <w:r w:rsidRPr="00B74705">
              <w:rPr>
                <w:rFonts w:ascii="Times New Roman" w:eastAsia="Times New Roman" w:hAnsi="Times New Roman" w:cs="Times New Roman"/>
                <w:kern w:val="0"/>
                <w14:ligatures w14:val="none"/>
              </w:rPr>
              <w:t xml:space="preserve"> Augmenter</w:t>
            </w:r>
          </w:p>
        </w:tc>
      </w:tr>
    </w:tbl>
    <w:p w14:paraId="49EFF9B8"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Tableau A.3 : Corrélations COMT/MTHFR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954"/>
        <w:gridCol w:w="1427"/>
        <w:gridCol w:w="2050"/>
        <w:gridCol w:w="4014"/>
      </w:tblGrid>
      <w:tr w:rsidR="00B74705" w:rsidRPr="00B74705" w14:paraId="11F2300A" w14:textId="77777777">
        <w:trPr>
          <w:tblHeader/>
          <w:tblCellSpacing w:w="15" w:type="dxa"/>
        </w:trPr>
        <w:tc>
          <w:tcPr>
            <w:tcW w:w="0" w:type="auto"/>
            <w:vAlign w:val="center"/>
            <w:hideMark/>
          </w:tcPr>
          <w:p w14:paraId="164BF5B1"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COMT</w:t>
            </w:r>
          </w:p>
        </w:tc>
        <w:tc>
          <w:tcPr>
            <w:tcW w:w="0" w:type="auto"/>
            <w:vAlign w:val="center"/>
            <w:hideMark/>
          </w:tcPr>
          <w:p w14:paraId="7B1D45B6"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MTHFR</w:t>
            </w:r>
          </w:p>
        </w:tc>
        <w:tc>
          <w:tcPr>
            <w:tcW w:w="0" w:type="auto"/>
            <w:vAlign w:val="center"/>
            <w:hideMark/>
          </w:tcPr>
          <w:p w14:paraId="2D086316"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Profil de Risque</w:t>
            </w:r>
          </w:p>
        </w:tc>
        <w:tc>
          <w:tcPr>
            <w:tcW w:w="0" w:type="auto"/>
            <w:vAlign w:val="center"/>
            <w:hideMark/>
          </w:tcPr>
          <w:p w14:paraId="35CE0228"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Substances Probables</w:t>
            </w:r>
          </w:p>
        </w:tc>
        <w:tc>
          <w:tcPr>
            <w:tcW w:w="0" w:type="auto"/>
            <w:vAlign w:val="center"/>
            <w:hideMark/>
          </w:tcPr>
          <w:p w14:paraId="3B359717"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Approche</w:t>
            </w:r>
          </w:p>
        </w:tc>
      </w:tr>
      <w:tr w:rsidR="00B74705" w:rsidRPr="00B74705" w14:paraId="1CDC0E5B" w14:textId="77777777">
        <w:trPr>
          <w:tblCellSpacing w:w="15" w:type="dxa"/>
        </w:trPr>
        <w:tc>
          <w:tcPr>
            <w:tcW w:w="0" w:type="auto"/>
            <w:vAlign w:val="center"/>
            <w:hideMark/>
          </w:tcPr>
          <w:p w14:paraId="1329AB94"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Val/Val</w:t>
            </w:r>
          </w:p>
        </w:tc>
        <w:tc>
          <w:tcPr>
            <w:tcW w:w="0" w:type="auto"/>
            <w:vAlign w:val="center"/>
            <w:hideMark/>
          </w:tcPr>
          <w:p w14:paraId="40A80C3B"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C/C</w:t>
            </w:r>
          </w:p>
        </w:tc>
        <w:tc>
          <w:tcPr>
            <w:tcW w:w="0" w:type="auto"/>
            <w:vAlign w:val="center"/>
            <w:hideMark/>
          </w:tcPr>
          <w:p w14:paraId="09EA0782"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Faible</w:t>
            </w:r>
          </w:p>
        </w:tc>
        <w:tc>
          <w:tcPr>
            <w:tcW w:w="0" w:type="auto"/>
            <w:vAlign w:val="center"/>
            <w:hideMark/>
          </w:tcPr>
          <w:p w14:paraId="722EB20F"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Stimulants, sensations</w:t>
            </w:r>
          </w:p>
        </w:tc>
        <w:tc>
          <w:tcPr>
            <w:tcW w:w="0" w:type="auto"/>
            <w:vAlign w:val="center"/>
            <w:hideMark/>
          </w:tcPr>
          <w:p w14:paraId="0471CD42"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Substitution d'activité</w:t>
            </w:r>
          </w:p>
        </w:tc>
      </w:tr>
      <w:tr w:rsidR="00B74705" w:rsidRPr="00B74705" w14:paraId="50B0BF1E" w14:textId="77777777">
        <w:trPr>
          <w:tblCellSpacing w:w="15" w:type="dxa"/>
        </w:trPr>
        <w:tc>
          <w:tcPr>
            <w:tcW w:w="0" w:type="auto"/>
            <w:vAlign w:val="center"/>
            <w:hideMark/>
          </w:tcPr>
          <w:p w14:paraId="411F876F"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Val/Val</w:t>
            </w:r>
          </w:p>
        </w:tc>
        <w:tc>
          <w:tcPr>
            <w:tcW w:w="0" w:type="auto"/>
            <w:vAlign w:val="center"/>
            <w:hideMark/>
          </w:tcPr>
          <w:p w14:paraId="719B8703"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T/T</w:t>
            </w:r>
          </w:p>
        </w:tc>
        <w:tc>
          <w:tcPr>
            <w:tcW w:w="0" w:type="auto"/>
            <w:vAlign w:val="center"/>
            <w:hideMark/>
          </w:tcPr>
          <w:p w14:paraId="7697682F"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Modéré</w:t>
            </w:r>
          </w:p>
        </w:tc>
        <w:tc>
          <w:tcPr>
            <w:tcW w:w="0" w:type="auto"/>
            <w:vAlign w:val="center"/>
            <w:hideMark/>
          </w:tcPr>
          <w:p w14:paraId="2984DB12"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Stimulants, risques</w:t>
            </w:r>
          </w:p>
        </w:tc>
        <w:tc>
          <w:tcPr>
            <w:tcW w:w="0" w:type="auto"/>
            <w:vAlign w:val="center"/>
            <w:hideMark/>
          </w:tcPr>
          <w:p w14:paraId="68D50F16"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Méthylfolate + substitution</w:t>
            </w:r>
          </w:p>
        </w:tc>
      </w:tr>
      <w:tr w:rsidR="00B74705" w:rsidRPr="00B74705" w14:paraId="5A5393F9" w14:textId="77777777">
        <w:trPr>
          <w:tblCellSpacing w:w="15" w:type="dxa"/>
        </w:trPr>
        <w:tc>
          <w:tcPr>
            <w:tcW w:w="0" w:type="auto"/>
            <w:vAlign w:val="center"/>
            <w:hideMark/>
          </w:tcPr>
          <w:p w14:paraId="27A0D2F8"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Met/Met</w:t>
            </w:r>
          </w:p>
        </w:tc>
        <w:tc>
          <w:tcPr>
            <w:tcW w:w="0" w:type="auto"/>
            <w:vAlign w:val="center"/>
            <w:hideMark/>
          </w:tcPr>
          <w:p w14:paraId="5FCA2B3D"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C/C</w:t>
            </w:r>
          </w:p>
        </w:tc>
        <w:tc>
          <w:tcPr>
            <w:tcW w:w="0" w:type="auto"/>
            <w:vAlign w:val="center"/>
            <w:hideMark/>
          </w:tcPr>
          <w:p w14:paraId="69E9B75F"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Modéré</w:t>
            </w:r>
          </w:p>
        </w:tc>
        <w:tc>
          <w:tcPr>
            <w:tcW w:w="0" w:type="auto"/>
            <w:vAlign w:val="center"/>
            <w:hideMark/>
          </w:tcPr>
          <w:p w14:paraId="462CAD26"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Dépresseurs, alcool</w:t>
            </w:r>
          </w:p>
        </w:tc>
        <w:tc>
          <w:tcPr>
            <w:tcW w:w="0" w:type="auto"/>
            <w:vAlign w:val="center"/>
            <w:hideMark/>
          </w:tcPr>
          <w:p w14:paraId="3AFB6B63"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Gestion de l'anxiété</w:t>
            </w:r>
          </w:p>
        </w:tc>
      </w:tr>
      <w:tr w:rsidR="00B74705" w:rsidRPr="00B74705" w14:paraId="67A12505" w14:textId="77777777">
        <w:trPr>
          <w:tblCellSpacing w:w="15" w:type="dxa"/>
        </w:trPr>
        <w:tc>
          <w:tcPr>
            <w:tcW w:w="0" w:type="auto"/>
            <w:vAlign w:val="center"/>
            <w:hideMark/>
          </w:tcPr>
          <w:p w14:paraId="53609D95"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Met/Met</w:t>
            </w:r>
          </w:p>
        </w:tc>
        <w:tc>
          <w:tcPr>
            <w:tcW w:w="0" w:type="auto"/>
            <w:vAlign w:val="center"/>
            <w:hideMark/>
          </w:tcPr>
          <w:p w14:paraId="3C8A4D13"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T/T</w:t>
            </w:r>
          </w:p>
        </w:tc>
        <w:tc>
          <w:tcPr>
            <w:tcW w:w="0" w:type="auto"/>
            <w:vAlign w:val="center"/>
            <w:hideMark/>
          </w:tcPr>
          <w:p w14:paraId="20BB939E"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ÉLEVÉ</w:t>
            </w:r>
          </w:p>
        </w:tc>
        <w:tc>
          <w:tcPr>
            <w:tcW w:w="0" w:type="auto"/>
            <w:vAlign w:val="center"/>
            <w:hideMark/>
          </w:tcPr>
          <w:p w14:paraId="571AD356"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Dépresseurs, poly-usage</w:t>
            </w:r>
          </w:p>
        </w:tc>
        <w:tc>
          <w:tcPr>
            <w:tcW w:w="0" w:type="auto"/>
            <w:vAlign w:val="center"/>
            <w:hideMark/>
          </w:tcPr>
          <w:p w14:paraId="3B2A7A43"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Méthylfolate + anxiolytiques + environnement calme</w:t>
            </w:r>
          </w:p>
        </w:tc>
      </w:tr>
    </w:tbl>
    <w:p w14:paraId="2C161200"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5161D9EC">
          <v:rect id="_x0000_i1066" alt="" style="width:468pt;height:.05pt;mso-width-percent:0;mso-height-percent:0;mso-width-percent:0;mso-height-percent:0" o:hralign="center" o:hrstd="t" o:hr="t" fillcolor="#a0a0a0" stroked="f"/>
        </w:pict>
      </w:r>
    </w:p>
    <w:p w14:paraId="65BD5407" w14:textId="77777777" w:rsidR="00B74705" w:rsidRPr="00B74705" w:rsidRDefault="00B74705" w:rsidP="00B747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705">
        <w:rPr>
          <w:rFonts w:ascii="Times New Roman" w:eastAsia="Times New Roman" w:hAnsi="Times New Roman" w:cs="Times New Roman"/>
          <w:b/>
          <w:bCs/>
          <w:kern w:val="36"/>
          <w:sz w:val="48"/>
          <w:szCs w:val="48"/>
          <w14:ligatures w14:val="none"/>
        </w:rPr>
        <w:t>ANNEXE B</w:t>
      </w:r>
    </w:p>
    <w:p w14:paraId="2B4D7C11"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Cadre d'Intégration IA pour la Récupération de Précision</w:t>
      </w:r>
    </w:p>
    <w:p w14:paraId="569D64C0"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JOURNAL DE L'ARCHITECTE</w:t>
      </w:r>
      <w:r w:rsidRPr="00B74705">
        <w:rPr>
          <w:rFonts w:ascii="Times New Roman" w:eastAsia="Times New Roman" w:hAnsi="Times New Roman" w:cs="Times New Roman"/>
          <w:kern w:val="0"/>
          <w14:ligatures w14:val="none"/>
        </w:rPr>
        <w:t xml:space="preserve"> </w:t>
      </w:r>
      <w:r w:rsidRPr="00B74705">
        <w:rPr>
          <w:rFonts w:ascii="Times New Roman" w:eastAsia="Times New Roman" w:hAnsi="Times New Roman" w:cs="Times New Roman"/>
          <w:i/>
          <w:iCs/>
          <w:kern w:val="0"/>
          <w14:ligatures w14:val="none"/>
        </w:rPr>
        <w:t xml:space="preserve">L'IA ne remplace pas le jugement clinique. Elle l'augmente. Un LLM formé sur la littérature pharmacogénomique peut aider les cliniciens à </w:t>
      </w:r>
      <w:r w:rsidRPr="00B74705">
        <w:rPr>
          <w:rFonts w:ascii="Times New Roman" w:eastAsia="Times New Roman" w:hAnsi="Times New Roman" w:cs="Times New Roman"/>
          <w:i/>
          <w:iCs/>
          <w:kern w:val="0"/>
          <w14:ligatures w14:val="none"/>
        </w:rPr>
        <w:lastRenderedPageBreak/>
        <w:t>identifier des interactions que l'esprit humain pourrait manquer — surtout avec des régimes médicamenteux complexes.</w:t>
      </w:r>
    </w:p>
    <w:p w14:paraId="6F2F0C03"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B.1 Cas d'Usage Approuvés</w:t>
      </w:r>
    </w:p>
    <w:p w14:paraId="7AECCF5D"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SYSTÈME VERT — APPLICATIONS IA APPROPRIÉES</w:t>
      </w:r>
      <w:r w:rsidRPr="00B74705">
        <w:rPr>
          <w:rFonts w:ascii="Times New Roman" w:eastAsia="Times New Roman" w:hAnsi="Times New Roman" w:cs="Times New Roman"/>
          <w:kern w:val="0"/>
          <w14:ligatures w14:val="none"/>
        </w:rPr>
        <w:t xml:space="preserve"> • Vérification des interactions médicamenteuses CYP450 • Génération d'hypothèses pour les cas résistants aux traitements • Éducation des patients sur leur profil génétique • Synthèse de la littérature pharmacogénomique • Identification des incohérences de prescription</w:t>
      </w:r>
    </w:p>
    <w:p w14:paraId="69DC21C9"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B.2 Limitations Critiques</w:t>
      </w:r>
    </w:p>
    <w:p w14:paraId="3D0917BA"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RISQUE D'ÉCHEC SYSTÈME CRITIQUE — L'IA NE REMPLACE PAS</w:t>
      </w:r>
      <w:r w:rsidRPr="00B74705">
        <w:rPr>
          <w:rFonts w:ascii="Times New Roman" w:eastAsia="Times New Roman" w:hAnsi="Times New Roman" w:cs="Times New Roman"/>
          <w:kern w:val="0"/>
          <w14:ligatures w14:val="none"/>
        </w:rPr>
        <w:t xml:space="preserve"> • Le jugement clinique d'un médecin qualifié • L'interprétation des résultats de laboratoire • Les décisions de prescription • La relation thérapeutique</w:t>
      </w:r>
    </w:p>
    <w:p w14:paraId="20E01024"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B.3 Prompt Template pour Consultation IA</w:t>
      </w:r>
    </w:p>
    <w:p w14:paraId="4ED7F930" w14:textId="77777777" w:rsidR="00B74705" w:rsidRPr="00B74705" w:rsidRDefault="00B74705" w:rsidP="00B74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705">
        <w:rPr>
          <w:rFonts w:ascii="Courier New" w:eastAsia="Times New Roman" w:hAnsi="Courier New" w:cs="Courier New"/>
          <w:kern w:val="0"/>
          <w:sz w:val="20"/>
          <w:szCs w:val="20"/>
          <w14:ligatures w14:val="none"/>
        </w:rPr>
        <w:t>PROFIL PATIENT :</w:t>
      </w:r>
    </w:p>
    <w:p w14:paraId="4E7F848C" w14:textId="77777777" w:rsidR="00B74705" w:rsidRPr="00B74705" w:rsidRDefault="00B74705" w:rsidP="00B74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705">
        <w:rPr>
          <w:rFonts w:ascii="Courier New" w:eastAsia="Times New Roman" w:hAnsi="Courier New" w:cs="Courier New"/>
          <w:kern w:val="0"/>
          <w:sz w:val="20"/>
          <w:szCs w:val="20"/>
          <w14:ligatures w14:val="none"/>
        </w:rPr>
        <w:t>- Génotype MTHFR : [C/C, C/T, T/T]</w:t>
      </w:r>
    </w:p>
    <w:p w14:paraId="0D0CCE19" w14:textId="77777777" w:rsidR="00B74705" w:rsidRPr="00B74705" w:rsidRDefault="00B74705" w:rsidP="00B74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705">
        <w:rPr>
          <w:rFonts w:ascii="Courier New" w:eastAsia="Times New Roman" w:hAnsi="Courier New" w:cs="Courier New"/>
          <w:kern w:val="0"/>
          <w:sz w:val="20"/>
          <w:szCs w:val="20"/>
          <w14:ligatures w14:val="none"/>
        </w:rPr>
        <w:t>- Génotype COMT : [Val/Val, Val/Met, Met/Met]</w:t>
      </w:r>
    </w:p>
    <w:p w14:paraId="3F4B4363" w14:textId="77777777" w:rsidR="00B74705" w:rsidRPr="00B74705" w:rsidRDefault="00B74705" w:rsidP="00B74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705">
        <w:rPr>
          <w:rFonts w:ascii="Courier New" w:eastAsia="Times New Roman" w:hAnsi="Courier New" w:cs="Courier New"/>
          <w:kern w:val="0"/>
          <w:sz w:val="20"/>
          <w:szCs w:val="20"/>
          <w14:ligatures w14:val="none"/>
        </w:rPr>
        <w:t>- Statut CYP2D6 : [PM, IM, NM, UM]</w:t>
      </w:r>
    </w:p>
    <w:p w14:paraId="4565108B" w14:textId="77777777" w:rsidR="00B74705" w:rsidRPr="00B74705" w:rsidRDefault="00B74705" w:rsidP="00B74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705">
        <w:rPr>
          <w:rFonts w:ascii="Courier New" w:eastAsia="Times New Roman" w:hAnsi="Courier New" w:cs="Courier New"/>
          <w:kern w:val="0"/>
          <w:sz w:val="20"/>
          <w:szCs w:val="20"/>
          <w14:ligatures w14:val="none"/>
        </w:rPr>
        <w:t>- Statut CYP2C19 : [PM, IM, NM, UM]</w:t>
      </w:r>
    </w:p>
    <w:p w14:paraId="51388DB2" w14:textId="77777777" w:rsidR="00B74705" w:rsidRPr="00B74705" w:rsidRDefault="00B74705" w:rsidP="00B74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A0C068" w14:textId="77777777" w:rsidR="00B74705" w:rsidRPr="00B74705" w:rsidRDefault="00B74705" w:rsidP="00B74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705">
        <w:rPr>
          <w:rFonts w:ascii="Courier New" w:eastAsia="Times New Roman" w:hAnsi="Courier New" w:cs="Courier New"/>
          <w:kern w:val="0"/>
          <w:sz w:val="20"/>
          <w:szCs w:val="20"/>
          <w14:ligatures w14:val="none"/>
        </w:rPr>
        <w:t>MÉDICAMENTS ACTUELS :</w:t>
      </w:r>
    </w:p>
    <w:p w14:paraId="0F0207FD" w14:textId="77777777" w:rsidR="00B74705" w:rsidRPr="00B74705" w:rsidRDefault="00B74705" w:rsidP="00B74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705">
        <w:rPr>
          <w:rFonts w:ascii="Courier New" w:eastAsia="Times New Roman" w:hAnsi="Courier New" w:cs="Courier New"/>
          <w:kern w:val="0"/>
          <w:sz w:val="20"/>
          <w:szCs w:val="20"/>
          <w14:ligatures w14:val="none"/>
        </w:rPr>
        <w:t>[Liste]</w:t>
      </w:r>
    </w:p>
    <w:p w14:paraId="5BF91CD9" w14:textId="77777777" w:rsidR="00B74705" w:rsidRPr="00B74705" w:rsidRDefault="00B74705" w:rsidP="00B74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D48F0D" w14:textId="77777777" w:rsidR="00B74705" w:rsidRPr="00B74705" w:rsidRDefault="00B74705" w:rsidP="00B74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705">
        <w:rPr>
          <w:rFonts w:ascii="Courier New" w:eastAsia="Times New Roman" w:hAnsi="Courier New" w:cs="Courier New"/>
          <w:kern w:val="0"/>
          <w:sz w:val="20"/>
          <w:szCs w:val="20"/>
          <w14:ligatures w14:val="none"/>
        </w:rPr>
        <w:t>SUBSTANCES UTILISÉES :</w:t>
      </w:r>
    </w:p>
    <w:p w14:paraId="3B80E2A1" w14:textId="77777777" w:rsidR="00B74705" w:rsidRPr="00B74705" w:rsidRDefault="00B74705" w:rsidP="00B74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705">
        <w:rPr>
          <w:rFonts w:ascii="Courier New" w:eastAsia="Times New Roman" w:hAnsi="Courier New" w:cs="Courier New"/>
          <w:kern w:val="0"/>
          <w:sz w:val="20"/>
          <w:szCs w:val="20"/>
          <w14:ligatures w14:val="none"/>
        </w:rPr>
        <w:t>[Liste avec fréquence]</w:t>
      </w:r>
    </w:p>
    <w:p w14:paraId="5A830C89" w14:textId="77777777" w:rsidR="00B74705" w:rsidRPr="00B74705" w:rsidRDefault="00B74705" w:rsidP="00B74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84B9A2" w14:textId="77777777" w:rsidR="00B74705" w:rsidRPr="00B74705" w:rsidRDefault="00B74705" w:rsidP="00B74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705">
        <w:rPr>
          <w:rFonts w:ascii="Courier New" w:eastAsia="Times New Roman" w:hAnsi="Courier New" w:cs="Courier New"/>
          <w:kern w:val="0"/>
          <w:sz w:val="20"/>
          <w:szCs w:val="20"/>
          <w14:ligatures w14:val="none"/>
        </w:rPr>
        <w:t>SYMPTÔMES PRINCIPAUX :</w:t>
      </w:r>
    </w:p>
    <w:p w14:paraId="2ED28233" w14:textId="77777777" w:rsidR="00B74705" w:rsidRPr="00B74705" w:rsidRDefault="00B74705" w:rsidP="00B74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705">
        <w:rPr>
          <w:rFonts w:ascii="Courier New" w:eastAsia="Times New Roman" w:hAnsi="Courier New" w:cs="Courier New"/>
          <w:kern w:val="0"/>
          <w:sz w:val="20"/>
          <w:szCs w:val="20"/>
          <w14:ligatures w14:val="none"/>
        </w:rPr>
        <w:t>[Liste]</w:t>
      </w:r>
    </w:p>
    <w:p w14:paraId="5CD9AC3A" w14:textId="77777777" w:rsidR="00B74705" w:rsidRPr="00B74705" w:rsidRDefault="00B74705" w:rsidP="00B74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B114C6" w14:textId="77777777" w:rsidR="00B74705" w:rsidRPr="00B74705" w:rsidRDefault="00B74705" w:rsidP="00B74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705">
        <w:rPr>
          <w:rFonts w:ascii="Courier New" w:eastAsia="Times New Roman" w:hAnsi="Courier New" w:cs="Courier New"/>
          <w:kern w:val="0"/>
          <w:sz w:val="20"/>
          <w:szCs w:val="20"/>
          <w14:ligatures w14:val="none"/>
        </w:rPr>
        <w:t>QUESTION :</w:t>
      </w:r>
    </w:p>
    <w:p w14:paraId="1576B265" w14:textId="77777777" w:rsidR="00B74705" w:rsidRPr="00B74705" w:rsidRDefault="00B74705" w:rsidP="00B74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705">
        <w:rPr>
          <w:rFonts w:ascii="Courier New" w:eastAsia="Times New Roman" w:hAnsi="Courier New" w:cs="Courier New"/>
          <w:kern w:val="0"/>
          <w:sz w:val="20"/>
          <w:szCs w:val="20"/>
          <w14:ligatures w14:val="none"/>
        </w:rPr>
        <w:t>Basé sur ce profil pharmacogénomique, quelles interactions potentielles et optimisations de traitement devraient être considérées ?</w:t>
      </w:r>
    </w:p>
    <w:p w14:paraId="05A68498" w14:textId="77777777" w:rsidR="00B74705" w:rsidRPr="00B74705" w:rsidRDefault="00B74705" w:rsidP="00B747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705">
        <w:rPr>
          <w:rFonts w:ascii="Times New Roman" w:eastAsia="Times New Roman" w:hAnsi="Times New Roman" w:cs="Times New Roman"/>
          <w:b/>
          <w:bCs/>
          <w:kern w:val="0"/>
          <w:sz w:val="27"/>
          <w:szCs w:val="27"/>
          <w14:ligatures w14:val="none"/>
        </w:rPr>
        <w:t>B.4 Interprétation des Résultats IA</w:t>
      </w:r>
    </w:p>
    <w:p w14:paraId="60395BA9"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ATTENTION SYSTÈME — RÈGLES D'INTERPRÉTATION</w:t>
      </w:r>
      <w:r w:rsidRPr="00B74705">
        <w:rPr>
          <w:rFonts w:ascii="Times New Roman" w:eastAsia="Times New Roman" w:hAnsi="Times New Roman" w:cs="Times New Roman"/>
          <w:kern w:val="0"/>
          <w14:ligatures w14:val="none"/>
        </w:rPr>
        <w:t xml:space="preserve"> • Toujours vérifier les suggestions IA avec la littérature primaire • Considérer le contexte clinique complet • Discuter avec le patient avant tout changement • Documenter le raisonnement pharmacogénomique</w:t>
      </w:r>
    </w:p>
    <w:p w14:paraId="137E5530"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64EC1C8B">
          <v:rect id="_x0000_i1065" alt="" style="width:468pt;height:.05pt;mso-width-percent:0;mso-height-percent:0;mso-width-percent:0;mso-height-percent:0" o:hralign="center" o:hrstd="t" o:hr="t" fillcolor="#a0a0a0" stroked="f"/>
        </w:pict>
      </w:r>
    </w:p>
    <w:p w14:paraId="7096D067"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Ressources d'Urgence — France</w:t>
      </w:r>
    </w:p>
    <w:p w14:paraId="64C5E19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EN CAS D'URGENCE MÉDICALE : 15 (SAMU) ou 112</w:t>
      </w:r>
    </w:p>
    <w:p w14:paraId="166B9C4C"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lastRenderedPageBreak/>
        <w:t>Lignes d'Écoute :</w:t>
      </w:r>
      <w:r w:rsidRPr="00B74705">
        <w:rPr>
          <w:rFonts w:ascii="Times New Roman" w:eastAsia="Times New Roman" w:hAnsi="Times New Roman" w:cs="Times New Roman"/>
          <w:kern w:val="0"/>
          <w14:ligatures w14:val="none"/>
        </w:rPr>
        <w:t xml:space="preserve"> • SOS Amitié : 09 72 39 40 50 • Fil Santé Jeunes : 0 800 235 236 • Drogues Info Service : 0 800 23 13 13 • Alcool Info Service : 0 980 980 930</w:t>
      </w:r>
    </w:p>
    <w:p w14:paraId="3957C58F"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Centres d'Addictologie (CSAPA) :</w:t>
      </w:r>
      <w:r w:rsidRPr="00B74705">
        <w:rPr>
          <w:rFonts w:ascii="Times New Roman" w:eastAsia="Times New Roman" w:hAnsi="Times New Roman" w:cs="Times New Roman"/>
          <w:kern w:val="0"/>
          <w14:ligatures w14:val="none"/>
        </w:rPr>
        <w:t xml:space="preserve"> Consultez votre médecin traitant ou l'annuaire santé pour le centre le plus proche.</w:t>
      </w:r>
    </w:p>
    <w:p w14:paraId="7742D065"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17210427">
          <v:rect id="_x0000_i1064" alt="" style="width:468pt;height:.05pt;mso-width-percent:0;mso-height-percent:0;mso-width-percent:0;mso-height-percent:0" o:hralign="center" o:hrstd="t" o:hr="t" fillcolor="#a0a0a0" stroked="f"/>
        </w:pict>
      </w:r>
    </w:p>
    <w:p w14:paraId="59419D8A" w14:textId="77777777" w:rsidR="00B74705" w:rsidRPr="00B74705" w:rsidRDefault="00B74705" w:rsidP="00B747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705">
        <w:rPr>
          <w:rFonts w:ascii="Times New Roman" w:eastAsia="Times New Roman" w:hAnsi="Times New Roman" w:cs="Times New Roman"/>
          <w:b/>
          <w:bCs/>
          <w:kern w:val="0"/>
          <w:sz w:val="36"/>
          <w:szCs w:val="36"/>
          <w14:ligatures w14:val="none"/>
        </w:rPr>
        <w:t>Mot de la Fin</w:t>
      </w:r>
    </w:p>
    <w:p w14:paraId="454591B9"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JOURNAL DE L'ARCHITECTE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2"/>
      </w:tblGrid>
      <w:tr w:rsidR="00B74705" w:rsidRPr="00B74705" w14:paraId="6B025848" w14:textId="77777777">
        <w:trPr>
          <w:tblHeader/>
          <w:tblCellSpacing w:w="15" w:type="dxa"/>
        </w:trPr>
        <w:tc>
          <w:tcPr>
            <w:tcW w:w="0" w:type="auto"/>
            <w:vAlign w:val="center"/>
            <w:hideMark/>
          </w:tcPr>
          <w:p w14:paraId="18F430D7" w14:textId="77777777" w:rsidR="00B74705" w:rsidRPr="00B74705" w:rsidRDefault="00B74705" w:rsidP="00B74705">
            <w:pPr>
              <w:spacing w:after="0" w:line="240" w:lineRule="auto"/>
              <w:jc w:val="center"/>
              <w:rPr>
                <w:rFonts w:ascii="Times New Roman" w:eastAsia="Times New Roman" w:hAnsi="Times New Roman" w:cs="Times New Roman"/>
                <w:b/>
                <w:bCs/>
                <w:kern w:val="0"/>
                <w14:ligatures w14:val="none"/>
              </w:rPr>
            </w:pPr>
            <w:r w:rsidRPr="00B74705">
              <w:rPr>
                <w:rFonts w:ascii="Times New Roman" w:eastAsia="Times New Roman" w:hAnsi="Times New Roman" w:cs="Times New Roman"/>
                <w:b/>
                <w:bCs/>
                <w:kern w:val="0"/>
                <w14:ligatures w14:val="none"/>
              </w:rPr>
              <w:t>Vous n'êtes pas cassé.</w:t>
            </w:r>
          </w:p>
        </w:tc>
      </w:tr>
      <w:tr w:rsidR="00B74705" w:rsidRPr="00B74705" w14:paraId="615C42AC" w14:textId="77777777">
        <w:trPr>
          <w:tblCellSpacing w:w="15" w:type="dxa"/>
        </w:trPr>
        <w:tc>
          <w:tcPr>
            <w:tcW w:w="0" w:type="auto"/>
            <w:vAlign w:val="center"/>
            <w:hideMark/>
          </w:tcPr>
          <w:p w14:paraId="5401BA7D"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Vous exécutez un code qui n'a pas été optimisé pour votre matériel.</w:t>
            </w:r>
          </w:p>
        </w:tc>
      </w:tr>
      <w:tr w:rsidR="00B74705" w:rsidRPr="00B74705" w14:paraId="0195021C" w14:textId="77777777">
        <w:trPr>
          <w:tblCellSpacing w:w="15" w:type="dxa"/>
        </w:trPr>
        <w:tc>
          <w:tcPr>
            <w:tcW w:w="0" w:type="auto"/>
            <w:vAlign w:val="center"/>
            <w:hideMark/>
          </w:tcPr>
          <w:p w14:paraId="2B76A497"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Ce livre est votre manuel de débogage.</w:t>
            </w:r>
          </w:p>
        </w:tc>
      </w:tr>
      <w:tr w:rsidR="00B74705" w:rsidRPr="00B74705" w14:paraId="324F0301" w14:textId="77777777">
        <w:trPr>
          <w:tblCellSpacing w:w="15" w:type="dxa"/>
        </w:trPr>
        <w:tc>
          <w:tcPr>
            <w:tcW w:w="0" w:type="auto"/>
            <w:vAlign w:val="center"/>
            <w:hideMark/>
          </w:tcPr>
          <w:p w14:paraId="4C7EAA10"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Avec ces informations, vous pouvez travailler avec vos médecins pour</w:t>
            </w:r>
          </w:p>
        </w:tc>
      </w:tr>
      <w:tr w:rsidR="00B74705" w:rsidRPr="00B74705" w14:paraId="6B59623D" w14:textId="77777777">
        <w:trPr>
          <w:tblCellSpacing w:w="15" w:type="dxa"/>
        </w:trPr>
        <w:tc>
          <w:tcPr>
            <w:tcW w:w="0" w:type="auto"/>
            <w:vAlign w:val="center"/>
            <w:hideMark/>
          </w:tcPr>
          <w:p w14:paraId="1C32FE7A"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construire un système qui fonctionne — pour VOUS, spécifiquement pour VOTRE matériel.</w:t>
            </w:r>
          </w:p>
        </w:tc>
      </w:tr>
      <w:tr w:rsidR="00B74705" w:rsidRPr="00B74705" w14:paraId="1CC9ECC8" w14:textId="77777777">
        <w:trPr>
          <w:tblCellSpacing w:w="15" w:type="dxa"/>
        </w:trPr>
        <w:tc>
          <w:tcPr>
            <w:tcW w:w="0" w:type="auto"/>
            <w:vAlign w:val="center"/>
            <w:hideMark/>
          </w:tcPr>
          <w:p w14:paraId="5F1AA8C8"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C'est la Souveraineté Neurogénomique.</w:t>
            </w:r>
          </w:p>
        </w:tc>
      </w:tr>
      <w:tr w:rsidR="00B74705" w:rsidRPr="00B74705" w14:paraId="117ECAEA" w14:textId="77777777">
        <w:trPr>
          <w:tblCellSpacing w:w="15" w:type="dxa"/>
        </w:trPr>
        <w:tc>
          <w:tcPr>
            <w:tcW w:w="0" w:type="auto"/>
            <w:vAlign w:val="center"/>
            <w:hideMark/>
          </w:tcPr>
          <w:p w14:paraId="098D6C42"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Bienvenue dans votre récupération.</w:t>
            </w:r>
          </w:p>
        </w:tc>
      </w:tr>
      <w:tr w:rsidR="00B74705" w:rsidRPr="00B74705" w14:paraId="20B60F6B" w14:textId="77777777">
        <w:trPr>
          <w:tblCellSpacing w:w="15" w:type="dxa"/>
        </w:trPr>
        <w:tc>
          <w:tcPr>
            <w:tcW w:w="0" w:type="auto"/>
            <w:vAlign w:val="center"/>
            <w:hideMark/>
          </w:tcPr>
          <w:p w14:paraId="483B298E"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 J.R. Token</w:t>
            </w:r>
          </w:p>
        </w:tc>
      </w:tr>
      <w:tr w:rsidR="00B74705" w:rsidRPr="00B74705" w14:paraId="04D2B457" w14:textId="77777777">
        <w:trPr>
          <w:tblCellSpacing w:w="15" w:type="dxa"/>
        </w:trPr>
        <w:tc>
          <w:tcPr>
            <w:tcW w:w="0" w:type="auto"/>
            <w:vAlign w:val="center"/>
            <w:hideMark/>
          </w:tcPr>
          <w:p w14:paraId="037A45C1" w14:textId="77777777" w:rsidR="00B74705" w:rsidRPr="00B74705" w:rsidRDefault="00B74705" w:rsidP="00B74705">
            <w:pPr>
              <w:spacing w:after="0"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kern w:val="0"/>
                <w14:ligatures w14:val="none"/>
              </w:rPr>
              <w:t>Architecte Système Principal</w:t>
            </w:r>
          </w:p>
        </w:tc>
      </w:tr>
    </w:tbl>
    <w:p w14:paraId="225D1C10"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603ADF81">
          <v:rect id="_x0000_i1063" alt="" style="width:468pt;height:.05pt;mso-width-percent:0;mso-height-percent:0;mso-width-percent:0;mso-height-percent:0" o:hralign="center" o:hrstd="t" o:hr="t" fillcolor="#a0a0a0" stroked="f"/>
        </w:pict>
      </w:r>
    </w:p>
    <w:p w14:paraId="690A5CF7"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Apple Color Emoji" w:eastAsia="Times New Roman" w:hAnsi="Apple Color Emoji" w:cs="Apple Color Emoji"/>
          <w:b/>
          <w:bCs/>
          <w:kern w:val="0"/>
          <w14:ligatures w14:val="none"/>
        </w:rPr>
        <w:t>⚠️</w:t>
      </w:r>
      <w:r w:rsidRPr="00B74705">
        <w:rPr>
          <w:rFonts w:ascii="Times New Roman" w:eastAsia="Times New Roman" w:hAnsi="Times New Roman" w:cs="Times New Roman"/>
          <w:b/>
          <w:bCs/>
          <w:kern w:val="0"/>
          <w14:ligatures w14:val="none"/>
        </w:rPr>
        <w:t xml:space="preserve"> CECI EST UN MANUEL DE RÉDUCTION DES RISQUES — PAS UN AVIS MÉDICAL </w:t>
      </w:r>
      <w:r w:rsidRPr="00B74705">
        <w:rPr>
          <w:rFonts w:ascii="Apple Color Emoji" w:eastAsia="Times New Roman" w:hAnsi="Apple Color Emoji" w:cs="Apple Color Emoji"/>
          <w:b/>
          <w:bCs/>
          <w:kern w:val="0"/>
          <w14:ligatures w14:val="none"/>
        </w:rPr>
        <w:t>⚠️</w:t>
      </w:r>
    </w:p>
    <w:p w14:paraId="4D9D50B0"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Consultez toujours un professionnel de santé qualifié avant de modifier vos médicaments ou votre régime de suppléments.</w:t>
      </w:r>
    </w:p>
    <w:p w14:paraId="272D4B6D" w14:textId="77777777" w:rsidR="00B74705" w:rsidRPr="00B74705" w:rsidRDefault="007E45D3" w:rsidP="00B74705">
      <w:pPr>
        <w:spacing w:after="0" w:line="240" w:lineRule="auto"/>
        <w:rPr>
          <w:rFonts w:ascii="Times New Roman" w:eastAsia="Times New Roman" w:hAnsi="Times New Roman" w:cs="Times New Roman"/>
          <w:kern w:val="0"/>
          <w14:ligatures w14:val="none"/>
        </w:rPr>
      </w:pPr>
      <w:r w:rsidRPr="007E45D3">
        <w:rPr>
          <w:rFonts w:ascii="Times New Roman" w:eastAsia="Times New Roman" w:hAnsi="Times New Roman" w:cs="Times New Roman"/>
          <w:noProof/>
          <w:kern w:val="0"/>
        </w:rPr>
        <w:pict w14:anchorId="71BF9187">
          <v:rect id="_x0000_i1062" alt="" style="width:468pt;height:.05pt;mso-width-percent:0;mso-height-percent:0;mso-width-percent:0;mso-height-percent:0" o:hralign="center" o:hrstd="t" o:hr="t" fillcolor="#a0a0a0" stroked="f"/>
        </w:pict>
      </w:r>
    </w:p>
    <w:p w14:paraId="0FB3661F"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b/>
          <w:bCs/>
          <w:kern w:val="0"/>
          <w14:ligatures w14:val="none"/>
        </w:rPr>
        <w:t>© J.R. Token</w:t>
      </w:r>
    </w:p>
    <w:p w14:paraId="70617EB6"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THE RECOVERY KERNEL : Le Guide de l'Architecte Système pour Vaincre l'Addiction</w:t>
      </w:r>
    </w:p>
    <w:p w14:paraId="674708F2" w14:textId="77777777" w:rsidR="00B74705" w:rsidRPr="00B74705" w:rsidRDefault="00B74705" w:rsidP="00B74705">
      <w:pPr>
        <w:spacing w:before="100" w:beforeAutospacing="1" w:after="100" w:afterAutospacing="1" w:line="240" w:lineRule="auto"/>
        <w:rPr>
          <w:rFonts w:ascii="Times New Roman" w:eastAsia="Times New Roman" w:hAnsi="Times New Roman" w:cs="Times New Roman"/>
          <w:kern w:val="0"/>
          <w14:ligatures w14:val="none"/>
        </w:rPr>
      </w:pPr>
      <w:r w:rsidRPr="00B74705">
        <w:rPr>
          <w:rFonts w:ascii="Times New Roman" w:eastAsia="Times New Roman" w:hAnsi="Times New Roman" w:cs="Times New Roman"/>
          <w:i/>
          <w:iCs/>
          <w:kern w:val="0"/>
          <w14:ligatures w14:val="none"/>
        </w:rPr>
        <w:t>Édition Française</w:t>
      </w:r>
    </w:p>
    <w:p w14:paraId="79D4ECCC" w14:textId="77777777" w:rsidR="001A21E2" w:rsidRDefault="001A21E2"/>
    <w:sectPr w:rsidR="001A2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35677"/>
    <w:multiLevelType w:val="multilevel"/>
    <w:tmpl w:val="C2B08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4E5700"/>
    <w:multiLevelType w:val="multilevel"/>
    <w:tmpl w:val="A52A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06D22"/>
    <w:multiLevelType w:val="multilevel"/>
    <w:tmpl w:val="E87A4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A52E57"/>
    <w:multiLevelType w:val="multilevel"/>
    <w:tmpl w:val="FC90E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5235376">
    <w:abstractNumId w:val="1"/>
  </w:num>
  <w:num w:numId="2" w16cid:durableId="873347292">
    <w:abstractNumId w:val="2"/>
  </w:num>
  <w:num w:numId="3" w16cid:durableId="913010557">
    <w:abstractNumId w:val="0"/>
  </w:num>
  <w:num w:numId="4" w16cid:durableId="19211405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05"/>
    <w:rsid w:val="001A21E2"/>
    <w:rsid w:val="005A0B99"/>
    <w:rsid w:val="007E45D3"/>
    <w:rsid w:val="00872189"/>
    <w:rsid w:val="00B74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709E9"/>
  <w15:chartTrackingRefBased/>
  <w15:docId w15:val="{20D32042-21B8-5040-BA96-BEAA0DDFF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4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4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4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4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705"/>
    <w:rPr>
      <w:rFonts w:eastAsiaTheme="majorEastAsia" w:cstheme="majorBidi"/>
      <w:color w:val="272727" w:themeColor="text1" w:themeTint="D8"/>
    </w:rPr>
  </w:style>
  <w:style w:type="paragraph" w:styleId="Title">
    <w:name w:val="Title"/>
    <w:basedOn w:val="Normal"/>
    <w:next w:val="Normal"/>
    <w:link w:val="TitleChar"/>
    <w:uiPriority w:val="10"/>
    <w:qFormat/>
    <w:rsid w:val="00B74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705"/>
    <w:pPr>
      <w:spacing w:before="160"/>
      <w:jc w:val="center"/>
    </w:pPr>
    <w:rPr>
      <w:i/>
      <w:iCs/>
      <w:color w:val="404040" w:themeColor="text1" w:themeTint="BF"/>
    </w:rPr>
  </w:style>
  <w:style w:type="character" w:customStyle="1" w:styleId="QuoteChar">
    <w:name w:val="Quote Char"/>
    <w:basedOn w:val="DefaultParagraphFont"/>
    <w:link w:val="Quote"/>
    <w:uiPriority w:val="29"/>
    <w:rsid w:val="00B74705"/>
    <w:rPr>
      <w:i/>
      <w:iCs/>
      <w:color w:val="404040" w:themeColor="text1" w:themeTint="BF"/>
    </w:rPr>
  </w:style>
  <w:style w:type="paragraph" w:styleId="ListParagraph">
    <w:name w:val="List Paragraph"/>
    <w:basedOn w:val="Normal"/>
    <w:uiPriority w:val="34"/>
    <w:qFormat/>
    <w:rsid w:val="00B74705"/>
    <w:pPr>
      <w:ind w:left="720"/>
      <w:contextualSpacing/>
    </w:pPr>
  </w:style>
  <w:style w:type="character" w:styleId="IntenseEmphasis">
    <w:name w:val="Intense Emphasis"/>
    <w:basedOn w:val="DefaultParagraphFont"/>
    <w:uiPriority w:val="21"/>
    <w:qFormat/>
    <w:rsid w:val="00B74705"/>
    <w:rPr>
      <w:i/>
      <w:iCs/>
      <w:color w:val="0F4761" w:themeColor="accent1" w:themeShade="BF"/>
    </w:rPr>
  </w:style>
  <w:style w:type="paragraph" w:styleId="IntenseQuote">
    <w:name w:val="Intense Quote"/>
    <w:basedOn w:val="Normal"/>
    <w:next w:val="Normal"/>
    <w:link w:val="IntenseQuoteChar"/>
    <w:uiPriority w:val="30"/>
    <w:qFormat/>
    <w:rsid w:val="00B74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705"/>
    <w:rPr>
      <w:i/>
      <w:iCs/>
      <w:color w:val="0F4761" w:themeColor="accent1" w:themeShade="BF"/>
    </w:rPr>
  </w:style>
  <w:style w:type="character" w:styleId="IntenseReference">
    <w:name w:val="Intense Reference"/>
    <w:basedOn w:val="DefaultParagraphFont"/>
    <w:uiPriority w:val="32"/>
    <w:qFormat/>
    <w:rsid w:val="00B74705"/>
    <w:rPr>
      <w:b/>
      <w:bCs/>
      <w:smallCaps/>
      <w:color w:val="0F4761" w:themeColor="accent1" w:themeShade="BF"/>
      <w:spacing w:val="5"/>
    </w:rPr>
  </w:style>
  <w:style w:type="paragraph" w:customStyle="1" w:styleId="msonormal0">
    <w:name w:val="msonormal"/>
    <w:basedOn w:val="Normal"/>
    <w:rsid w:val="00B7470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747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74705"/>
    <w:rPr>
      <w:i/>
      <w:iCs/>
    </w:rPr>
  </w:style>
  <w:style w:type="character" w:styleId="Strong">
    <w:name w:val="Strong"/>
    <w:basedOn w:val="DefaultParagraphFont"/>
    <w:uiPriority w:val="22"/>
    <w:qFormat/>
    <w:rsid w:val="00B74705"/>
    <w:rPr>
      <w:b/>
      <w:bCs/>
    </w:rPr>
  </w:style>
  <w:style w:type="character" w:styleId="Hyperlink">
    <w:name w:val="Hyperlink"/>
    <w:basedOn w:val="DefaultParagraphFont"/>
    <w:uiPriority w:val="99"/>
    <w:semiHidden/>
    <w:unhideWhenUsed/>
    <w:rsid w:val="00B74705"/>
    <w:rPr>
      <w:color w:val="0000FF"/>
      <w:u w:val="single"/>
    </w:rPr>
  </w:style>
  <w:style w:type="character" w:styleId="FollowedHyperlink">
    <w:name w:val="FollowedHyperlink"/>
    <w:basedOn w:val="DefaultParagraphFont"/>
    <w:uiPriority w:val="99"/>
    <w:semiHidden/>
    <w:unhideWhenUsed/>
    <w:rsid w:val="00B74705"/>
    <w:rPr>
      <w:color w:val="800080"/>
      <w:u w:val="single"/>
    </w:rPr>
  </w:style>
  <w:style w:type="paragraph" w:styleId="HTMLPreformatted">
    <w:name w:val="HTML Preformatted"/>
    <w:basedOn w:val="Normal"/>
    <w:link w:val="HTMLPreformattedChar"/>
    <w:uiPriority w:val="99"/>
    <w:semiHidden/>
    <w:unhideWhenUsed/>
    <w:rsid w:val="00B74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7470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747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744e82da-a13d-477e-8c40-96812b8f0b30" TargetMode="External"/><Relationship Id="rId13" Type="http://schemas.openxmlformats.org/officeDocument/2006/relationships/hyperlink" Target="https://claude.ai/chat/744e82da-a13d-477e-8c40-96812b8f0b3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ude.ai/chat/744e82da-a13d-477e-8c40-96812b8f0b30" TargetMode="External"/><Relationship Id="rId12" Type="http://schemas.openxmlformats.org/officeDocument/2006/relationships/hyperlink" Target="https://claude.ai/chat/744e82da-a13d-477e-8c40-96812b8f0b3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aude.ai/chat/744e82da-a13d-477e-8c40-96812b8f0b30" TargetMode="External"/><Relationship Id="rId1" Type="http://schemas.openxmlformats.org/officeDocument/2006/relationships/numbering" Target="numbering.xml"/><Relationship Id="rId6" Type="http://schemas.openxmlformats.org/officeDocument/2006/relationships/hyperlink" Target="https://claude.ai/chat/744e82da-a13d-477e-8c40-96812b8f0b30" TargetMode="External"/><Relationship Id="rId11" Type="http://schemas.openxmlformats.org/officeDocument/2006/relationships/hyperlink" Target="https://claude.ai/chat/744e82da-a13d-477e-8c40-96812b8f0b30" TargetMode="External"/><Relationship Id="rId5" Type="http://schemas.openxmlformats.org/officeDocument/2006/relationships/hyperlink" Target="https://claude.ai/chat/744e82da-a13d-477e-8c40-96812b8f0b30" TargetMode="External"/><Relationship Id="rId15" Type="http://schemas.openxmlformats.org/officeDocument/2006/relationships/hyperlink" Target="https://claude.ai/chat/744e82da-a13d-477e-8c40-96812b8f0b30" TargetMode="External"/><Relationship Id="rId10" Type="http://schemas.openxmlformats.org/officeDocument/2006/relationships/hyperlink" Target="https://claude.ai/chat/744e82da-a13d-477e-8c40-96812b8f0b30" TargetMode="External"/><Relationship Id="rId4" Type="http://schemas.openxmlformats.org/officeDocument/2006/relationships/webSettings" Target="webSettings.xml"/><Relationship Id="rId9" Type="http://schemas.openxmlformats.org/officeDocument/2006/relationships/hyperlink" Target="https://claude.ai/chat/744e82da-a13d-477e-8c40-96812b8f0b30" TargetMode="External"/><Relationship Id="rId14" Type="http://schemas.openxmlformats.org/officeDocument/2006/relationships/hyperlink" Target="https://claude.ai/chat/744e82da-a13d-477e-8c40-96812b8f0b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7709</Words>
  <Characters>44867</Characters>
  <Application>Microsoft Office Word</Application>
  <DocSecurity>0</DocSecurity>
  <Lines>1068</Lines>
  <Paragraphs>691</Paragraphs>
  <ScaleCrop>false</ScaleCrop>
  <Company/>
  <LinksUpToDate>false</LinksUpToDate>
  <CharactersWithSpaces>51885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Robbins</dc:creator>
  <cp:keywords/>
  <dc:description/>
  <cp:lastModifiedBy>Justin Robbins</cp:lastModifiedBy>
  <cp:revision>1</cp:revision>
  <dcterms:created xsi:type="dcterms:W3CDTF">2025-12-28T13:38:00Z</dcterms:created>
  <dcterms:modified xsi:type="dcterms:W3CDTF">2025-12-28T13:38:00Z</dcterms:modified>
</cp:coreProperties>
</file>