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068C"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THE RECOVERY KERNEL</w:t>
      </w:r>
    </w:p>
    <w:p w14:paraId="3A0E15B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MS Mincho" w:eastAsia="MS Mincho" w:hAnsi="MS Mincho" w:cs="MS Mincho" w:hint="eastAsia"/>
          <w:kern w:val="0"/>
          <w14:ligatures w14:val="none"/>
        </w:rPr>
        <w:t>━━━━━━━━━━━━━━━━━━━━━━━━━━</w:t>
      </w:r>
      <w:r w:rsidRPr="009810E5">
        <w:rPr>
          <w:rFonts w:ascii="MS Mincho" w:eastAsia="MS Mincho" w:hAnsi="MS Mincho" w:cs="MS Mincho"/>
          <w:kern w:val="0"/>
          <w14:ligatures w14:val="none"/>
        </w:rPr>
        <w:t>━</w:t>
      </w:r>
    </w:p>
    <w:p w14:paraId="49647DD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La Guida dell'Architetto di Sistemi per Superare la Dipendenza</w:t>
      </w:r>
    </w:p>
    <w:p w14:paraId="2F3CE2A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Protocolli di Recupero Farmacogenomici per i Resistenti al Trattamento</w:t>
      </w:r>
    </w:p>
    <w:p w14:paraId="4DCFB49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J.R. TOKEN</w:t>
      </w:r>
    </w:p>
    <w:p w14:paraId="3450378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Architetto di Sistemi Senior</w:t>
      </w:r>
    </w:p>
    <w:p w14:paraId="04704AF6"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37AE986F">
          <v:rect id="_x0000_i1083" alt="" style="width:468pt;height:.05pt;mso-width-percent:0;mso-height-percent:0;mso-width-percent:0;mso-height-percent:0" o:hralign="center" o:hrstd="t" o:hr="t" fillcolor="#a0a0a0" stroked="f"/>
        </w:pict>
      </w:r>
    </w:p>
    <w:p w14:paraId="62F862F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QUESTO È UN MANUALE DI RIDUZIONE DEL DANNO — NON UN CONSIGLIO MEDICO </w:t>
      </w:r>
      <w:r w:rsidRPr="009810E5">
        <w:rPr>
          <w:rFonts w:ascii="Apple Color Emoji" w:eastAsia="Times New Roman" w:hAnsi="Apple Color Emoji" w:cs="Apple Color Emoji"/>
          <w:b/>
          <w:bCs/>
          <w:kern w:val="0"/>
          <w14:ligatures w14:val="none"/>
        </w:rPr>
        <w:t>⚠️</w:t>
      </w:r>
    </w:p>
    <w:p w14:paraId="6DF9358E"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5F779D8B">
          <v:rect id="_x0000_i1082" alt="" style="width:468pt;height:.05pt;mso-width-percent:0;mso-height-percent:0;mso-width-percent:0;mso-height-percent:0" o:hralign="center" o:hrstd="t" o:hr="t" fillcolor="#a0a0a0" stroked="f"/>
        </w:pict>
      </w:r>
    </w:p>
    <w:p w14:paraId="0C887FA7"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DEDICA: EREDITÀ DEL SISTEMA</w:t>
      </w:r>
    </w:p>
    <w:p w14:paraId="6B95CEE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Ai sistemi che non siamo riusciti a riavviare.</w:t>
      </w:r>
    </w:p>
    <w:p w14:paraId="6D2F7EAF"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133DBA03">
          <v:rect id="_x0000_i1081" alt="" style="width:468pt;height:.05pt;mso-width-percent:0;mso-height-percent:0;mso-width-percent:0;mso-height-percent:0" o:hralign="center" o:hrstd="t" o:hr="t" fillcolor="#a0a0a0" stroked="f"/>
        </w:pict>
      </w:r>
    </w:p>
    <w:p w14:paraId="521BE8B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A mio cugino, </w:t>
      </w:r>
      <w:r w:rsidRPr="009810E5">
        <w:rPr>
          <w:rFonts w:ascii="Times New Roman" w:eastAsia="Times New Roman" w:hAnsi="Times New Roman" w:cs="Times New Roman"/>
          <w:b/>
          <w:bCs/>
          <w:kern w:val="0"/>
          <w14:ligatures w14:val="none"/>
        </w:rPr>
        <w:t>J.P.</w:t>
      </w:r>
    </w:p>
    <w:p w14:paraId="13BAEEE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Perso sotto il peso combinato di oppiacei, metadone e cancro.</w:t>
      </w:r>
    </w:p>
    <w:p w14:paraId="056AC4A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Eri offline molto prima del tuo tempo.</w:t>
      </w:r>
    </w:p>
    <w:p w14:paraId="6C079DE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A mia cugina di secondo grado, </w:t>
      </w:r>
      <w:r w:rsidRPr="009810E5">
        <w:rPr>
          <w:rFonts w:ascii="Times New Roman" w:eastAsia="Times New Roman" w:hAnsi="Times New Roman" w:cs="Times New Roman"/>
          <w:b/>
          <w:bCs/>
          <w:kern w:val="0"/>
          <w14:ligatures w14:val="none"/>
        </w:rPr>
        <w:t>A.C.</w:t>
      </w:r>
    </w:p>
    <w:p w14:paraId="7B4263B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Al silenzio della stanza d'ospedale e ai residui di carbone di un salvataggio arrivato troppo tardi.</w:t>
      </w:r>
    </w:p>
    <w:p w14:paraId="3CF83C6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Ho visto le conseguenze dell'overdose, e ho visto un sistema che sapeva come svuotare uno stomaco</w:t>
      </w:r>
    </w:p>
    <w:p w14:paraId="1A32C61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ma non sapeva come guarire un'anima.</w:t>
      </w:r>
    </w:p>
    <w:p w14:paraId="28E62571"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0DC1B1F5">
          <v:rect id="_x0000_i1080" alt="" style="width:468pt;height:.05pt;mso-width-percent:0;mso-height-percent:0;mso-width-percent:0;mso-height-percent:0" o:hralign="center" o:hrstd="t" o:hr="t" fillcolor="#a0a0a0" stroked="f"/>
        </w:pict>
      </w:r>
    </w:p>
    <w:p w14:paraId="203725A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Alle vittime silenziose.</w:t>
      </w:r>
    </w:p>
    <w:p w14:paraId="7EAC946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lastRenderedPageBreak/>
        <w:t xml:space="preserve">A </w:t>
      </w:r>
      <w:r w:rsidRPr="009810E5">
        <w:rPr>
          <w:rFonts w:ascii="Times New Roman" w:eastAsia="Times New Roman" w:hAnsi="Times New Roman" w:cs="Times New Roman"/>
          <w:b/>
          <w:bCs/>
          <w:i/>
          <w:iCs/>
          <w:kern w:val="0"/>
          <w14:ligatures w14:val="none"/>
        </w:rPr>
        <w:t>J.S. di Crown Point</w:t>
      </w:r>
      <w:r w:rsidRPr="009810E5">
        <w:rPr>
          <w:rFonts w:ascii="Times New Roman" w:eastAsia="Times New Roman" w:hAnsi="Times New Roman" w:cs="Times New Roman"/>
          <w:i/>
          <w:iCs/>
          <w:kern w:val="0"/>
          <w14:ligatures w14:val="none"/>
        </w:rPr>
        <w:t xml:space="preserve"> e </w:t>
      </w:r>
      <w:r w:rsidRPr="009810E5">
        <w:rPr>
          <w:rFonts w:ascii="Times New Roman" w:eastAsia="Times New Roman" w:hAnsi="Times New Roman" w:cs="Times New Roman"/>
          <w:b/>
          <w:bCs/>
          <w:i/>
          <w:iCs/>
          <w:kern w:val="0"/>
          <w14:ligatures w14:val="none"/>
        </w:rPr>
        <w:t>G.F. di Phoenix, Arizona</w:t>
      </w:r>
      <w:r w:rsidRPr="009810E5">
        <w:rPr>
          <w:rFonts w:ascii="Times New Roman" w:eastAsia="Times New Roman" w:hAnsi="Times New Roman" w:cs="Times New Roman"/>
          <w:i/>
          <w:iCs/>
          <w:kern w:val="0"/>
          <w14:ligatures w14:val="none"/>
        </w:rPr>
        <w:t>.</w:t>
      </w:r>
    </w:p>
    <w:p w14:paraId="3DC6A66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A coloro la cui morte ho scoperto solo dai rapporti post-mortem.</w:t>
      </w:r>
    </w:p>
    <w:p w14:paraId="08EAE66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Agli amici che hanno lottato in silenzio e hanno terminato i propri processi perché il dolore di continuare era troppo grande.</w:t>
      </w:r>
    </w:p>
    <w:p w14:paraId="3695081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 xml:space="preserve">A </w:t>
      </w:r>
      <w:r w:rsidRPr="009810E5">
        <w:rPr>
          <w:rFonts w:ascii="Times New Roman" w:eastAsia="Times New Roman" w:hAnsi="Times New Roman" w:cs="Times New Roman"/>
          <w:b/>
          <w:bCs/>
          <w:i/>
          <w:iCs/>
          <w:kern w:val="0"/>
          <w14:ligatures w14:val="none"/>
        </w:rPr>
        <w:t>C.O. di Hobart, Indiana</w:t>
      </w:r>
    </w:p>
    <w:p w14:paraId="0E63D63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Che ha lasciato questo mondo precipitosamente a causa di un enfisema cronico. Mi hai ispirato a seguire la mia stella polare.</w:t>
      </w:r>
    </w:p>
    <w:p w14:paraId="271E960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Ai Guardiani Analogici.</w:t>
      </w:r>
    </w:p>
    <w:p w14:paraId="5B6DBF3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i/>
          <w:iCs/>
          <w:kern w:val="0"/>
          <w14:ligatures w14:val="none"/>
        </w:rPr>
        <w:t>Winston, Chloe, Gershwin e Princess.</w:t>
      </w:r>
    </w:p>
    <w:p w14:paraId="1C4E724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I miei gatti, che sono rimasti al mio fianco durante la follia mentre i medici testavano le loro "soluzioni" e "rimedi creativi".</w:t>
      </w:r>
    </w:p>
    <w:p w14:paraId="088410C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Voi eravate gli unici a vedere che i farmaci non mi stavano curando —</w:t>
      </w:r>
    </w:p>
    <w:p w14:paraId="4D85429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Stavano solo pacificando chimicamente un sistema impazzito.</w:t>
      </w:r>
    </w:p>
    <w:p w14:paraId="0C597F7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Mi avete ancorato quando la scheda madre si surriscaldava.</w:t>
      </w:r>
    </w:p>
    <w:p w14:paraId="607AD5E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i/>
          <w:iCs/>
          <w:kern w:val="0"/>
          <w14:ligatures w14:val="none"/>
        </w:rPr>
        <w:t>I Feline Felonz</w:t>
      </w:r>
    </w:p>
    <w:p w14:paraId="636E216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Le mie palle di pelo, possiate vivere i vostri giorni nella gioia, nell'amore e nella pace.</w:t>
      </w:r>
    </w:p>
    <w:p w14:paraId="1303E4EE"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51522602">
          <v:rect id="_x0000_i1079" alt="" style="width:468pt;height:.05pt;mso-width-percent:0;mso-height-percent:0;mso-width-percent:0;mso-height-percent:0" o:hralign="center" o:hrstd="t" o:hr="t" fillcolor="#a0a0a0" stroked="f"/>
        </w:pict>
      </w:r>
    </w:p>
    <w:p w14:paraId="17722BA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E infine, al Laboratorio.</w:t>
      </w:r>
    </w:p>
    <w:p w14:paraId="120120B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Per anni, l'industria ci ha trattato come un esperimento e uno spettacolo da baraccone.</w:t>
      </w:r>
    </w:p>
    <w:p w14:paraId="5051337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 xml:space="preserve">Ci hanno detto: </w:t>
      </w:r>
      <w:r w:rsidRPr="009810E5">
        <w:rPr>
          <w:rFonts w:ascii="Times New Roman" w:eastAsia="Times New Roman" w:hAnsi="Times New Roman" w:cs="Times New Roman"/>
          <w:b/>
          <w:bCs/>
          <w:i/>
          <w:iCs/>
          <w:kern w:val="0"/>
          <w14:ligatures w14:val="none"/>
        </w:rPr>
        <w:t>"Eliminerò la causa... ma non il sintomo."</w:t>
      </w:r>
    </w:p>
    <w:p w14:paraId="5631644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Questo libro è il contrario.</w:t>
      </w:r>
    </w:p>
    <w:p w14:paraId="3FDFF8A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Andiamo al laboratorio per vedere cosa c'è sul tavolo.</w:t>
      </w:r>
    </w:p>
    <w:p w14:paraId="0E527C0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Ma questa volta, non stiamo costruendo un mostro chiamato Rocky McBottom</w:t>
      </w:r>
    </w:p>
    <w:p w14:paraId="0D6DDBB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Stiamo recuperando l'umano.</w:t>
      </w:r>
    </w:p>
    <w:p w14:paraId="4A92988D"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287C78B3">
          <v:rect id="_x0000_i1078" alt="" style="width:468pt;height:.05pt;mso-width-percent:0;mso-height-percent:0;mso-width-percent:0;mso-height-percent:0" o:hralign="center" o:hrstd="t" o:hr="t" fillcolor="#a0a0a0" stroked="f"/>
        </w:pict>
      </w:r>
    </w:p>
    <w:p w14:paraId="74F34557"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lastRenderedPageBreak/>
        <w:t>Informazioni sull'Architetto</w:t>
      </w:r>
    </w:p>
    <w:p w14:paraId="33B81EE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Non sono un medico. Sono un Architetto di Sistemi. I medici sono formati per trattare i sintomi. Gli architetti sono formati per fare il debug dei sistemi. Quando si accende la spia del motore della tua auto, un meccanico non copre la spia con del nastro adesivo — diagnostica il guasto sottostante. Eppure, per decenni, è esattamente quello che la psichiatria mi ha fatto: mascherare le spie di avvertimento senza mai guardare sotto il cofano.</w:t>
      </w:r>
    </w:p>
    <w:p w14:paraId="398761C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JR Token</w:t>
      </w:r>
      <w:r w:rsidRPr="009810E5">
        <w:rPr>
          <w:rFonts w:ascii="Times New Roman" w:eastAsia="Times New Roman" w:hAnsi="Times New Roman" w:cs="Times New Roman"/>
          <w:kern w:val="0"/>
          <w14:ligatures w14:val="none"/>
        </w:rPr>
        <w:t xml:space="preserve"> è Architetto di Sistemi Informatici per una grande azienda tecnologica — e l'architetto della propria guarigione.</w:t>
      </w:r>
    </w:p>
    <w:p w14:paraId="19BE2C6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Dopo 15 anni di costosi tentativi ed errori nel sistema tradizionale di salute mentale — un percorso che è costato alle assicurazioni oltre 1,5 milioni di dollari in ricoveri e trattamenti falliti — JR si è reso conto che lo "standard di cura" era difettoso. Aveva provato tutti i farmaci moderni disponibili, con costi di trattamento mensili che raggiungevano gli 8.000 dollari, rimanendo comunque instabile.</w:t>
      </w:r>
    </w:p>
    <w:p w14:paraId="2FB9B4C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Rifiutandosi di accettare questo, JR ha applicato la sua esperienza di ingegneria dei sistemi alla propria biologia. Attraverso un'analisi genetica approfondita, ha sostituito l'approccio "a fucile" con la precisione: scambiando cocktail di sedativi pesanti con un protocollo mirato di integratori specifici e le dosi più basse di farmaci prescrivibili — interventi che hanno richiesto </w:t>
      </w:r>
      <w:r w:rsidRPr="009810E5">
        <w:rPr>
          <w:rFonts w:ascii="Times New Roman" w:eastAsia="Times New Roman" w:hAnsi="Times New Roman" w:cs="Times New Roman"/>
          <w:b/>
          <w:bCs/>
          <w:kern w:val="0"/>
          <w14:ligatures w14:val="none"/>
        </w:rPr>
        <w:t>quindici anni</w:t>
      </w:r>
      <w:r w:rsidRPr="009810E5">
        <w:rPr>
          <w:rFonts w:ascii="Times New Roman" w:eastAsia="Times New Roman" w:hAnsi="Times New Roman" w:cs="Times New Roman"/>
          <w:kern w:val="0"/>
          <w14:ligatures w14:val="none"/>
        </w:rPr>
        <w:t xml:space="preserve"> per essere trovati per tentativi ed errori, ma che avrebbero potuto essere identificati in </w:t>
      </w:r>
      <w:r w:rsidRPr="009810E5">
        <w:rPr>
          <w:rFonts w:ascii="Times New Roman" w:eastAsia="Times New Roman" w:hAnsi="Times New Roman" w:cs="Times New Roman"/>
          <w:b/>
          <w:bCs/>
          <w:kern w:val="0"/>
          <w14:ligatures w14:val="none"/>
        </w:rPr>
        <w:t>settimane</w:t>
      </w:r>
      <w:r w:rsidRPr="009810E5">
        <w:rPr>
          <w:rFonts w:ascii="Times New Roman" w:eastAsia="Times New Roman" w:hAnsi="Times New Roman" w:cs="Times New Roman"/>
          <w:kern w:val="0"/>
          <w14:ligatures w14:val="none"/>
        </w:rPr>
        <w:t xml:space="preserve"> con i giusti test genetici. Ha testato il suo protocollo per 10 anni per documentarne il successo.</w:t>
      </w:r>
    </w:p>
    <w:p w14:paraId="0259BFF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Nota dell'Autore:</w:t>
      </w:r>
      <w:r w:rsidRPr="009810E5">
        <w:rPr>
          <w:rFonts w:ascii="Times New Roman" w:eastAsia="Times New Roman" w:hAnsi="Times New Roman" w:cs="Times New Roman"/>
          <w:kern w:val="0"/>
          <w14:ligatures w14:val="none"/>
        </w:rPr>
        <w:t xml:space="preserve"> Il modello Kernel è nato come metafora tratta dalla mia vita temporanea a Valparaiso — un mix di casa di transizione, un festival del popcorn, e il modo in cui il kernel di un computer determina cosa si avvia e cosa si blocca. Quello che segue è un framework personale ispirato da quelle esperienze, che colloco nella ricerca esistente quando possibile.</w:t>
      </w:r>
    </w:p>
    <w:p w14:paraId="48272A7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RESISTENTE AL TRATTAMENTO</w:t>
      </w:r>
      <w:r w:rsidRPr="009810E5">
        <w:rPr>
          <w:rFonts w:ascii="Times New Roman" w:eastAsia="Times New Roman" w:hAnsi="Times New Roman" w:cs="Times New Roman"/>
          <w:kern w:val="0"/>
          <w14:ligatures w14:val="none"/>
        </w:rPr>
        <w:t xml:space="preserve"> Se il sistema tradizionale avesse funzionato per Lei, non starebbe leggendo questo. È qui perché — come me — è resistente al trattamento. Non perché è rotto, ma perché Le hanno dato il manuale di riparazione sbagliato.</w:t>
      </w:r>
    </w:p>
    <w:p w14:paraId="21961EF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IL KERNEL</w:t>
      </w:r>
      <w:r w:rsidRPr="009810E5">
        <w:rPr>
          <w:rFonts w:ascii="Times New Roman" w:eastAsia="Times New Roman" w:hAnsi="Times New Roman" w:cs="Times New Roman"/>
          <w:kern w:val="0"/>
          <w14:ligatures w14:val="none"/>
        </w:rPr>
        <w:t xml:space="preserve"> Questo libro è un manuale di debug per il Suo macchinario neuro-metabolico unico. Fornisce le specifiche tecniche che il Suo medico non ha mai ricevuto — perché le facoltà di medicina non insegnano la farmacogenomica, e le assicurazioni non rimborsano i test genetici.</w:t>
      </w:r>
    </w:p>
    <w:p w14:paraId="172E7F2A"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5D4390DB">
          <v:rect id="_x0000_i1077" alt="" style="width:468pt;height:.05pt;mso-width-percent:0;mso-height-percent:0;mso-width-percent:0;mso-height-percent:0" o:hralign="center" o:hrstd="t" o:hr="t" fillcolor="#a0a0a0" stroked="f"/>
        </w:pict>
      </w:r>
    </w:p>
    <w:p w14:paraId="6DD11FC8"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INDICE</w:t>
      </w:r>
    </w:p>
    <w:p w14:paraId="0ABD3E56"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9810E5">
          <w:rPr>
            <w:rFonts w:ascii="Times New Roman" w:eastAsia="Times New Roman" w:hAnsi="Times New Roman" w:cs="Times New Roman"/>
            <w:color w:val="0000FF"/>
            <w:kern w:val="0"/>
            <w:u w:val="single"/>
            <w14:ligatures w14:val="none"/>
          </w:rPr>
          <w:t>KERNEL 1</w:t>
        </w:r>
      </w:hyperlink>
    </w:p>
    <w:p w14:paraId="190D1454"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9810E5">
          <w:rPr>
            <w:rFonts w:ascii="Times New Roman" w:eastAsia="Times New Roman" w:hAnsi="Times New Roman" w:cs="Times New Roman"/>
            <w:color w:val="0000FF"/>
            <w:kern w:val="0"/>
            <w:u w:val="single"/>
            <w14:ligatures w14:val="none"/>
          </w:rPr>
          <w:t>KERNEL 2</w:t>
        </w:r>
      </w:hyperlink>
    </w:p>
    <w:p w14:paraId="25D19F01"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9810E5">
          <w:rPr>
            <w:rFonts w:ascii="Times New Roman" w:eastAsia="Times New Roman" w:hAnsi="Times New Roman" w:cs="Times New Roman"/>
            <w:color w:val="0000FF"/>
            <w:kern w:val="0"/>
            <w:u w:val="single"/>
            <w14:ligatures w14:val="none"/>
          </w:rPr>
          <w:t>KERNEL 3</w:t>
        </w:r>
      </w:hyperlink>
    </w:p>
    <w:p w14:paraId="75CD9D96"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9810E5">
          <w:rPr>
            <w:rFonts w:ascii="Times New Roman" w:eastAsia="Times New Roman" w:hAnsi="Times New Roman" w:cs="Times New Roman"/>
            <w:color w:val="0000FF"/>
            <w:kern w:val="0"/>
            <w:u w:val="single"/>
            <w14:ligatures w14:val="none"/>
          </w:rPr>
          <w:t>KERNEL 4</w:t>
        </w:r>
      </w:hyperlink>
    </w:p>
    <w:p w14:paraId="6C23747B"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apitolo-1-perch%C3%A9-la-forza-di-volont%C3%A0-non-basta" w:history="1">
        <w:r w:rsidRPr="009810E5">
          <w:rPr>
            <w:rFonts w:ascii="Times New Roman" w:eastAsia="Times New Roman" w:hAnsi="Times New Roman" w:cs="Times New Roman"/>
            <w:color w:val="0000FF"/>
            <w:kern w:val="0"/>
            <w:u w:val="single"/>
            <w14:ligatures w14:val="none"/>
          </w:rPr>
          <w:t>Capitolo 1: Perché la Forza di Volontà Non Basta</w:t>
        </w:r>
      </w:hyperlink>
    </w:p>
    <w:p w14:paraId="27388F97"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apitolo-2-il-sistema-di-approvvigionamento" w:history="1">
        <w:r w:rsidRPr="009810E5">
          <w:rPr>
            <w:rFonts w:ascii="Times New Roman" w:eastAsia="Times New Roman" w:hAnsi="Times New Roman" w:cs="Times New Roman"/>
            <w:color w:val="0000FF"/>
            <w:kern w:val="0"/>
            <w:u w:val="single"/>
            <w14:ligatures w14:val="none"/>
          </w:rPr>
          <w:t>Capitolo 2: Il Sistema di Approvvigionamento</w:t>
        </w:r>
      </w:hyperlink>
    </w:p>
    <w:p w14:paraId="3FE965E7"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apitolo-3-il-sistema-di-eliminazione" w:history="1">
        <w:r w:rsidRPr="009810E5">
          <w:rPr>
            <w:rFonts w:ascii="Times New Roman" w:eastAsia="Times New Roman" w:hAnsi="Times New Roman" w:cs="Times New Roman"/>
            <w:color w:val="0000FF"/>
            <w:kern w:val="0"/>
            <w:u w:val="single"/>
            <w14:ligatures w14:val="none"/>
          </w:rPr>
          <w:t>Capitolo 3: Il Sistema di Eliminazione</w:t>
        </w:r>
      </w:hyperlink>
    </w:p>
    <w:p w14:paraId="77F724C8"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apitolo-4-il-sistema-di-elaborazione" w:history="1">
        <w:r w:rsidRPr="009810E5">
          <w:rPr>
            <w:rFonts w:ascii="Times New Roman" w:eastAsia="Times New Roman" w:hAnsi="Times New Roman" w:cs="Times New Roman"/>
            <w:color w:val="0000FF"/>
            <w:kern w:val="0"/>
            <w:u w:val="single"/>
            <w14:ligatures w14:val="none"/>
          </w:rPr>
          <w:t>Capitolo 4: Il Sistema di Elaborazione</w:t>
        </w:r>
      </w:hyperlink>
    </w:p>
    <w:p w14:paraId="5F4B1300"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apitolo-5-leffetto-combinato" w:history="1">
        <w:r w:rsidRPr="009810E5">
          <w:rPr>
            <w:rFonts w:ascii="Times New Roman" w:eastAsia="Times New Roman" w:hAnsi="Times New Roman" w:cs="Times New Roman"/>
            <w:color w:val="0000FF"/>
            <w:kern w:val="0"/>
            <w:u w:val="single"/>
            <w14:ligatures w14:val="none"/>
          </w:rPr>
          <w:t>Capitolo 5: L'Effetto Combinato</w:t>
        </w:r>
      </w:hyperlink>
    </w:p>
    <w:p w14:paraId="5E24DB10"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apitolo-6-il-campo-di-gioco-epigenetico" w:history="1">
        <w:r w:rsidRPr="009810E5">
          <w:rPr>
            <w:rFonts w:ascii="Times New Roman" w:eastAsia="Times New Roman" w:hAnsi="Times New Roman" w:cs="Times New Roman"/>
            <w:color w:val="0000FF"/>
            <w:kern w:val="0"/>
            <w:u w:val="single"/>
            <w14:ligatures w14:val="none"/>
          </w:rPr>
          <w:t>Capitolo 6: Il Campo di Gioco Epigenetico</w:t>
        </w:r>
      </w:hyperlink>
    </w:p>
    <w:p w14:paraId="46F4DC83"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ppendice-a" w:history="1">
        <w:r w:rsidRPr="009810E5">
          <w:rPr>
            <w:rFonts w:ascii="Times New Roman" w:eastAsia="Times New Roman" w:hAnsi="Times New Roman" w:cs="Times New Roman"/>
            <w:color w:val="0000FF"/>
            <w:kern w:val="0"/>
            <w:u w:val="single"/>
            <w14:ligatures w14:val="none"/>
          </w:rPr>
          <w:t>APPENDICE A: Tabelle di Riferimento Clinico</w:t>
        </w:r>
      </w:hyperlink>
    </w:p>
    <w:p w14:paraId="3ABC766A" w14:textId="77777777" w:rsidR="009810E5" w:rsidRPr="009810E5" w:rsidRDefault="009810E5" w:rsidP="009810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ppendice-b" w:history="1">
        <w:r w:rsidRPr="009810E5">
          <w:rPr>
            <w:rFonts w:ascii="Times New Roman" w:eastAsia="Times New Roman" w:hAnsi="Times New Roman" w:cs="Times New Roman"/>
            <w:color w:val="0000FF"/>
            <w:kern w:val="0"/>
            <w:u w:val="single"/>
            <w14:ligatures w14:val="none"/>
          </w:rPr>
          <w:t>APPENDICE B: Framework di Integrazione IA per il Recupero di Precisione</w:t>
        </w:r>
      </w:hyperlink>
    </w:p>
    <w:p w14:paraId="6B179EC4"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01560940">
          <v:rect id="_x0000_i1076" alt="" style="width:468pt;height:.05pt;mso-width-percent:0;mso-height-percent:0;mso-width-percent:0;mso-height-percent:0" o:hralign="center" o:hrstd="t" o:hr="t" fillcolor="#a0a0a0" stroked="f"/>
        </w:pict>
      </w:r>
    </w:p>
    <w:p w14:paraId="0432B261"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KERNEL 1</w:t>
      </w:r>
    </w:p>
    <w:p w14:paraId="27F1D96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ARCHITETTURA CENTRALE</w:t>
      </w:r>
    </w:p>
    <w:p w14:paraId="042D232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Comprendere il Suo Progetto Neurogenomico</w:t>
      </w:r>
    </w:p>
    <w:p w14:paraId="52AB2D05"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Modulo 1.1: Perché la Forza di Volontà Non Basta</w:t>
      </w:r>
    </w:p>
    <w:p w14:paraId="0BEAF11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Immagini di dire a qualcuno con il diabete che ha semplicemente bisogno di più 'forza di volontà' per produrre insulina. Ridicolo, vero? Eppure, è esattamente quello che diciamo alle persone dipendenti — una condizione che è altrettanto radicata nella variazione biologica.</w:t>
      </w:r>
    </w:p>
    <w:p w14:paraId="4F2F8B6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La dipendenza non è un fallimento morale. È un problema di ingegneria dei sistemi. Il Suo cervello ha catene di approvvigionamento (produzione di neurotrasmettitori), unità di elaborazione (recettori) e sistemi di eliminazione (enzimi metabolici). Quando uno qualsiasi di questi sistemi ha un collo di bottiglia genetico, l'intera architettura diventa vulnerabile.</w:t>
      </w:r>
    </w:p>
    <w:p w14:paraId="6E046B1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IL CAMBIO DI PARADIGMA</w:t>
      </w:r>
      <w:r w:rsidRPr="009810E5">
        <w:rPr>
          <w:rFonts w:ascii="Times New Roman" w:eastAsia="Times New Roman" w:hAnsi="Times New Roman" w:cs="Times New Roman"/>
          <w:kern w:val="0"/>
          <w14:ligatures w14:val="none"/>
        </w:rPr>
        <w:t xml:space="preserve"> Comprendere le Sue varianti genetiche trasforma il recupero da 'lottare contro se stessi' a 'fare il debug di se stessi'. Non è debole. Sta eseguendo codice che non è stato ottimizzato per il Suo hardware.</w:t>
      </w:r>
    </w:p>
    <w:p w14:paraId="3A8CA4A0"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2F69427B">
          <v:rect id="_x0000_i1075" alt="" style="width:468pt;height:.05pt;mso-width-percent:0;mso-height-percent:0;mso-width-percent:0;mso-height-percent:0" o:hralign="center" o:hrstd="t" o:hr="t" fillcolor="#a0a0a0" stroked="f"/>
        </w:pict>
      </w:r>
    </w:p>
    <w:p w14:paraId="4094572E"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Modulo 1.2: Il Sistema di Approvvigionamento — MTHFR</w:t>
      </w:r>
    </w:p>
    <w:p w14:paraId="15E15D6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Il </w:t>
      </w:r>
      <w:r w:rsidRPr="009810E5">
        <w:rPr>
          <w:rFonts w:ascii="Times New Roman" w:eastAsia="Times New Roman" w:hAnsi="Times New Roman" w:cs="Times New Roman"/>
          <w:b/>
          <w:bCs/>
          <w:kern w:val="0"/>
          <w14:ligatures w14:val="none"/>
        </w:rPr>
        <w:t>gene MTHFR</w:t>
      </w:r>
      <w:r w:rsidRPr="009810E5">
        <w:rPr>
          <w:rFonts w:ascii="Times New Roman" w:eastAsia="Times New Roman" w:hAnsi="Times New Roman" w:cs="Times New Roman"/>
          <w:kern w:val="0"/>
          <w14:ligatures w14:val="none"/>
        </w:rPr>
        <w:t xml:space="preserve"> controlla il Suo ciclo di metilazione — il processo che converte il folato alimentare nella sua forma attiva (metilfolato) di cui il Suo cervello ha bisogno per produrre neurotrasmettitori come serotonina, dopamina e norepinefrina.</w:t>
      </w:r>
    </w:p>
    <w:p w14:paraId="01C7E14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ATTENZIONE SISTEMA — AVVISO DI PREVALENZA</w:t>
      </w:r>
      <w:r w:rsidRPr="009810E5">
        <w:rPr>
          <w:rFonts w:ascii="Times New Roman" w:eastAsia="Times New Roman" w:hAnsi="Times New Roman" w:cs="Times New Roman"/>
          <w:kern w:val="0"/>
          <w14:ligatures w14:val="none"/>
        </w:rPr>
        <w:t xml:space="preserve"> Il 40-60% della popolazione porta almeno una variante MTHFR. Se Le hanno mai detto che gli antidepressivi 'non funzionano' per Lei, questo potrebbe essere il motivo.</w:t>
      </w:r>
    </w:p>
    <w:p w14:paraId="6C1B0E0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Varianti MTHFR C677T:</w:t>
      </w:r>
    </w:p>
    <w:p w14:paraId="64F51DB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C/C (Tipo Selvaggio):</w:t>
      </w:r>
      <w:r w:rsidRPr="009810E5">
        <w:rPr>
          <w:rFonts w:ascii="Times New Roman" w:eastAsia="Times New Roman" w:hAnsi="Times New Roman" w:cs="Times New Roman"/>
          <w:kern w:val="0"/>
          <w14:ligatures w14:val="none"/>
        </w:rPr>
        <w:t xml:space="preserve"> 100% di funzione enzimatica. La metilazione funziona normalmente.</w:t>
      </w:r>
    </w:p>
    <w:p w14:paraId="2A8124A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C/T (Eterozigote):</w:t>
      </w:r>
      <w:r w:rsidRPr="009810E5">
        <w:rPr>
          <w:rFonts w:ascii="Times New Roman" w:eastAsia="Times New Roman" w:hAnsi="Times New Roman" w:cs="Times New Roman"/>
          <w:kern w:val="0"/>
          <w14:ligatures w14:val="none"/>
        </w:rPr>
        <w:t xml:space="preserve"> ~65% di funzione enzimatica. Riduzione moderata della capacità di metilazione.</w:t>
      </w:r>
    </w:p>
    <w:p w14:paraId="3767351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T/T (Omozigote):</w:t>
      </w:r>
      <w:r w:rsidRPr="009810E5">
        <w:rPr>
          <w:rFonts w:ascii="Times New Roman" w:eastAsia="Times New Roman" w:hAnsi="Times New Roman" w:cs="Times New Roman"/>
          <w:kern w:val="0"/>
          <w14:ligatures w14:val="none"/>
        </w:rPr>
        <w:t xml:space="preserve"> ~30% di funzione enzimatica. Compromissione significativa della metilazione.</w:t>
      </w:r>
    </w:p>
    <w:p w14:paraId="0D6B9B5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Pensi a MTHFR come alla linea di approvvigionamento di una fabbrica. Se la Sua fabbrica può ricevere solo il 30% delle materie prime di cui ha bisogno, non importa quanto siano bravi i Suoi operai — la produzione sarà limitata. Integrare con metilfolato (il prodotto finito) bypassa la linea di approvvigionamento difettosa.</w:t>
      </w:r>
    </w:p>
    <w:p w14:paraId="7432AA4C"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71B278B8">
          <v:rect id="_x0000_i1074" alt="" style="width:468pt;height:.05pt;mso-width-percent:0;mso-height-percent:0;mso-width-percent:0;mso-height-percent:0" o:hralign="center" o:hrstd="t" o:hr="t" fillcolor="#a0a0a0" stroked="f"/>
        </w:pict>
      </w:r>
    </w:p>
    <w:p w14:paraId="56BC1C12"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Modulo 1.3: Il Sistema di Eliminazione — COMT</w:t>
      </w:r>
    </w:p>
    <w:p w14:paraId="098DBF2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Il </w:t>
      </w:r>
      <w:r w:rsidRPr="009810E5">
        <w:rPr>
          <w:rFonts w:ascii="Times New Roman" w:eastAsia="Times New Roman" w:hAnsi="Times New Roman" w:cs="Times New Roman"/>
          <w:b/>
          <w:bCs/>
          <w:kern w:val="0"/>
          <w14:ligatures w14:val="none"/>
        </w:rPr>
        <w:t>gene COMT</w:t>
      </w:r>
      <w:r w:rsidRPr="009810E5">
        <w:rPr>
          <w:rFonts w:ascii="Times New Roman" w:eastAsia="Times New Roman" w:hAnsi="Times New Roman" w:cs="Times New Roman"/>
          <w:kern w:val="0"/>
          <w14:ligatures w14:val="none"/>
        </w:rPr>
        <w:t xml:space="preserve"> (Catecol-O-Metiltransferasi) controlla la velocità con cui elimina dopamina, norepinefrina ed epinefrina dalle Sue sinapsi. Questo determina la Sua risposta allo stress e il Suo livello base di ansia.</w:t>
      </w:r>
    </w:p>
    <w:p w14:paraId="1DE9E746"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Lo Spettro Guerriero vs Ansioso:</w:t>
      </w:r>
    </w:p>
    <w:p w14:paraId="315A283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VAL/VAL — 'GUERRIERO'</w:t>
      </w:r>
      <w:r w:rsidRPr="009810E5">
        <w:rPr>
          <w:rFonts w:ascii="Times New Roman" w:eastAsia="Times New Roman" w:hAnsi="Times New Roman" w:cs="Times New Roman"/>
          <w:kern w:val="0"/>
          <w14:ligatures w14:val="none"/>
        </w:rPr>
        <w:t xml:space="preserve"> Eliminazione COMT rapida. La dopamina viene eliminata velocemente. Bassa ansia di base. Rende bene sotto stress acuto. Ha bisogno di PIÙ stimolazione per sentirsi coinvolto. Rischio: Può cercare stimolanti per sentirsi 'normale'. Vantaggi: Resistente allo stress, calmo sotto pressione.</w:t>
      </w:r>
    </w:p>
    <w:p w14:paraId="6AC4CFB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VAL/MET — 'EQUILIBRATO'</w:t>
      </w:r>
      <w:r w:rsidRPr="009810E5">
        <w:rPr>
          <w:rFonts w:ascii="Times New Roman" w:eastAsia="Times New Roman" w:hAnsi="Times New Roman" w:cs="Times New Roman"/>
          <w:kern w:val="0"/>
          <w14:ligatures w14:val="none"/>
        </w:rPr>
        <w:t xml:space="preserve"> Eliminazione COMT intermedia. Livelli moderati di dopamina. Può adattarsi a varie situazioni ma può avere difficoltà con gli estremi.</w:t>
      </w:r>
    </w:p>
    <w:p w14:paraId="1B62941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MET/MET — 'ANSIOSO'</w:t>
      </w:r>
      <w:r w:rsidRPr="009810E5">
        <w:rPr>
          <w:rFonts w:ascii="Times New Roman" w:eastAsia="Times New Roman" w:hAnsi="Times New Roman" w:cs="Times New Roman"/>
          <w:kern w:val="0"/>
          <w14:ligatures w14:val="none"/>
        </w:rPr>
        <w:t xml:space="preserve"> Eliminazione COMT lenta. La dopamina persiste. ALTA ansia di base. Migliore per compiti cognitivi complessi in ambienti tranquilli. Rende MALE sotto stress acuto. Rischio: Può cercare depressori (alcol, benzodiazepine, oppioidi) per calmare la mente. Rischio: Gli stimolanti creano ansia travolgente.</w:t>
      </w:r>
    </w:p>
    <w:p w14:paraId="2FD8687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L'Analogia Ferrari vs Fiat Panda: Il Guerriero è una Fiat Panda — affidabile, efficiente, non ha bisogno di benzina premium. L'Ansioso è una Ferrari — prestazioni incredibili nelle condizioni giuste, ma richiede benzina premium, messa a punto precisa, e non può gestire strade sconnesse. Nessuno dei due è 'migliore'. Sono architetture diverse ottimizzate per ambienti diversi. Il problema sorge quando una Ferrari cerca di funzionare con benzina normale nel traffico di Roma.</w:t>
      </w:r>
    </w:p>
    <w:p w14:paraId="1C2C477E"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364C4F7D">
          <v:rect id="_x0000_i1073" alt="" style="width:468pt;height:.05pt;mso-width-percent:0;mso-height-percent:0;mso-width-percent:0;mso-height-percent:0" o:hralign="center" o:hrstd="t" o:hr="t" fillcolor="#a0a0a0" stroked="f"/>
        </w:pict>
      </w:r>
    </w:p>
    <w:p w14:paraId="69BF7155"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Modulo 1.4: Il Sistema di Elaborazione — CYP450</w:t>
      </w:r>
    </w:p>
    <w:p w14:paraId="706BAB6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La </w:t>
      </w:r>
      <w:r w:rsidRPr="009810E5">
        <w:rPr>
          <w:rFonts w:ascii="Times New Roman" w:eastAsia="Times New Roman" w:hAnsi="Times New Roman" w:cs="Times New Roman"/>
          <w:b/>
          <w:bCs/>
          <w:kern w:val="0"/>
          <w14:ligatures w14:val="none"/>
        </w:rPr>
        <w:t>famiglia di enzimi CYP450</w:t>
      </w:r>
      <w:r w:rsidRPr="009810E5">
        <w:rPr>
          <w:rFonts w:ascii="Times New Roman" w:eastAsia="Times New Roman" w:hAnsi="Times New Roman" w:cs="Times New Roman"/>
          <w:kern w:val="0"/>
          <w14:ligatures w14:val="none"/>
        </w:rPr>
        <w:t xml:space="preserve"> (principalmente CYP2D6, CYP3A4, CYP2C19) determina come il Suo fegato elabora farmaci e sostanze. Il Suo stato CYP450 può rendere una dose 'normale' inefficace o mortale.</w:t>
      </w:r>
    </w:p>
    <w:p w14:paraId="6D9CAE31"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Fenotipi CYP2D6:</w:t>
      </w:r>
    </w:p>
    <w:p w14:paraId="2ED38B2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METABOLIZZATORE LENTO (PM)</w:t>
      </w:r>
      <w:r w:rsidRPr="009810E5">
        <w:rPr>
          <w:rFonts w:ascii="Times New Roman" w:eastAsia="Times New Roman" w:hAnsi="Times New Roman" w:cs="Times New Roman"/>
          <w:kern w:val="0"/>
          <w14:ligatures w14:val="none"/>
        </w:rPr>
        <w:t xml:space="preserve"> 5-10% dei caucasici. I farmaci metabolizzati da CYP2D6 si accumulano a livelli pericolosi. La codeina NON fornisce sollievo dal dolore (non può essere convertita in morfina). Il fentanil (che bypassa CYP2D6) colpisce a piena forza. Secondo i Biomarcatori Farmacogenomici della FDA: lo stato PM è clinicamente rilevante per oltre 60 farmaci.</w:t>
      </w:r>
    </w:p>
    <w:p w14:paraId="048E530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METABOLIZZATORE NORMALE (NM)</w:t>
      </w:r>
      <w:r w:rsidRPr="009810E5">
        <w:rPr>
          <w:rFonts w:ascii="Times New Roman" w:eastAsia="Times New Roman" w:hAnsi="Times New Roman" w:cs="Times New Roman"/>
          <w:kern w:val="0"/>
          <w14:ligatures w14:val="none"/>
        </w:rPr>
        <w:t xml:space="preserve"> La maggior parte della popolazione. Si applica il dosaggio standard. Questo è il gruppo per cui sono progettati gli studi clinici.</w:t>
      </w:r>
    </w:p>
    <w:p w14:paraId="6313F0A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METABOLIZZATORE INTERMEDIO (IM)</w:t>
      </w:r>
      <w:r w:rsidRPr="009810E5">
        <w:rPr>
          <w:rFonts w:ascii="Times New Roman" w:eastAsia="Times New Roman" w:hAnsi="Times New Roman" w:cs="Times New Roman"/>
          <w:kern w:val="0"/>
          <w14:ligatures w14:val="none"/>
        </w:rPr>
        <w:t xml:space="preserve"> Funzione enzimatica ridotta ma presente. Può richiedere aggiustamenti del dosaggio.</w:t>
      </w:r>
    </w:p>
    <w:p w14:paraId="0F054BC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METABOLIZZATORE ULTRARAPIDO (UM)</w:t>
      </w:r>
      <w:r w:rsidRPr="009810E5">
        <w:rPr>
          <w:rFonts w:ascii="Times New Roman" w:eastAsia="Times New Roman" w:hAnsi="Times New Roman" w:cs="Times New Roman"/>
          <w:kern w:val="0"/>
          <w14:ligatures w14:val="none"/>
        </w:rPr>
        <w:t xml:space="preserve"> 1-10% della popolazione (varia per etnia). I farmaci vengono eliminati troppo velocemente per un effetto terapeutico a dosi standard. La codeina viene convertita in morfina PERICOLOSAMENTE veloce. Le Linee Guida CPIC controindicano la codeina per gli UM a causa del rischio di overdose.</w:t>
      </w:r>
    </w:p>
    <w:p w14:paraId="5939FCB2"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2811D31F">
          <v:rect id="_x0000_i1072" alt="" style="width:468pt;height:.05pt;mso-width-percent:0;mso-height-percent:0;mso-width-percent:0;mso-height-percent:0" o:hralign="center" o:hrstd="t" o:hr="t" fillcolor="#a0a0a0" stroked="f"/>
        </w:pict>
      </w:r>
    </w:p>
    <w:p w14:paraId="20A010DB"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KERNEL 2</w:t>
      </w:r>
    </w:p>
    <w:p w14:paraId="37B3736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PROTOCOLLI DI RIDUZIONE DEL DANNO</w:t>
      </w:r>
    </w:p>
    <w:p w14:paraId="7A5E379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La Guida di Sopravvivenza al Festival — Un Approccio di Bioingegneria</w:t>
      </w:r>
    </w:p>
    <w:p w14:paraId="0B867BA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Il Sistema Medico ha cercato di trattare la mia depressione post-festival con antidepressivi. Ha fallito. Non hanno capito che non ero 'depresso' — ero 'esaurito'. Un antidepressivo è come mettere un coperchio su una pentola vuota. Non hai bisogno di un coperchio; devi riempire la pentola.</w:t>
      </w:r>
    </w:p>
    <w:p w14:paraId="4142CEE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AVVERTIMENTO DI SICUREZZA UNIVERSALE</w:t>
      </w:r>
      <w:r w:rsidRPr="009810E5">
        <w:rPr>
          <w:rFonts w:ascii="Times New Roman" w:eastAsia="Times New Roman" w:hAnsi="Times New Roman" w:cs="Times New Roman"/>
          <w:kern w:val="0"/>
          <w14:ligatures w14:val="none"/>
        </w:rPr>
        <w:t xml:space="preserve"> I protocolli di questa sezione sono ESCLUSIVAMENTE per la RIDUZIONE DEL DANNO. La scelta più sicura è sempre l'astinenza. Queste sostanze comportano rischi gravi, inclusa la morte. Nulla qui costituisce un consiglio medico. Se si verificano sintomi preoccupanti, cercare immediatamente assistenza medica d'emergenza.</w:t>
      </w:r>
    </w:p>
    <w:p w14:paraId="3B08127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2685653C">
          <v:rect id="_x0000_i1037" style="width:0;height:1.5pt" o:hralign="center" o:hrstd="t" o:hr="t" fillcolor="#a0a0a0" stroked="f"/>
        </w:pict>
      </w:r>
    </w:p>
    <w:p w14:paraId="3FBA2372"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Protocollo 6.1: Recupero da MDMA ed Empatogeni</w:t>
      </w:r>
    </w:p>
    <w:p w14:paraId="62EEA4A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Prevenzione del "Blues del Martedì" e Protocollo di Ricarica della Serotonina</w:t>
      </w:r>
    </w:p>
    <w:p w14:paraId="78307FFF"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Il Meccanismo di Esaurimento</w:t>
      </w:r>
    </w:p>
    <w:p w14:paraId="77AB633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L'MDMA funziona forzando un rilascio massiccio di serotonina immagazzinata — l'intera riserva del Suo cervello può essere esaurita in una singola sessione. L'euforia che sente è tutto il Suo stock vitale di sostanze chimiche del benessere speso in una sola notte.</w:t>
      </w:r>
    </w:p>
    <w:p w14:paraId="0509AE9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IMPATTO GENETICO</w:t>
      </w:r>
      <w:r w:rsidRPr="009810E5">
        <w:rPr>
          <w:rFonts w:ascii="Times New Roman" w:eastAsia="Times New Roman" w:hAnsi="Times New Roman" w:cs="Times New Roman"/>
          <w:kern w:val="0"/>
          <w14:ligatures w14:val="none"/>
        </w:rPr>
        <w:t xml:space="preserve"> Se porta varianti MTHFR, la Sua 'pompa di ricarica' della serotonina sta già funzionando al 30-70% della capacità. Quello che a una persona normale richiede 5-7 giorni per recuperare può richiedere a Lei 2-3 settimane.</w:t>
      </w:r>
    </w:p>
    <w:p w14:paraId="5F7C8617"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Fase 1: Precarico (3-7 Giorni Prima)</w:t>
      </w:r>
    </w:p>
    <w:p w14:paraId="4730FE0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INTEGRATORI APPROVATI</w:t>
      </w:r>
      <w:r w:rsidRPr="009810E5">
        <w:rPr>
          <w:rFonts w:ascii="Times New Roman" w:eastAsia="Times New Roman" w:hAnsi="Times New Roman" w:cs="Times New Roman"/>
          <w:kern w:val="0"/>
          <w14:ligatures w14:val="none"/>
        </w:rPr>
        <w:t xml:space="preserve"> • Magnesio Glicinato (400-600mg/giorno): Riduce il serramento della mascella, supporta la funzione COMT • Vitamina C (1000-2000mg/giorno): Protezione neuroprotettiva antiossidante • Acido Alfa-Lipoico (600mg) + ALCAR (500mg): Supporto mitocondriale • NAC (600-1200mg/giorno): Precursore del glutatione — FERMARSI 24-48h prima dell'evento</w:t>
      </w:r>
    </w:p>
    <w:p w14:paraId="3D8DBB3E"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Fase 3: Recupero Post-Evento ("Il Kit di Ricarica")</w:t>
      </w:r>
    </w:p>
    <w:p w14:paraId="0155008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TEMPISTICA DEL 5-HTP CRITICA.</w:t>
      </w:r>
      <w:r w:rsidRPr="009810E5">
        <w:rPr>
          <w:rFonts w:ascii="Times New Roman" w:eastAsia="Times New Roman" w:hAnsi="Times New Roman" w:cs="Times New Roman"/>
          <w:kern w:val="0"/>
          <w14:ligatures w14:val="none"/>
        </w:rPr>
        <w:t xml:space="preserve"> Non assumere MAI 5-HTP entro 24 ore dall'uso di MDMA. Può causare Sindrome Serotoninergica potenzialmente fatale. Attendere minimo 24 ore; 48 ore è più sicuro.</w:t>
      </w:r>
    </w:p>
    <w:p w14:paraId="350328E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STACK DI RECUPERO (Iniziare 24-48 Ore Dopo)</w:t>
      </w:r>
      <w:r w:rsidRPr="009810E5">
        <w:rPr>
          <w:rFonts w:ascii="Times New Roman" w:eastAsia="Times New Roman" w:hAnsi="Times New Roman" w:cs="Times New Roman"/>
          <w:kern w:val="0"/>
          <w14:ligatures w14:val="none"/>
        </w:rPr>
        <w:t xml:space="preserve"> • 5-HTP (50-100mg) + EGCG (400mg): Precursore della serotonina. Assumere la sera. • L-Tirosina (500-1000mg): Precursore della dopamina. Mattina, a stomaco vuoto. • Complesso B (forme metilate): </w:t>
      </w:r>
      <w:r w:rsidRPr="009810E5">
        <w:rPr>
          <w:rFonts w:ascii="Times New Roman" w:eastAsia="Times New Roman" w:hAnsi="Times New Roman" w:cs="Times New Roman"/>
          <w:kern w:val="0"/>
          <w14:ligatures w14:val="none"/>
        </w:rPr>
        <w:lastRenderedPageBreak/>
        <w:t>Cofattori per la sintesi dei neurotrasmettitori • Omega-3 (2-3g EPA+DHA): Riparazione delle membrane neuronali</w:t>
      </w:r>
    </w:p>
    <w:p w14:paraId="5545975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66896950">
          <v:rect id="_x0000_i1038" style="width:0;height:1.5pt" o:hralign="center" o:hrstd="t" o:hr="t" fillcolor="#a0a0a0" stroked="f"/>
        </w:pict>
      </w:r>
    </w:p>
    <w:p w14:paraId="69CBAD05"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KERNEL 3</w:t>
      </w:r>
    </w:p>
    <w:p w14:paraId="45B99B31"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Protocollo 6.7: La Regola E.K.G. e Matrice di Sicurezza</w:t>
      </w:r>
    </w:p>
    <w:p w14:paraId="7C8382B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L'Unica Regola Che Può Salvarti la Vita</w:t>
      </w:r>
    </w:p>
    <w:p w14:paraId="5C3B61A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E + K = POSSIBILE | E + G = POSSIBILE | K + G = MAI</w:t>
      </w:r>
    </w:p>
    <w:p w14:paraId="6D1D369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Dove:</w:t>
      </w:r>
      <w:r w:rsidRPr="009810E5">
        <w:rPr>
          <w:rFonts w:ascii="Times New Roman" w:eastAsia="Times New Roman" w:hAnsi="Times New Roman" w:cs="Times New Roman"/>
          <w:kern w:val="0"/>
          <w14:ligatures w14:val="none"/>
        </w:rPr>
        <w:t xml:space="preserve"> E = Ecstasy/MDMA | K = Ketamina | G = GHB/Alcol</w:t>
      </w:r>
    </w:p>
    <w:p w14:paraId="14C3A47C"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La Matrice di Sicurezza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342"/>
        <w:gridCol w:w="1342"/>
        <w:gridCol w:w="1093"/>
        <w:gridCol w:w="1342"/>
        <w:gridCol w:w="1568"/>
        <w:gridCol w:w="1583"/>
      </w:tblGrid>
      <w:tr w:rsidR="009810E5" w:rsidRPr="009810E5" w14:paraId="698B85B3" w14:textId="77777777">
        <w:trPr>
          <w:tblHeader/>
          <w:tblCellSpacing w:w="15" w:type="dxa"/>
        </w:trPr>
        <w:tc>
          <w:tcPr>
            <w:tcW w:w="0" w:type="auto"/>
            <w:vAlign w:val="center"/>
            <w:hideMark/>
          </w:tcPr>
          <w:p w14:paraId="3089DEE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p>
        </w:tc>
        <w:tc>
          <w:tcPr>
            <w:tcW w:w="0" w:type="auto"/>
            <w:vAlign w:val="center"/>
            <w:hideMark/>
          </w:tcPr>
          <w:p w14:paraId="3439CE37"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MDMA</w:t>
            </w:r>
          </w:p>
        </w:tc>
        <w:tc>
          <w:tcPr>
            <w:tcW w:w="0" w:type="auto"/>
            <w:vAlign w:val="center"/>
            <w:hideMark/>
          </w:tcPr>
          <w:p w14:paraId="28A8DC96"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Cocaina</w:t>
            </w:r>
          </w:p>
        </w:tc>
        <w:tc>
          <w:tcPr>
            <w:tcW w:w="0" w:type="auto"/>
            <w:vAlign w:val="center"/>
            <w:hideMark/>
          </w:tcPr>
          <w:p w14:paraId="712340B4"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Ketamina</w:t>
            </w:r>
          </w:p>
        </w:tc>
        <w:tc>
          <w:tcPr>
            <w:tcW w:w="0" w:type="auto"/>
            <w:vAlign w:val="center"/>
            <w:hideMark/>
          </w:tcPr>
          <w:p w14:paraId="70762DE7"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GHB</w:t>
            </w:r>
          </w:p>
        </w:tc>
        <w:tc>
          <w:tcPr>
            <w:tcW w:w="0" w:type="auto"/>
            <w:vAlign w:val="center"/>
            <w:hideMark/>
          </w:tcPr>
          <w:p w14:paraId="00CBE225"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Cannabis</w:t>
            </w:r>
          </w:p>
        </w:tc>
        <w:tc>
          <w:tcPr>
            <w:tcW w:w="0" w:type="auto"/>
            <w:vAlign w:val="center"/>
            <w:hideMark/>
          </w:tcPr>
          <w:p w14:paraId="28AF5639"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Alcol</w:t>
            </w:r>
          </w:p>
        </w:tc>
      </w:tr>
      <w:tr w:rsidR="009810E5" w:rsidRPr="009810E5" w14:paraId="790CCD51" w14:textId="77777777">
        <w:trPr>
          <w:tblCellSpacing w:w="15" w:type="dxa"/>
        </w:trPr>
        <w:tc>
          <w:tcPr>
            <w:tcW w:w="0" w:type="auto"/>
            <w:vAlign w:val="center"/>
            <w:hideMark/>
          </w:tcPr>
          <w:p w14:paraId="289503D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MDMA</w:t>
            </w:r>
          </w:p>
        </w:tc>
        <w:tc>
          <w:tcPr>
            <w:tcW w:w="0" w:type="auto"/>
            <w:vAlign w:val="center"/>
            <w:hideMark/>
          </w:tcPr>
          <w:p w14:paraId="77C0851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w:t>
            </w:r>
          </w:p>
        </w:tc>
        <w:tc>
          <w:tcPr>
            <w:tcW w:w="0" w:type="auto"/>
            <w:vAlign w:val="center"/>
            <w:hideMark/>
          </w:tcPr>
          <w:p w14:paraId="2FBE186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CARDIACO</w:t>
            </w:r>
          </w:p>
        </w:tc>
        <w:tc>
          <w:tcPr>
            <w:tcW w:w="0" w:type="auto"/>
            <w:vAlign w:val="center"/>
            <w:hideMark/>
          </w:tcPr>
          <w:p w14:paraId="2ABBBE1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KITTY</w:t>
            </w:r>
          </w:p>
        </w:tc>
        <w:tc>
          <w:tcPr>
            <w:tcW w:w="0" w:type="auto"/>
            <w:vAlign w:val="center"/>
            <w:hideMark/>
          </w:tcPr>
          <w:p w14:paraId="7F77CCB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NEURO</w:t>
            </w:r>
          </w:p>
        </w:tc>
        <w:tc>
          <w:tcPr>
            <w:tcW w:w="0" w:type="auto"/>
            <w:vAlign w:val="center"/>
            <w:hideMark/>
          </w:tcPr>
          <w:p w14:paraId="31F6A02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OK</w:t>
            </w:r>
          </w:p>
        </w:tc>
        <w:tc>
          <w:tcPr>
            <w:tcW w:w="0" w:type="auto"/>
            <w:vAlign w:val="center"/>
            <w:hideMark/>
          </w:tcPr>
          <w:p w14:paraId="5D6B50E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CALORE</w:t>
            </w:r>
          </w:p>
        </w:tc>
      </w:tr>
      <w:tr w:rsidR="009810E5" w:rsidRPr="009810E5" w14:paraId="3D7C200F" w14:textId="77777777">
        <w:trPr>
          <w:tblCellSpacing w:w="15" w:type="dxa"/>
        </w:trPr>
        <w:tc>
          <w:tcPr>
            <w:tcW w:w="0" w:type="auto"/>
            <w:vAlign w:val="center"/>
            <w:hideMark/>
          </w:tcPr>
          <w:p w14:paraId="7B2D9D3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Cocaina</w:t>
            </w:r>
          </w:p>
        </w:tc>
        <w:tc>
          <w:tcPr>
            <w:tcW w:w="0" w:type="auto"/>
            <w:vAlign w:val="center"/>
            <w:hideMark/>
          </w:tcPr>
          <w:p w14:paraId="1FF59D3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CARDIACO</w:t>
            </w:r>
          </w:p>
        </w:tc>
        <w:tc>
          <w:tcPr>
            <w:tcW w:w="0" w:type="auto"/>
            <w:vAlign w:val="center"/>
            <w:hideMark/>
          </w:tcPr>
          <w:p w14:paraId="2C9C935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w:t>
            </w:r>
          </w:p>
        </w:tc>
        <w:tc>
          <w:tcPr>
            <w:tcW w:w="0" w:type="auto"/>
            <w:vAlign w:val="center"/>
            <w:hideMark/>
          </w:tcPr>
          <w:p w14:paraId="0DCDDE2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CK</w:t>
            </w:r>
          </w:p>
        </w:tc>
        <w:tc>
          <w:tcPr>
            <w:tcW w:w="0" w:type="auto"/>
            <w:vAlign w:val="center"/>
            <w:hideMark/>
          </w:tcPr>
          <w:p w14:paraId="2DCF6A3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CARDIACO</w:t>
            </w:r>
          </w:p>
        </w:tc>
        <w:tc>
          <w:tcPr>
            <w:tcW w:w="0" w:type="auto"/>
            <w:vAlign w:val="center"/>
            <w:hideMark/>
          </w:tcPr>
          <w:p w14:paraId="092970E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OK</w:t>
            </w:r>
          </w:p>
        </w:tc>
        <w:tc>
          <w:tcPr>
            <w:tcW w:w="0" w:type="auto"/>
            <w:vAlign w:val="center"/>
            <w:hideMark/>
          </w:tcPr>
          <w:p w14:paraId="15DC3F7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COCAET</w:t>
            </w:r>
          </w:p>
        </w:tc>
      </w:tr>
      <w:tr w:rsidR="009810E5" w:rsidRPr="009810E5" w14:paraId="308CB400" w14:textId="77777777">
        <w:trPr>
          <w:tblCellSpacing w:w="15" w:type="dxa"/>
        </w:trPr>
        <w:tc>
          <w:tcPr>
            <w:tcW w:w="0" w:type="auto"/>
            <w:vAlign w:val="center"/>
            <w:hideMark/>
          </w:tcPr>
          <w:p w14:paraId="5DE6B92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Ketamina</w:t>
            </w:r>
          </w:p>
        </w:tc>
        <w:tc>
          <w:tcPr>
            <w:tcW w:w="0" w:type="auto"/>
            <w:vAlign w:val="center"/>
            <w:hideMark/>
          </w:tcPr>
          <w:p w14:paraId="77595DC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KITTY</w:t>
            </w:r>
          </w:p>
        </w:tc>
        <w:tc>
          <w:tcPr>
            <w:tcW w:w="0" w:type="auto"/>
            <w:vAlign w:val="center"/>
            <w:hideMark/>
          </w:tcPr>
          <w:p w14:paraId="3A70D63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CK</w:t>
            </w:r>
          </w:p>
        </w:tc>
        <w:tc>
          <w:tcPr>
            <w:tcW w:w="0" w:type="auto"/>
            <w:vAlign w:val="center"/>
            <w:hideMark/>
          </w:tcPr>
          <w:p w14:paraId="15D609B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w:t>
            </w:r>
          </w:p>
        </w:tc>
        <w:tc>
          <w:tcPr>
            <w:tcW w:w="0" w:type="auto"/>
            <w:vAlign w:val="center"/>
            <w:hideMark/>
          </w:tcPr>
          <w:p w14:paraId="4F3F8B3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FATALE</w:t>
            </w:r>
          </w:p>
        </w:tc>
        <w:tc>
          <w:tcPr>
            <w:tcW w:w="0" w:type="auto"/>
            <w:vAlign w:val="center"/>
            <w:hideMark/>
          </w:tcPr>
          <w:p w14:paraId="53CDBA9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WONKY</w:t>
            </w:r>
          </w:p>
        </w:tc>
        <w:tc>
          <w:tcPr>
            <w:tcW w:w="0" w:type="auto"/>
            <w:vAlign w:val="center"/>
            <w:hideMark/>
          </w:tcPr>
          <w:p w14:paraId="167C105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RESP</w:t>
            </w:r>
          </w:p>
        </w:tc>
      </w:tr>
      <w:tr w:rsidR="009810E5" w:rsidRPr="009810E5" w14:paraId="60725AE2" w14:textId="77777777">
        <w:trPr>
          <w:tblCellSpacing w:w="15" w:type="dxa"/>
        </w:trPr>
        <w:tc>
          <w:tcPr>
            <w:tcW w:w="0" w:type="auto"/>
            <w:vAlign w:val="center"/>
            <w:hideMark/>
          </w:tcPr>
          <w:p w14:paraId="20E2334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GHB</w:t>
            </w:r>
          </w:p>
        </w:tc>
        <w:tc>
          <w:tcPr>
            <w:tcW w:w="0" w:type="auto"/>
            <w:vAlign w:val="center"/>
            <w:hideMark/>
          </w:tcPr>
          <w:p w14:paraId="20D5E50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NEURO</w:t>
            </w:r>
          </w:p>
        </w:tc>
        <w:tc>
          <w:tcPr>
            <w:tcW w:w="0" w:type="auto"/>
            <w:vAlign w:val="center"/>
            <w:hideMark/>
          </w:tcPr>
          <w:p w14:paraId="48BF831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CARDIACO</w:t>
            </w:r>
          </w:p>
        </w:tc>
        <w:tc>
          <w:tcPr>
            <w:tcW w:w="0" w:type="auto"/>
            <w:vAlign w:val="center"/>
            <w:hideMark/>
          </w:tcPr>
          <w:p w14:paraId="76153C3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FATALE</w:t>
            </w:r>
          </w:p>
        </w:tc>
        <w:tc>
          <w:tcPr>
            <w:tcW w:w="0" w:type="auto"/>
            <w:vAlign w:val="center"/>
            <w:hideMark/>
          </w:tcPr>
          <w:p w14:paraId="27B3AD3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w:t>
            </w:r>
          </w:p>
        </w:tc>
        <w:tc>
          <w:tcPr>
            <w:tcW w:w="0" w:type="auto"/>
            <w:vAlign w:val="center"/>
            <w:hideMark/>
          </w:tcPr>
          <w:p w14:paraId="33083F3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SNC</w:t>
            </w:r>
          </w:p>
        </w:tc>
        <w:tc>
          <w:tcPr>
            <w:tcW w:w="0" w:type="auto"/>
            <w:vAlign w:val="center"/>
            <w:hideMark/>
          </w:tcPr>
          <w:p w14:paraId="5E6EEC7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FATALE</w:t>
            </w:r>
          </w:p>
        </w:tc>
      </w:tr>
      <w:tr w:rsidR="009810E5" w:rsidRPr="009810E5" w14:paraId="7C83B69D" w14:textId="77777777">
        <w:trPr>
          <w:tblCellSpacing w:w="15" w:type="dxa"/>
        </w:trPr>
        <w:tc>
          <w:tcPr>
            <w:tcW w:w="0" w:type="auto"/>
            <w:vAlign w:val="center"/>
            <w:hideMark/>
          </w:tcPr>
          <w:p w14:paraId="1E157F2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Cannabis</w:t>
            </w:r>
          </w:p>
        </w:tc>
        <w:tc>
          <w:tcPr>
            <w:tcW w:w="0" w:type="auto"/>
            <w:vAlign w:val="center"/>
            <w:hideMark/>
          </w:tcPr>
          <w:p w14:paraId="39BB8FA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OK</w:t>
            </w:r>
          </w:p>
        </w:tc>
        <w:tc>
          <w:tcPr>
            <w:tcW w:w="0" w:type="auto"/>
            <w:vAlign w:val="center"/>
            <w:hideMark/>
          </w:tcPr>
          <w:p w14:paraId="6B81B72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OK</w:t>
            </w:r>
          </w:p>
        </w:tc>
        <w:tc>
          <w:tcPr>
            <w:tcW w:w="0" w:type="auto"/>
            <w:vAlign w:val="center"/>
            <w:hideMark/>
          </w:tcPr>
          <w:p w14:paraId="6A5C3EB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WONKY</w:t>
            </w:r>
          </w:p>
        </w:tc>
        <w:tc>
          <w:tcPr>
            <w:tcW w:w="0" w:type="auto"/>
            <w:vAlign w:val="center"/>
            <w:hideMark/>
          </w:tcPr>
          <w:p w14:paraId="6FDDD8F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SNC</w:t>
            </w:r>
          </w:p>
        </w:tc>
        <w:tc>
          <w:tcPr>
            <w:tcW w:w="0" w:type="auto"/>
            <w:vAlign w:val="center"/>
            <w:hideMark/>
          </w:tcPr>
          <w:p w14:paraId="2CD8DB8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w:t>
            </w:r>
          </w:p>
        </w:tc>
        <w:tc>
          <w:tcPr>
            <w:tcW w:w="0" w:type="auto"/>
            <w:vAlign w:val="center"/>
            <w:hideMark/>
          </w:tcPr>
          <w:p w14:paraId="166A066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INCROCIATO</w:t>
            </w:r>
          </w:p>
        </w:tc>
      </w:tr>
      <w:tr w:rsidR="009810E5" w:rsidRPr="009810E5" w14:paraId="44085ADE" w14:textId="77777777">
        <w:trPr>
          <w:tblCellSpacing w:w="15" w:type="dxa"/>
        </w:trPr>
        <w:tc>
          <w:tcPr>
            <w:tcW w:w="0" w:type="auto"/>
            <w:vAlign w:val="center"/>
            <w:hideMark/>
          </w:tcPr>
          <w:p w14:paraId="64019D2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Alcol</w:t>
            </w:r>
          </w:p>
        </w:tc>
        <w:tc>
          <w:tcPr>
            <w:tcW w:w="0" w:type="auto"/>
            <w:vAlign w:val="center"/>
            <w:hideMark/>
          </w:tcPr>
          <w:p w14:paraId="2CF674E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CALORE</w:t>
            </w:r>
          </w:p>
        </w:tc>
        <w:tc>
          <w:tcPr>
            <w:tcW w:w="0" w:type="auto"/>
            <w:vAlign w:val="center"/>
            <w:hideMark/>
          </w:tcPr>
          <w:p w14:paraId="05EE867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COCAET</w:t>
            </w:r>
          </w:p>
        </w:tc>
        <w:tc>
          <w:tcPr>
            <w:tcW w:w="0" w:type="auto"/>
            <w:vAlign w:val="center"/>
            <w:hideMark/>
          </w:tcPr>
          <w:p w14:paraId="2AA8B1C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RESP</w:t>
            </w:r>
          </w:p>
        </w:tc>
        <w:tc>
          <w:tcPr>
            <w:tcW w:w="0" w:type="auto"/>
            <w:vAlign w:val="center"/>
            <w:hideMark/>
          </w:tcPr>
          <w:p w14:paraId="24B934DA"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FATALE</w:t>
            </w:r>
          </w:p>
        </w:tc>
        <w:tc>
          <w:tcPr>
            <w:tcW w:w="0" w:type="auto"/>
            <w:vAlign w:val="center"/>
            <w:hideMark/>
          </w:tcPr>
          <w:p w14:paraId="702D57F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INCROCIATO</w:t>
            </w:r>
          </w:p>
        </w:tc>
        <w:tc>
          <w:tcPr>
            <w:tcW w:w="0" w:type="auto"/>
            <w:vAlign w:val="center"/>
            <w:hideMark/>
          </w:tcPr>
          <w:p w14:paraId="1693ED6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w:t>
            </w:r>
          </w:p>
        </w:tc>
      </w:tr>
    </w:tbl>
    <w:p w14:paraId="0F92E28C"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Legenda:</w:t>
      </w:r>
    </w:p>
    <w:p w14:paraId="1109DDE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VERDE:</w:t>
      </w:r>
      <w:r w:rsidRPr="009810E5">
        <w:rPr>
          <w:rFonts w:ascii="Times New Roman" w:eastAsia="Times New Roman" w:hAnsi="Times New Roman" w:cs="Times New Roman"/>
          <w:kern w:val="0"/>
          <w14:ligatures w14:val="none"/>
        </w:rPr>
        <w:t xml:space="preserve"> Rischio acuto minore (comunque non sicuro)</w:t>
      </w:r>
    </w:p>
    <w:p w14:paraId="429337A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GIALLO:</w:t>
      </w:r>
      <w:r w:rsidRPr="009810E5">
        <w:rPr>
          <w:rFonts w:ascii="Times New Roman" w:eastAsia="Times New Roman" w:hAnsi="Times New Roman" w:cs="Times New Roman"/>
          <w:kern w:val="0"/>
          <w14:ligatures w14:val="none"/>
        </w:rPr>
        <w:t xml:space="preserve"> Cautela — rischio aumentato, dipende dalla tempistica</w:t>
      </w:r>
    </w:p>
    <w:p w14:paraId="24CB76E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ROSSO:</w:t>
      </w:r>
      <w:r w:rsidRPr="009810E5">
        <w:rPr>
          <w:rFonts w:ascii="Times New Roman" w:eastAsia="Times New Roman" w:hAnsi="Times New Roman" w:cs="Times New Roman"/>
          <w:kern w:val="0"/>
          <w14:ligatures w14:val="none"/>
        </w:rPr>
        <w:t xml:space="preserve"> Pericoloso — rischio di danno significativo</w:t>
      </w:r>
    </w:p>
    <w:p w14:paraId="2C9D8FA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TESCHIO:</w:t>
      </w:r>
      <w:r w:rsidRPr="009810E5">
        <w:rPr>
          <w:rFonts w:ascii="Times New Roman" w:eastAsia="Times New Roman" w:hAnsi="Times New Roman" w:cs="Times New Roman"/>
          <w:kern w:val="0"/>
          <w14:ligatures w14:val="none"/>
        </w:rPr>
        <w:t xml:space="preserve"> Potenzialmente fatale — NON COMBINARE</w:t>
      </w:r>
    </w:p>
    <w:p w14:paraId="339DC12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409A1CF2">
          <v:rect id="_x0000_i1039" style="width:0;height:1.5pt" o:hralign="center" o:hrstd="t" o:hr="t" fillcolor="#a0a0a0" stroked="f"/>
        </w:pict>
      </w:r>
    </w:p>
    <w:p w14:paraId="4608D9AD"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Apple Color Emoji" w:eastAsia="Times New Roman" w:hAnsi="Apple Color Emoji" w:cs="Apple Color Emoji"/>
          <w:b/>
          <w:bCs/>
          <w:kern w:val="0"/>
          <w:sz w:val="36"/>
          <w:szCs w:val="36"/>
          <w14:ligatures w14:val="none"/>
        </w:rPr>
        <w:lastRenderedPageBreak/>
        <w:t>⚠️</w:t>
      </w:r>
      <w:r w:rsidRPr="009810E5">
        <w:rPr>
          <w:rFonts w:ascii="Times New Roman" w:eastAsia="Times New Roman" w:hAnsi="Times New Roman" w:cs="Times New Roman"/>
          <w:b/>
          <w:bCs/>
          <w:kern w:val="0"/>
          <w:sz w:val="36"/>
          <w:szCs w:val="36"/>
          <w14:ligatures w14:val="none"/>
        </w:rPr>
        <w:t xml:space="preserve"> Codice Rosso: Interazioni con Farmaci Psichiatrici</w:t>
      </w:r>
    </w:p>
    <w:p w14:paraId="5C93A520"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I Pericoli Specifici</w:t>
      </w:r>
    </w:p>
    <w:p w14:paraId="2732B05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LITIO + MDMA/STIMOLANTI</w:t>
      </w:r>
      <w:r w:rsidRPr="009810E5">
        <w:rPr>
          <w:rFonts w:ascii="Times New Roman" w:eastAsia="Times New Roman" w:hAnsi="Times New Roman" w:cs="Times New Roman"/>
          <w:kern w:val="0"/>
          <w14:ligatures w14:val="none"/>
        </w:rPr>
        <w:t xml:space="preserve"> Sindrome serotoninergica + danno cerebellare permanente. Il litio abbassa la soglia convulsiva. L'MDMA causa ipertermia. Combinati: potenziale di danno cerebrale permanente in una singola esposizione.</w:t>
      </w:r>
    </w:p>
    <w:p w14:paraId="5EA2D84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LAMOTRIGINA + MDMA:</w:t>
      </w:r>
      <w:r w:rsidRPr="009810E5">
        <w:rPr>
          <w:rFonts w:ascii="Times New Roman" w:eastAsia="Times New Roman" w:hAnsi="Times New Roman" w:cs="Times New Roman"/>
          <w:kern w:val="0"/>
          <w14:ligatures w14:val="none"/>
        </w:rPr>
        <w:t xml:space="preserve"> Convulsioni, destabilizzazione dell'umore, interazioni imprevedibili. La lamotrigina influenza la segnalazione del glutammato. L'MDMA perturba gli stessi sistemi.</w:t>
      </w:r>
    </w:p>
    <w:p w14:paraId="28503F9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IMAO + QUALSIASI SEROTONINERGICO</w:t>
      </w:r>
      <w:r w:rsidRPr="009810E5">
        <w:rPr>
          <w:rFonts w:ascii="Times New Roman" w:eastAsia="Times New Roman" w:hAnsi="Times New Roman" w:cs="Times New Roman"/>
          <w:kern w:val="0"/>
          <w14:ligatures w14:val="none"/>
        </w:rPr>
        <w:t xml:space="preserve"> Gli IMAO impediscono la degradazione della serotonina. Aggiungere qualsiasi sostanza che rilascia serotonina = accumulo catastrofico. Insufficienza multiorgano. Morte.</w:t>
      </w:r>
    </w:p>
    <w:p w14:paraId="29A439E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ANTIPSICOTICI + STIMOLANTI</w:t>
      </w:r>
      <w:r w:rsidRPr="009810E5">
        <w:rPr>
          <w:rFonts w:ascii="Times New Roman" w:eastAsia="Times New Roman" w:hAnsi="Times New Roman" w:cs="Times New Roman"/>
          <w:kern w:val="0"/>
          <w14:ligatures w14:val="none"/>
        </w:rPr>
        <w:t xml:space="preserve"> Sindrome maligna da neurolettici. Blocco della dopamina + rilascio di dopamina = emergenza neurologica.</w:t>
      </w:r>
    </w:p>
    <w:p w14:paraId="1C4D452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355458E">
          <v:rect id="_x0000_i1040" style="width:0;height:1.5pt" o:hralign="center" o:hrstd="t" o:hr="t" fillcolor="#a0a0a0" stroked="f"/>
        </w:pict>
      </w:r>
    </w:p>
    <w:p w14:paraId="5B62CFE5"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L'Errore del "Forza Chiusura"</w:t>
      </w:r>
    </w:p>
    <w:p w14:paraId="78CE5F2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Pericoli del Sonno Chimico: Bio-Frenata e Il Divario dello Speedball</w:t>
      </w:r>
    </w:p>
    <w:p w14:paraId="202548A4"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Il Freno e l'Acceleratore</w:t>
      </w:r>
    </w:p>
    <w:p w14:paraId="51607D9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La credenza che Stimolante (+1) più Depressore (-1) equivalga a Sobrio (0) è catastroficamente falsa. Quando premi l'acceleratore a fondo e schiacci il freno simultaneamente, il motore non torna al minimo — lotta contro i freni. La trasmissione stride. Il gruppo propulsore subisce stress strutturale massiccio. Il tuo cuore è il motore. Il tuo tronco encefalico è la trasmissione. Le droghe sono i pedali.</w:t>
      </w:r>
    </w:p>
    <w:p w14:paraId="7DBEE4A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IL RISULTATO NON È EQUILIBRIO.</w:t>
      </w:r>
      <w:r w:rsidRPr="009810E5">
        <w:rPr>
          <w:rFonts w:ascii="Times New Roman" w:eastAsia="Times New Roman" w:hAnsi="Times New Roman" w:cs="Times New Roman"/>
          <w:kern w:val="0"/>
          <w14:ligatures w14:val="none"/>
        </w:rPr>
        <w:t xml:space="preserve"> È caos. Il tuo cuore riceve segnali contraddittori — pompare più veloce E più lento. I tuoi vasi sanguigni ricevono ordini di contrarsi E dilatarsi. Il tuo centro respiratorio riceve ordini di respirare velocemente E lentamente. Il tronco encefalico non può riconciliare queste istruzioni.</w:t>
      </w:r>
    </w:p>
    <w:p w14:paraId="1F5753A8"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L'Effetto "Altalena" — GHB Durante l'Uso di Stimolanti</w:t>
      </w:r>
    </w:p>
    <w:p w14:paraId="74311E4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lastRenderedPageBreak/>
        <w:t xml:space="preserve">Immagini due bambini su un'altalena. Un bambino (su uno stimolante) ti tiene </w:t>
      </w:r>
      <w:r w:rsidRPr="009810E5">
        <w:rPr>
          <w:rFonts w:ascii="Times New Roman" w:eastAsia="Times New Roman" w:hAnsi="Times New Roman" w:cs="Times New Roman"/>
          <w:b/>
          <w:bCs/>
          <w:kern w:val="0"/>
          <w14:ligatures w14:val="none"/>
        </w:rPr>
        <w:t>SU</w:t>
      </w:r>
      <w:r w:rsidRPr="009810E5">
        <w:rPr>
          <w:rFonts w:ascii="Times New Roman" w:eastAsia="Times New Roman" w:hAnsi="Times New Roman" w:cs="Times New Roman"/>
          <w:kern w:val="0"/>
          <w14:ligatures w14:val="none"/>
        </w:rPr>
        <w:t xml:space="preserve"> — cuore che pompa, respirazione attiva. L'altro bambino (GHB) ti spinge </w:t>
      </w:r>
      <w:r w:rsidRPr="009810E5">
        <w:rPr>
          <w:rFonts w:ascii="Times New Roman" w:eastAsia="Times New Roman" w:hAnsi="Times New Roman" w:cs="Times New Roman"/>
          <w:b/>
          <w:bCs/>
          <w:kern w:val="0"/>
          <w14:ligatures w14:val="none"/>
        </w:rPr>
        <w:t>GIÙ</w:t>
      </w:r>
      <w:r w:rsidRPr="009810E5">
        <w:rPr>
          <w:rFonts w:ascii="Times New Roman" w:eastAsia="Times New Roman" w:hAnsi="Times New Roman" w:cs="Times New Roman"/>
          <w:kern w:val="0"/>
          <w14:ligatures w14:val="none"/>
        </w:rPr>
        <w:t xml:space="preserve"> — cuore che rallenta, respirazione superficiale. Mentre entrambi giocano, sei sospeso.</w:t>
      </w:r>
    </w:p>
    <w:p w14:paraId="1B63B096"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La "Stimolazione Alfa Senza Opposizione" — Betabloccanti</w:t>
      </w:r>
    </w:p>
    <w:p w14:paraId="5A7A2AB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Alcune persone prendono betabloccanti per 'gestire' un cuore accelerato dalla cocaina o dalle anfetamine. Questo può causare un ictus o insufficienza cardiaca.</w:t>
      </w:r>
    </w:p>
    <w:p w14:paraId="1BC52EC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Gli stimolanti attivano due sistemi: recettori Alfa (che contraggono i vasi sanguigni) e recettori Beta (che fanno pompare il cuore più forte). I betabloccanti fermano la pompa ma lasciano la costrizione. Hai spento la pompa mentre i tubi sono ancora stretti. La pressione sanguigna ESPLODE. Le arterie coronarie vanno in SPASMO. È nei libri di testo medici — i betabloccanti sono CONTROINDICATI nella tossicità da cocaina.</w:t>
      </w:r>
    </w:p>
    <w:p w14:paraId="76A07E01"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L'Alternativa Sicura: Il Ciclo di 'Raffreddamento'</w:t>
      </w:r>
    </w:p>
    <w:p w14:paraId="060ED3E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MODALITÀ SICURA — Non Forzare la Chiusura, Rallentare</w:t>
      </w:r>
      <w:r w:rsidRPr="009810E5">
        <w:rPr>
          <w:rFonts w:ascii="Times New Roman" w:eastAsia="Times New Roman" w:hAnsi="Times New Roman" w:cs="Times New Roman"/>
          <w:kern w:val="0"/>
          <w14:ligatures w14:val="none"/>
        </w:rPr>
        <w:t xml:space="preserve"> • Ambiente: Luci soffuse, temperatura fresca, ridurre la stimolazione • Magnesio Glicinato (400-600mg): Supporto GABA, non sedativo • L-Teanina (200-400mg): Calma vigile, senza depressione respiratoria • Fosfatidilserina (300mg): Riduttore di cortisolo • TEMPO: L'unico antidoto sicuro per l'intossicazione da stimolanti </w:t>
      </w: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Se non riesci a dormire: È il tuo corpo che ti protegge. Riposa senza dormire.</w:t>
      </w:r>
    </w:p>
    <w:p w14:paraId="01E492E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295A4A07">
          <v:rect id="_x0000_i1041" style="width:0;height:1.5pt" o:hralign="center" o:hrstd="t" o:hr="t" fillcolor="#a0a0a0" stroked="f"/>
        </w:pict>
      </w:r>
    </w:p>
    <w:p w14:paraId="38E441B2"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KERNEL 4</w:t>
      </w:r>
    </w:p>
    <w:p w14:paraId="27B90FB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ANALISI POST-MORTEM</w:t>
      </w:r>
    </w:p>
    <w:p w14:paraId="019D16A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I Guasti del Sistema Che Abbiamo Perso</w:t>
      </w:r>
    </w:p>
    <w:p w14:paraId="027BEF5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Quello che segue non è pettegolezzo. Non è giudizio. È un'</w:t>
      </w:r>
      <w:r w:rsidRPr="009810E5">
        <w:rPr>
          <w:rFonts w:ascii="Times New Roman" w:eastAsia="Times New Roman" w:hAnsi="Times New Roman" w:cs="Times New Roman"/>
          <w:b/>
          <w:bCs/>
          <w:kern w:val="0"/>
          <w14:ligatures w14:val="none"/>
        </w:rPr>
        <w:t>analisi di ingegneria forense</w:t>
      </w:r>
      <w:r w:rsidRPr="009810E5">
        <w:rPr>
          <w:rFonts w:ascii="Times New Roman" w:eastAsia="Times New Roman" w:hAnsi="Times New Roman" w:cs="Times New Roman"/>
          <w:kern w:val="0"/>
          <w14:ligatures w14:val="none"/>
        </w:rPr>
        <w:t xml:space="preserve"> — paragonabile a un'indagine su un incidente aereo. Esaminiamo i guasti del sistema che hanno ucciso i talenti più brillanti di molteplici generazioni. Non erano deboli. Non avevano carenze morali. </w:t>
      </w:r>
      <w:r w:rsidRPr="009810E5">
        <w:rPr>
          <w:rFonts w:ascii="Times New Roman" w:eastAsia="Times New Roman" w:hAnsi="Times New Roman" w:cs="Times New Roman"/>
          <w:b/>
          <w:bCs/>
          <w:kern w:val="0"/>
          <w14:ligatures w14:val="none"/>
        </w:rPr>
        <w:t>I loro sistemi si sono guastati.</w:t>
      </w:r>
    </w:p>
    <w:p w14:paraId="6798FC0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Questi artisti avevano tutti i soldi del mondo. Medici privati. Centri di riabilitazione di lusso. Team di supporto. Quello che non avevano era un manuale d'uso per la propria biologia. Lei sì.</w:t>
      </w:r>
    </w:p>
    <w:p w14:paraId="7309525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07D6C889">
          <v:rect id="_x0000_i1042" style="width:0;height:1.5pt" o:hralign="center" o:hrstd="t" o:hr="t" fillcolor="#a0a0a0" stroked="f"/>
        </w:pict>
      </w:r>
    </w:p>
    <w:p w14:paraId="47A8FB98"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Apple Color Emoji" w:eastAsia="Times New Roman" w:hAnsi="Apple Color Emoji" w:cs="Apple Color Emoji"/>
          <w:b/>
          <w:bCs/>
          <w:kern w:val="0"/>
          <w:sz w:val="36"/>
          <w:szCs w:val="36"/>
          <w14:ligatures w14:val="none"/>
        </w:rPr>
        <w:t>📂</w:t>
      </w:r>
      <w:r w:rsidRPr="009810E5">
        <w:rPr>
          <w:rFonts w:ascii="Times New Roman" w:eastAsia="Times New Roman" w:hAnsi="Times New Roman" w:cs="Times New Roman"/>
          <w:b/>
          <w:bCs/>
          <w:kern w:val="0"/>
          <w:sz w:val="36"/>
          <w:szCs w:val="36"/>
          <w14:ligatures w14:val="none"/>
        </w:rPr>
        <w:t xml:space="preserve"> ARCHIVI DEI CASI: LE VITTIME DELL'ETÀ D'ORO</w:t>
      </w:r>
    </w:p>
    <w:p w14:paraId="38C8D933"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lastRenderedPageBreak/>
        <w:t>📁</w:t>
      </w:r>
      <w:r w:rsidRPr="009810E5">
        <w:rPr>
          <w:rFonts w:ascii="Times New Roman" w:eastAsia="Times New Roman" w:hAnsi="Times New Roman" w:cs="Times New Roman"/>
          <w:b/>
          <w:bCs/>
          <w:kern w:val="0"/>
          <w:sz w:val="27"/>
          <w:szCs w:val="27"/>
          <w14:ligatures w14:val="none"/>
        </w:rPr>
        <w:t xml:space="preserve"> FASCICOLO POST-MORTEM: MARILYN MONROE (1926-1962)</w:t>
      </w:r>
    </w:p>
    <w:p w14:paraId="0C41515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Tragedia della Prescrizione Originale</w:t>
      </w:r>
    </w:p>
    <w:p w14:paraId="40DA725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Avvelenamento acuto da barbiturici (Nembutal + idrato di cloralio). Probabile suicidio.</w:t>
      </w:r>
    </w:p>
    <w:p w14:paraId="17603CA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Molteplici prescrizioni di barbiturici da diversi medici</w:t>
      </w:r>
    </w:p>
    <w:p w14:paraId="6202D6F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Metabolizzatore Lento CYP2C19 + caos multi-prescrittori</w:t>
      </w:r>
    </w:p>
    <w:p w14:paraId="21FD797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Marilyn riceveva barbiturici da molteplici medici che non comunicavano tra loro — il 'doctor shopping' originale. La sua insonnia e ansia suggeriscono un possibile stato COMT Met/Met. I barbiturici hanno una finestra terapeutica estremamente stretta. Le varianti CYP2C19 influenzano drammaticamente il metabolismo. Un metabolizzatore lento accumula livelli tossici a dosi 'normali'.</w:t>
      </w:r>
    </w:p>
    <w:p w14:paraId="142A1C8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La prescrizione coordinata e i test CYP2C19 avrebbero potuto prevenire l'accumulo che l'ha uccisa. Aveva 36 anni.</w:t>
      </w:r>
    </w:p>
    <w:p w14:paraId="2E964842"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ELVIS PRESLEY (1935-1977)</w:t>
      </w:r>
    </w:p>
    <w:p w14:paraId="565EC93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Il Re della Polifarmacia</w:t>
      </w:r>
    </w:p>
    <w:p w14:paraId="0D59460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Aritmia cardiaca con molteplici farmaci come fattori contribuenti</w:t>
      </w:r>
    </w:p>
    <w:p w14:paraId="34DF48B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14+ sostanze diverse trovate all'autopsia</w:t>
      </w:r>
    </w:p>
    <w:p w14:paraId="74F6533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Accatastamento di substrati CYP450 + varianti COMT/MTHFR</w:t>
      </w:r>
    </w:p>
    <w:p w14:paraId="28E3A65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L'esteso regime farmacologico di Elvis ha creato una collisione CYP450. Ogni farmaco competeva per gli stessi enzimi. L'accumulo era inevitabile. I suoi medici non avevano alcuna comprensione della farmacogenomica.</w:t>
      </w:r>
    </w:p>
    <w:p w14:paraId="40725D4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Qualsiasi prescrittore informato sulla farmacogenomica avrebbe visto arrivare la collisione.</w:t>
      </w:r>
    </w:p>
    <w:p w14:paraId="7E726E8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55D7E904">
          <v:rect id="_x0000_i1043" style="width:0;height:1.5pt" o:hralign="center" o:hrstd="t" o:hr="t" fillcolor="#a0a0a0" stroked="f"/>
        </w:pict>
      </w:r>
    </w:p>
    <w:p w14:paraId="0706E7D2"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Apple Color Emoji" w:eastAsia="Times New Roman" w:hAnsi="Apple Color Emoji" w:cs="Apple Color Emoji"/>
          <w:b/>
          <w:bCs/>
          <w:kern w:val="0"/>
          <w:sz w:val="36"/>
          <w:szCs w:val="36"/>
          <w14:ligatures w14:val="none"/>
        </w:rPr>
        <w:t>📂</w:t>
      </w:r>
      <w:r w:rsidRPr="009810E5">
        <w:rPr>
          <w:rFonts w:ascii="Times New Roman" w:eastAsia="Times New Roman" w:hAnsi="Times New Roman" w:cs="Times New Roman"/>
          <w:b/>
          <w:bCs/>
          <w:kern w:val="0"/>
          <w:sz w:val="36"/>
          <w:szCs w:val="36"/>
          <w14:ligatures w14:val="none"/>
        </w:rPr>
        <w:t xml:space="preserve"> ARCHIVI DEI CASI: LE VITTIME DEL ROCK &amp; ROLL</w:t>
      </w:r>
    </w:p>
    <w:p w14:paraId="2EF80E60"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KEITH MOON (1946-1978)</w:t>
      </w:r>
    </w:p>
    <w:p w14:paraId="7D4C3D5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lastRenderedPageBreak/>
        <w:t xml:space="preserve">MODALITÀ DI GUASTO: </w:t>
      </w:r>
      <w:r w:rsidRPr="009810E5">
        <w:rPr>
          <w:rFonts w:ascii="Times New Roman" w:eastAsia="Times New Roman" w:hAnsi="Times New Roman" w:cs="Times New Roman"/>
          <w:b/>
          <w:bCs/>
          <w:kern w:val="0"/>
          <w14:ligatures w14:val="none"/>
        </w:rPr>
        <w:t>La Prescrizione Ironica</w:t>
      </w:r>
    </w:p>
    <w:p w14:paraId="70DACD0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Overdose di Heminevrin (clometiazolo) — prescritto per l'astinenza alcolica</w:t>
      </w:r>
    </w:p>
    <w:p w14:paraId="14F7B6C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32 compresse di Heminevrin + alcol a una festa</w:t>
      </w:r>
    </w:p>
    <w:p w14:paraId="7E2C675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Farmaco a finestra terapeutica stretta + alcolista attivo</w:t>
      </w:r>
    </w:p>
    <w:p w14:paraId="0884FCB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L'ironia tragica: Keith stava cercando di diventare sobrio. L'Heminevrin gli era stato prescritto per facilitare l'astinenza. Ma ha preso 32 compresse dopo aver bevuto abbondantemente. Il farmaco destinato a salvarlo lo ha ucciso. Heminevrin + alcol è controindicato.</w:t>
      </w:r>
    </w:p>
    <w:p w14:paraId="70DF2A2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Disintossicazione ospedaliera supervisionata invece di farmaci ambulatoriali per un alcolista attivo. Aveva 32 anni.</w:t>
      </w:r>
    </w:p>
    <w:p w14:paraId="3C6207AB"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SID VICIOUS (1957-1979)</w:t>
      </w:r>
    </w:p>
    <w:p w14:paraId="17CD069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Il Reset della Tolleranza</w:t>
      </w:r>
    </w:p>
    <w:p w14:paraId="2F83603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Overdose di eroina. Rilasciato da Rikers Island il giorno prima.</w:t>
      </w:r>
    </w:p>
    <w:p w14:paraId="5E0E299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Eroina a dose pre-incarcerazione dopo disintossicazione forzata in prigione</w:t>
      </w:r>
    </w:p>
    <w:p w14:paraId="605F68D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Reset della tolleranza post-disintossicazione — fenomeno fisiologico universale</w:t>
      </w:r>
    </w:p>
    <w:p w14:paraId="4746D7A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Sid ha subito una disintossicazione involontaria in prigione. La tolleranza si è resettata a quasi zero. Al rilascio, ha consumato la sua dose pre-incarcerazione. L'overdose post-disintossicazione è una delle morti da oppioidi più comuni — il tuo cervello ricorda la dose, i tuoi recettori no.</w:t>
      </w:r>
    </w:p>
    <w:p w14:paraId="03CBF4B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Naltrexone post-rilascio o reintegrazione supervisionata. Aveva 21 anni.</w:t>
      </w:r>
    </w:p>
    <w:p w14:paraId="4276E7AB"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JOHN BELUSHI (1949-1982)</w:t>
      </w:r>
    </w:p>
    <w:p w14:paraId="66A25BE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Lo Speedball Originale</w:t>
      </w:r>
    </w:p>
    <w:p w14:paraId="7DAC32A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Intossicazione combinata cocaina + eroina ('speedball')</w:t>
      </w:r>
    </w:p>
    <w:p w14:paraId="5221634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Cocaina ed eroina, iniettate</w:t>
      </w:r>
    </w:p>
    <w:p w14:paraId="65E97BD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lastRenderedPageBreak/>
        <w:t>Ipotesi Genetica:</w:t>
      </w:r>
      <w:r w:rsidRPr="009810E5">
        <w:rPr>
          <w:rFonts w:ascii="Times New Roman" w:eastAsia="Times New Roman" w:hAnsi="Times New Roman" w:cs="Times New Roman"/>
          <w:kern w:val="0"/>
          <w14:ligatures w14:val="none"/>
        </w:rPr>
        <w:t xml:space="preserve"> Sfasamento farmacocinetico — la cocaina viene eliminata più velocemente dell'eroina</w:t>
      </w:r>
    </w:p>
    <w:p w14:paraId="4941E9E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Il mito dello speedball: gli utenti credono che lo stimolante e il depressore 'si bilancino'. Non lo fanno. La cocaina svanisce più velocemente, lasciando la depressione respiratoria indotta dall'eroina senza protezione. Il cuore, stressato dalla cocaina, non può gestire la transizione.</w:t>
      </w:r>
    </w:p>
    <w:p w14:paraId="00B6751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Comprensione della farmacocinetica dello speedball — le droghe non si bilanciano. Aveva 33 anni.</w:t>
      </w:r>
    </w:p>
    <w:p w14:paraId="72B5F19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57130F99">
          <v:rect id="_x0000_i1044" style="width:0;height:1.5pt" o:hralign="center" o:hrstd="t" o:hr="t" fillcolor="#a0a0a0" stroked="f"/>
        </w:pict>
      </w:r>
    </w:p>
    <w:p w14:paraId="4901A3E4"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Apple Color Emoji" w:eastAsia="Times New Roman" w:hAnsi="Apple Color Emoji" w:cs="Apple Color Emoji"/>
          <w:b/>
          <w:bCs/>
          <w:kern w:val="0"/>
          <w:sz w:val="36"/>
          <w:szCs w:val="36"/>
          <w14:ligatures w14:val="none"/>
        </w:rPr>
        <w:t>📂</w:t>
      </w:r>
      <w:r w:rsidRPr="009810E5">
        <w:rPr>
          <w:rFonts w:ascii="Times New Roman" w:eastAsia="Times New Roman" w:hAnsi="Times New Roman" w:cs="Times New Roman"/>
          <w:b/>
          <w:bCs/>
          <w:kern w:val="0"/>
          <w:sz w:val="36"/>
          <w:szCs w:val="36"/>
          <w14:ligatures w14:val="none"/>
        </w:rPr>
        <w:t xml:space="preserve"> ARCHIVI DEI CASI: L'ERA MODERNA</w:t>
      </w:r>
    </w:p>
    <w:p w14:paraId="5EF9410F"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WHITNEY HOUSTON (1963-2012)</w:t>
      </w:r>
    </w:p>
    <w:p w14:paraId="1B41D77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Cascata dell'Ansia</w:t>
      </w:r>
    </w:p>
    <w:p w14:paraId="47F46D4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Annegamento con cocaina, malattia cardiaca aterosclerotica e alprazolam</w:t>
      </w:r>
    </w:p>
    <w:p w14:paraId="07108C8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Cocaina + Xanax (alprazolam) + bagno caldo</w:t>
      </w:r>
    </w:p>
    <w:p w14:paraId="20EC64E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COMT Met/Met → ansia da cocaina → automedicazione con benzodiazepine</w:t>
      </w:r>
    </w:p>
    <w:p w14:paraId="27E6979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Il profilo di Whitney suggerisce una spirale di ansia legata al COMT. La cocaina crea ansia intensa nei metabolizzatori lenti, spingendo all'uso di benzodiazepine per 'tagliare' l'ansia. Le benzo sopprimono la respirazione, la cocaina stressa il cuore, e l'acqua calda aumenta lo stress cardiovascolare.</w:t>
      </w:r>
    </w:p>
    <w:p w14:paraId="5451D71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I test COMT avrebbero potuto spiegare perché la cocaina la rendeva così ansiosa, e perché lei 'aveva bisogno' dello Xanax.</w:t>
      </w:r>
    </w:p>
    <w:p w14:paraId="62B479E5"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PRINCE (1958-2016)</w:t>
      </w:r>
    </w:p>
    <w:p w14:paraId="40B5346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Bomba a Orologeria CYP2D6</w:t>
      </w:r>
    </w:p>
    <w:p w14:paraId="02A8816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Overdose di fentanil da pillole contraffatte</w:t>
      </w:r>
    </w:p>
    <w:p w14:paraId="15791D6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Fentanil (pensava fosse Vicodin)</w:t>
      </w:r>
    </w:p>
    <w:p w14:paraId="626A52E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Metabolizzatore Lento CYP2D6 → oppioidi standard inefficaci → ha cercato alternative</w:t>
      </w:r>
    </w:p>
    <w:p w14:paraId="23FB989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Prince aveva dolore cronico all'anca. Secondo le linee guida della FDA, i PM CYP2D6 non ottengono sollievo dalla codeina (non può essere convertita in morfina) ma l'effetto pieno del fentanil (bypassa CYP2D6). Se era PM, gli oppioidi standard gli hanno fallito, spingendolo verso fonti non regolamentate.</w:t>
      </w:r>
    </w:p>
    <w:p w14:paraId="061A0B4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Un test CYP2D6 da 200€ avrebbe guidato la selezione appropriata degli oppioidi.</w:t>
      </w:r>
    </w:p>
    <w:p w14:paraId="302ECF79"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AMY WINEHOUSE (1983-2011)</w:t>
      </w:r>
    </w:p>
    <w:p w14:paraId="0EDA2F6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L'Astinenza Che Ha Vinto</w:t>
      </w:r>
    </w:p>
    <w:p w14:paraId="635918B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Avvelenamento alcolico accidentale (alcolemia 0,416%)</w:t>
      </w:r>
    </w:p>
    <w:p w14:paraId="6C17362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Alcol dopo settimane di astinenza</w:t>
      </w:r>
    </w:p>
    <w:p w14:paraId="5186073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Varianti ADH1B/ALDH2 + reset della tolleranza post-astinenza</w:t>
      </w:r>
    </w:p>
    <w:p w14:paraId="1DCF523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Dopo l'astinenza, la tolleranza diminuisce, ma non il desiderio. Amy ha bevuto quello che la sua vecchia tolleranza poteva gestire; la sua nuova tolleranza non poteva. Un'alcolemia di 0,416% rappresenta più di 5 volte il limite legale — fatale per la maggior parte delle persone.</w:t>
      </w:r>
    </w:p>
    <w:p w14:paraId="35912F1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Naltrexone (guidato da OPRM1) per la gestione del craving durante il recupero.</w:t>
      </w:r>
    </w:p>
    <w:p w14:paraId="1DC95B68"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HEATH LEDGER (1979-2008)</w:t>
      </w:r>
    </w:p>
    <w:p w14:paraId="50C45F8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Collisione Poli-Farmaceutica</w:t>
      </w:r>
    </w:p>
    <w:p w14:paraId="1891811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Intossicazione acuta: ossicodone, idrocodone, diazepam, temazepam, alprazolam, doxilamina</w:t>
      </w:r>
    </w:p>
    <w:p w14:paraId="2112B21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6 farmaci con prescrizione da molteplici prescrittori</w:t>
      </w:r>
    </w:p>
    <w:p w14:paraId="6546E88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Accatastamento di substrati CYP450 — tutti in competizione per CYP3A4/CYP2D6</w:t>
      </w:r>
    </w:p>
    <w:p w14:paraId="6C54855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Caso da manuale di collisione di substrati. Ogni farmaco compete per gli stessi enzimi. Tutti vengono eliminati lentamente. Tutti si accumulano. Depressione del SNC dalle benzo più depressione respiratoria dagli oppioidi = sinergia fatale.</w:t>
      </w:r>
    </w:p>
    <w:p w14:paraId="018D7C0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Qualsiasi prescrittore consapevole della farmacogenomica avrebbe visto la collisione.</w:t>
      </w:r>
    </w:p>
    <w:p w14:paraId="2BDC15C0"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lastRenderedPageBreak/>
        <w:t>📁</w:t>
      </w:r>
      <w:r w:rsidRPr="009810E5">
        <w:rPr>
          <w:rFonts w:ascii="Times New Roman" w:eastAsia="Times New Roman" w:hAnsi="Times New Roman" w:cs="Times New Roman"/>
          <w:b/>
          <w:bCs/>
          <w:kern w:val="0"/>
          <w:sz w:val="27"/>
          <w:szCs w:val="27"/>
          <w14:ligatures w14:val="none"/>
        </w:rPr>
        <w:t xml:space="preserve"> FASCICOLO POST-MORTEM: MATTHEW PERRY (1969-2023)</w:t>
      </w:r>
    </w:p>
    <w:p w14:paraId="353B2E3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Tragedia della Ketamina Terapeutica</w:t>
      </w:r>
    </w:p>
    <w:p w14:paraId="3A697DB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Effetti acuti della ketamina, annegamento, malattia coronarica, buprenorfina</w:t>
      </w:r>
    </w:p>
    <w:p w14:paraId="7C08A35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Ketamina (riceveva infusioni terapeutiche) + vasca idromassaggio</w:t>
      </w:r>
    </w:p>
    <w:p w14:paraId="7270332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Stato CYP3A4/CYP2B6 + profilo resistente al trattamento COMT/MTHFR</w:t>
      </w:r>
    </w:p>
    <w:p w14:paraId="556634B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L'ironia più tragica: Matthew è morto per una sostanza che stava ricevendo come TRATTAMENTO MEDICO LEGITTIMO. La sua depressione resistente al trattamento ha portato all'escalation verso la terapia con ketamina. Ma ketamina + vasca idromassaggio + malattia coronarica + buprenorfina = fatale. Il sistema che cercava di salvarlo non lo ha protetto dal proprio trattamento.</w:t>
      </w:r>
    </w:p>
    <w:p w14:paraId="4D00D4C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Test farmacogenomici per il tasso di eliminazione della ketamina. Controindicazione esplicita della vasca idromassaggio. Aveva 54 anni.</w:t>
      </w:r>
    </w:p>
    <w:p w14:paraId="33EEB12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AVVERTIMENTO KETAMINA TERAPEUTICA</w:t>
      </w:r>
      <w:r w:rsidRPr="009810E5">
        <w:rPr>
          <w:rFonts w:ascii="Times New Roman" w:eastAsia="Times New Roman" w:hAnsi="Times New Roman" w:cs="Times New Roman"/>
          <w:kern w:val="0"/>
          <w14:ligatures w14:val="none"/>
        </w:rPr>
        <w:t xml:space="preserve"> La morte di Matthew Perry è un avvertimento per tutti coloro che usano ketamina terapeutica: il farmaco che ti aiuta può ucciderti se i protocolli di sicurezza non sono informati dal genotipo. Esigete test farmacogenomici. Conoscete il vostro tasso di eliminazione. Non usare MAI da soli vicino all'acqua.</w:t>
      </w:r>
    </w:p>
    <w:p w14:paraId="670EF21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114A55EC">
          <v:rect id="_x0000_i1045" style="width:0;height:1.5pt" o:hralign="center" o:hrstd="t" o:hr="t" fillcolor="#a0a0a0" stroked="f"/>
        </w:pict>
      </w:r>
    </w:p>
    <w:p w14:paraId="436B57A4"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Apple Color Emoji" w:eastAsia="Times New Roman" w:hAnsi="Apple Color Emoji" w:cs="Apple Color Emoji"/>
          <w:b/>
          <w:bCs/>
          <w:kern w:val="0"/>
          <w:sz w:val="36"/>
          <w:szCs w:val="36"/>
          <w14:ligatures w14:val="none"/>
        </w:rPr>
        <w:t>📂</w:t>
      </w:r>
      <w:r w:rsidRPr="009810E5">
        <w:rPr>
          <w:rFonts w:ascii="Times New Roman" w:eastAsia="Times New Roman" w:hAnsi="Times New Roman" w:cs="Times New Roman"/>
          <w:b/>
          <w:bCs/>
          <w:kern w:val="0"/>
          <w:sz w:val="36"/>
          <w:szCs w:val="36"/>
          <w14:ligatures w14:val="none"/>
        </w:rPr>
        <w:t xml:space="preserve"> ARCHIVI DEI CASI: LA GENERAZIONE FENTANIL</w:t>
      </w:r>
    </w:p>
    <w:p w14:paraId="080E1A41"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MAC MILLER (1992-2018)</w:t>
      </w:r>
    </w:p>
    <w:p w14:paraId="2011E3C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Crisi della Contraffazione</w:t>
      </w:r>
    </w:p>
    <w:p w14:paraId="695B99D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Tossicità mista: fentanil, cocaina, alcol</w:t>
      </w:r>
    </w:p>
    <w:p w14:paraId="7A2A8DF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Pillole adulterate con fentanil (pensava fosse ossicodone)</w:t>
      </w:r>
    </w:p>
    <w:p w14:paraId="4D9474E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Varianti MTHFR/COMT → depressione/ansia → automedicazione</w:t>
      </w:r>
    </w:p>
    <w:p w14:paraId="535487D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Mac non sapeva che stava assumendo fentanil. Le sue lotte pubbliche con la depressione suggeriscono possibili varianti MTHFR/COMT che guidano l'automedicazione. Le sostanze diventano attraenti quando la neurochimica di base è dolorosa.</w:t>
      </w:r>
    </w:p>
    <w:p w14:paraId="6CED4F5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Servizi di verifica delle droghe, strisce test per fentanil, trattamento di salute mentale guidato dalla farmacogenomica.</w:t>
      </w:r>
    </w:p>
    <w:p w14:paraId="670910C5"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AVICII / TIM BERGLING (1989-2018)</w:t>
      </w:r>
    </w:p>
    <w:p w14:paraId="61D54BE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Il Protocollo dell'Esaurimento</w:t>
      </w:r>
    </w:p>
    <w:p w14:paraId="4ECCC94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Suicidio dopo dolore cronico, pancreatite e difficoltà di salute mentale</w:t>
      </w:r>
    </w:p>
    <w:p w14:paraId="2153BBF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Anamnesi:</w:t>
      </w:r>
      <w:r w:rsidRPr="009810E5">
        <w:rPr>
          <w:rFonts w:ascii="Times New Roman" w:eastAsia="Times New Roman" w:hAnsi="Times New Roman" w:cs="Times New Roman"/>
          <w:kern w:val="0"/>
          <w14:ligatures w14:val="none"/>
        </w:rPr>
        <w:t xml:space="preserve"> Pancreatite acuta a 21 anni, rimozione di cistifellea/appendice, ansia severa</w:t>
      </w:r>
    </w:p>
    <w:p w14:paraId="245F75A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COMT Met/Met → ansia di base severa → unico sollievo tramite sostanze → corpo distrutto</w:t>
      </w:r>
    </w:p>
    <w:p w14:paraId="7D328AD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Il profilo di Avicii suggerisce ansia COMT Met/Met severa. I tour EDM sono particolarmente estenuanti per il genotipo Ansioso — caratterizzati da viaggi costanti, sonno irregolare e ambienti rumorosi. Senza sostanze, l'ansia era insopportabile. Con le sostanze, i suoi organi sono stati distrutti. Intrappolato.</w:t>
      </w:r>
    </w:p>
    <w:p w14:paraId="170488B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Comprendere lo stato COMT → modifiche alla carriera, trattamento mirato dell'ansia, riconoscimento che la sua carriera minacciava letteralmente la sua vita.</w:t>
      </w:r>
    </w:p>
    <w:p w14:paraId="23FE6419"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JUICE WRLD / JARAD HIGGINS (1998-2019)</w:t>
      </w:r>
    </w:p>
    <w:p w14:paraId="7152D7B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MODALITÀ DI GUASTO: </w:t>
      </w:r>
      <w:r w:rsidRPr="009810E5">
        <w:rPr>
          <w:rFonts w:ascii="Times New Roman" w:eastAsia="Times New Roman" w:hAnsi="Times New Roman" w:cs="Times New Roman"/>
          <w:b/>
          <w:bCs/>
          <w:kern w:val="0"/>
          <w14:ligatures w14:val="none"/>
        </w:rPr>
        <w:t>La Reazione di Panico</w:t>
      </w:r>
    </w:p>
    <w:p w14:paraId="122A700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Tossicità ossicodone + codeina</w:t>
      </w:r>
    </w:p>
    <w:p w14:paraId="0117BF3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Circostanze:</w:t>
      </w:r>
      <w:r w:rsidRPr="009810E5">
        <w:rPr>
          <w:rFonts w:ascii="Times New Roman" w:eastAsia="Times New Roman" w:hAnsi="Times New Roman" w:cs="Times New Roman"/>
          <w:kern w:val="0"/>
          <w14:ligatures w14:val="none"/>
        </w:rPr>
        <w:t xml:space="preserve"> Avrebbe ingoiato multiple pillole per nasconderle agli agenti federali all'aeroporto</w:t>
      </w:r>
    </w:p>
    <w:p w14:paraId="070E72B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Metabolizzatore Ultrarapido CYP2D6 → la codeina viene convertita in morfina pericolosamente veloce</w:t>
      </w:r>
    </w:p>
    <w:p w14:paraId="505303D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Ingestione motivata dal panico. Il suo uso di 'lean' (codeina/prometazina) suggerisce un possibile stato CYP2D6 UM. Le Linee Guida CPIC controindicano la codeina per gli UM — la convertono in morfina troppo velocemente.</w:t>
      </w:r>
    </w:p>
    <w:p w14:paraId="1BC700A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I test CYP2D6 avrebbero identificato se la codeina era particolarmente pericolosa. Aveva 21 anni.</w:t>
      </w:r>
    </w:p>
    <w:p w14:paraId="3C719323"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Apple Color Emoji" w:eastAsia="Times New Roman" w:hAnsi="Apple Color Emoji" w:cs="Apple Color Emoji"/>
          <w:b/>
          <w:bCs/>
          <w:kern w:val="0"/>
          <w:sz w:val="27"/>
          <w:szCs w:val="27"/>
          <w14:ligatures w14:val="none"/>
        </w:rPr>
        <w:t>📁</w:t>
      </w:r>
      <w:r w:rsidRPr="009810E5">
        <w:rPr>
          <w:rFonts w:ascii="Times New Roman" w:eastAsia="Times New Roman" w:hAnsi="Times New Roman" w:cs="Times New Roman"/>
          <w:b/>
          <w:bCs/>
          <w:kern w:val="0"/>
          <w:sz w:val="27"/>
          <w:szCs w:val="27"/>
          <w14:ligatures w14:val="none"/>
        </w:rPr>
        <w:t xml:space="preserve"> FASCICOLO POST-MORTEM: LIL PEEP / GUSTAV ÅHR (1996-2017)</w:t>
      </w:r>
    </w:p>
    <w:p w14:paraId="6C26789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lastRenderedPageBreak/>
        <w:t xml:space="preserve">MODALITÀ DI GUASTO: </w:t>
      </w:r>
      <w:r w:rsidRPr="009810E5">
        <w:rPr>
          <w:rFonts w:ascii="Times New Roman" w:eastAsia="Times New Roman" w:hAnsi="Times New Roman" w:cs="Times New Roman"/>
          <w:b/>
          <w:bCs/>
          <w:kern w:val="0"/>
          <w14:ligatures w14:val="none"/>
        </w:rPr>
        <w:t>La Lotteria del Fentanil</w:t>
      </w:r>
    </w:p>
    <w:p w14:paraId="1AECE84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Causa Ufficiale di Morte:</w:t>
      </w:r>
      <w:r w:rsidRPr="009810E5">
        <w:rPr>
          <w:rFonts w:ascii="Times New Roman" w:eastAsia="Times New Roman" w:hAnsi="Times New Roman" w:cs="Times New Roman"/>
          <w:kern w:val="0"/>
          <w14:ligatures w14:val="none"/>
        </w:rPr>
        <w:t xml:space="preserve"> Tossicità combinata fentanil + alprazolam</w:t>
      </w:r>
    </w:p>
    <w:p w14:paraId="0D98119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Sostanze:</w:t>
      </w:r>
      <w:r w:rsidRPr="009810E5">
        <w:rPr>
          <w:rFonts w:ascii="Times New Roman" w:eastAsia="Times New Roman" w:hAnsi="Times New Roman" w:cs="Times New Roman"/>
          <w:kern w:val="0"/>
          <w14:ligatures w14:val="none"/>
        </w:rPr>
        <w:t xml:space="preserve"> Pillole Xanax contraffatte contenenti fentanil</w:t>
      </w:r>
    </w:p>
    <w:p w14:paraId="1DE8666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Ipotesi Genetica:</w:t>
      </w:r>
      <w:r w:rsidRPr="009810E5">
        <w:rPr>
          <w:rFonts w:ascii="Times New Roman" w:eastAsia="Times New Roman" w:hAnsi="Times New Roman" w:cs="Times New Roman"/>
          <w:kern w:val="0"/>
          <w14:ligatures w14:val="none"/>
        </w:rPr>
        <w:t xml:space="preserve"> Disfunzione GABAergica (GABRA2/GAD1) → ansia severa → dipendenza da benzo</w:t>
      </w:r>
    </w:p>
    <w:p w14:paraId="77ACC03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ANALISI DEL GUASTO DEL SISTEMA:</w:t>
      </w:r>
      <w:r w:rsidRPr="009810E5">
        <w:rPr>
          <w:rFonts w:ascii="Times New Roman" w:eastAsia="Times New Roman" w:hAnsi="Times New Roman" w:cs="Times New Roman"/>
          <w:kern w:val="0"/>
          <w14:ligatures w14:val="none"/>
        </w:rPr>
        <w:t xml:space="preserve"> Lil Peep pensava di stare prendendo Xanax. Perché un ventunenne era così dipendente dalle benzo? I suoi testi descrivono depressione/ansia intrecciate con l'uso di sostanze. Questo suggerisce disfunzione GABAergica — segnali calmanti naturali inadeguati.</w:t>
      </w:r>
    </w:p>
    <w:p w14:paraId="3956555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INTERVENTO PREVENTIVO:</w:t>
      </w:r>
      <w:r w:rsidRPr="009810E5">
        <w:rPr>
          <w:rFonts w:ascii="Times New Roman" w:eastAsia="Times New Roman" w:hAnsi="Times New Roman" w:cs="Times New Roman"/>
          <w:kern w:val="0"/>
          <w14:ligatures w14:val="none"/>
        </w:rPr>
        <w:t xml:space="preserve"> Test per varianti GABAergiche, verifica delle droghe, strisce test per fentanil. Aveva 21 anni.</w:t>
      </w:r>
    </w:p>
    <w:p w14:paraId="4015E61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6BCF0371">
          <v:rect id="_x0000_i1046" style="width:0;height:1.5pt" o:hralign="center" o:hrstd="t" o:hr="t" fillcolor="#a0a0a0" stroked="f"/>
        </w:pict>
      </w:r>
    </w:p>
    <w:p w14:paraId="2329E71D"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La Lezione: Lei Ha Quello Che Loro Non Avevano</w:t>
      </w:r>
    </w:p>
    <w:p w14:paraId="199411B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Da Marilyn Monroe nel 1962 a Matthew Perry nel 2023 — </w:t>
      </w:r>
      <w:r w:rsidRPr="009810E5">
        <w:rPr>
          <w:rFonts w:ascii="Times New Roman" w:eastAsia="Times New Roman" w:hAnsi="Times New Roman" w:cs="Times New Roman"/>
          <w:b/>
          <w:bCs/>
          <w:kern w:val="0"/>
          <w14:ligatures w14:val="none"/>
        </w:rPr>
        <w:t>sessant'anni di morti evitabili</w:t>
      </w:r>
      <w:r w:rsidRPr="009810E5">
        <w:rPr>
          <w:rFonts w:ascii="Times New Roman" w:eastAsia="Times New Roman" w:hAnsi="Times New Roman" w:cs="Times New Roman"/>
          <w:kern w:val="0"/>
          <w14:ligatures w14:val="none"/>
        </w:rPr>
        <w:t>. Gli stessi schemi. Gli stessi guasti. La stessa mancanza di comprensione farmacogenomica.</w:t>
      </w:r>
    </w:p>
    <w:p w14:paraId="607751B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Ogni persona in questo memoriale sarebbe probabilmente ancora viva se i loro prescrittori avessero compreso la farmacogenomica. Se i loro medici avessero chiesto 'Quale farmaco funziona per il TUO genotipo?' invece di 'Quale farmaco prescriviamo di solito?'</w:t>
      </w:r>
    </w:p>
    <w:p w14:paraId="5C86F64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IL TEST ESISTE</w:t>
      </w:r>
      <w:r w:rsidRPr="009810E5">
        <w:rPr>
          <w:rFonts w:ascii="Times New Roman" w:eastAsia="Times New Roman" w:hAnsi="Times New Roman" w:cs="Times New Roman"/>
          <w:kern w:val="0"/>
          <w14:ligatures w14:val="none"/>
        </w:rPr>
        <w:t xml:space="preserve"> Un pannello farmacogenomico costa 200-400€. Comprendere le Sue varianti COMT, CYP450, MTHFR, OPRM1 richiede un singolo test. Questa informazione può fare la differenza tra un trattamento di successo e un guasto del sistema.</w:t>
      </w:r>
    </w:p>
    <w:p w14:paraId="40A3EED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Gli schemi di 60 anni sono chiari:</w:t>
      </w:r>
    </w:p>
    <w:p w14:paraId="6C0EAC8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METABOLIZZATORI LENTI CYP2D6</w:t>
      </w:r>
      <w:r w:rsidRPr="009810E5">
        <w:rPr>
          <w:rFonts w:ascii="Times New Roman" w:eastAsia="Times New Roman" w:hAnsi="Times New Roman" w:cs="Times New Roman"/>
          <w:kern w:val="0"/>
          <w14:ligatures w14:val="none"/>
        </w:rPr>
        <w:t xml:space="preserve"> Non ottengono sollievo dalla codeina ma effetto pieno/fatale dal fentanil (Prince, altri)</w:t>
      </w:r>
    </w:p>
    <w:p w14:paraId="09FCE17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COMT MET/MET ('ANSIOSO')</w:t>
      </w:r>
      <w:r w:rsidRPr="009810E5">
        <w:rPr>
          <w:rFonts w:ascii="Times New Roman" w:eastAsia="Times New Roman" w:hAnsi="Times New Roman" w:cs="Times New Roman"/>
          <w:kern w:val="0"/>
          <w14:ligatures w14:val="none"/>
        </w:rPr>
        <w:t xml:space="preserve"> Crea ansia di base che spinge all'automedicazione con depressori (Whitney, Avicii, probabilmente molti altri)</w:t>
      </w:r>
    </w:p>
    <w:p w14:paraId="4562CE8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RESET DELLA TOLLERANZA POST-DISINTOSSICAZIONE</w:t>
      </w:r>
      <w:r w:rsidRPr="009810E5">
        <w:rPr>
          <w:rFonts w:ascii="Times New Roman" w:eastAsia="Times New Roman" w:hAnsi="Times New Roman" w:cs="Times New Roman"/>
          <w:kern w:val="0"/>
          <w14:ligatures w14:val="none"/>
        </w:rPr>
        <w:t xml:space="preserve"> La vecchia dose diventa la dose mortale (Sid Vicious, Cory Monteith, Philip Seymour Hoffman)</w:t>
      </w:r>
    </w:p>
    <w:p w14:paraId="7A99D64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RISCHIO DI GUASTO CRITICO DEL SISTEMA — ACCATASTAMENTO DI SUBSTRATI CYP450</w:t>
      </w:r>
      <w:r w:rsidRPr="009810E5">
        <w:rPr>
          <w:rFonts w:ascii="Times New Roman" w:eastAsia="Times New Roman" w:hAnsi="Times New Roman" w:cs="Times New Roman"/>
          <w:kern w:val="0"/>
          <w14:ligatures w14:val="none"/>
        </w:rPr>
        <w:t xml:space="preserve"> Molteplici farmaci in competizione per gli stessi enzimi → accumulo imprevedibile (Elvis, Heath Ledger)</w:t>
      </w:r>
    </w:p>
    <w:p w14:paraId="7ABE355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FC3F58A">
          <v:rect id="_x0000_i1047" style="width:0;height:1.5pt" o:hralign="center" o:hrstd="t" o:hr="t" fillcolor="#a0a0a0" stroked="f"/>
        </w:pict>
      </w:r>
    </w:p>
    <w:p w14:paraId="6E111276"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Capitolo 1: Perché la Forza di Volontà Non Basta</w:t>
      </w:r>
    </w:p>
    <w:p w14:paraId="1FFE1A3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Il Modello di Guasto Hardware della Dipendenza</w:t>
      </w:r>
    </w:p>
    <w:p w14:paraId="723FEE91"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1.1 Il Mito della Debolezza Morale</w:t>
      </w:r>
    </w:p>
    <w:p w14:paraId="19B01AE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Se la dipendenza fosse un fallimento morale, le persone 'moralmente forti' non diventerebbero mai dipendenti. Eppure, vediamo medici, atleti olimpici, CEO e sacerdoti lottare. La dipendenza non discrimina per carattere — discrimina per genetica.</w:t>
      </w:r>
    </w:p>
    <w:p w14:paraId="1405BF4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La dipendenza è una malattia della neurochimica, non del carattere. La comprensione del Suo profilo genetico unico trasforma il recupero da una 'battaglia di volontà' a un 'progetto di ingegneria'.</w:t>
      </w:r>
    </w:p>
    <w:p w14:paraId="3B88D892"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I Tre Sistemi della Dipendenza</w:t>
      </w:r>
    </w:p>
    <w:p w14:paraId="0BE92C96" w14:textId="77777777" w:rsidR="009810E5" w:rsidRPr="009810E5" w:rsidRDefault="009810E5" w:rsidP="009810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Il Sistema di Approvvigionamento (MTHFR)</w:t>
      </w:r>
      <w:r w:rsidRPr="009810E5">
        <w:rPr>
          <w:rFonts w:ascii="Times New Roman" w:eastAsia="Times New Roman" w:hAnsi="Times New Roman" w:cs="Times New Roman"/>
          <w:kern w:val="0"/>
          <w14:ligatures w14:val="none"/>
        </w:rPr>
        <w:t xml:space="preserve"> — Produzione di neurotrasmettitori</w:t>
      </w:r>
    </w:p>
    <w:p w14:paraId="0B603E47" w14:textId="77777777" w:rsidR="009810E5" w:rsidRPr="009810E5" w:rsidRDefault="009810E5" w:rsidP="009810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Il Sistema di Eliminazione (COMT)</w:t>
      </w:r>
      <w:r w:rsidRPr="009810E5">
        <w:rPr>
          <w:rFonts w:ascii="Times New Roman" w:eastAsia="Times New Roman" w:hAnsi="Times New Roman" w:cs="Times New Roman"/>
          <w:kern w:val="0"/>
          <w14:ligatures w14:val="none"/>
        </w:rPr>
        <w:t xml:space="preserve"> — Eliminazione dei neurotrasmettitori</w:t>
      </w:r>
    </w:p>
    <w:p w14:paraId="0641DDB9" w14:textId="77777777" w:rsidR="009810E5" w:rsidRPr="009810E5" w:rsidRDefault="009810E5" w:rsidP="009810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Il Sistema di Elaborazione (CYP450)</w:t>
      </w:r>
      <w:r w:rsidRPr="009810E5">
        <w:rPr>
          <w:rFonts w:ascii="Times New Roman" w:eastAsia="Times New Roman" w:hAnsi="Times New Roman" w:cs="Times New Roman"/>
          <w:kern w:val="0"/>
          <w14:ligatures w14:val="none"/>
        </w:rPr>
        <w:t xml:space="preserve"> — Metabolismo dei farmaci</w:t>
      </w:r>
    </w:p>
    <w:p w14:paraId="27E3B0F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Quando uno qualsiasi di questi sistemi è geneticamente compromesso, la vulnerabilità alla dipendenza aumenta esponenzialmente.</w:t>
      </w:r>
    </w:p>
    <w:p w14:paraId="6508B46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1BAFBA21">
          <v:rect id="_x0000_i1048" style="width:0;height:1.5pt" o:hralign="center" o:hrstd="t" o:hr="t" fillcolor="#a0a0a0" stroked="f"/>
        </w:pict>
      </w:r>
    </w:p>
    <w:p w14:paraId="19FD572B"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1.2 Il Suo Cervello Come Data Center</w:t>
      </w:r>
    </w:p>
    <w:p w14:paraId="2705C33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L'ANALOGIA DEL DATA CENTER</w:t>
      </w:r>
      <w:r w:rsidRPr="009810E5">
        <w:rPr>
          <w:rFonts w:ascii="Times New Roman" w:eastAsia="Times New Roman" w:hAnsi="Times New Roman" w:cs="Times New Roman"/>
          <w:kern w:val="0"/>
          <w14:ligatures w14:val="none"/>
        </w:rPr>
        <w:t xml:space="preserve"> Immagini il Suo cervello come un data center sofisticato: • </w:t>
      </w:r>
      <w:r w:rsidRPr="009810E5">
        <w:rPr>
          <w:rFonts w:ascii="Times New Roman" w:eastAsia="Times New Roman" w:hAnsi="Times New Roman" w:cs="Times New Roman"/>
          <w:b/>
          <w:bCs/>
          <w:kern w:val="0"/>
          <w14:ligatures w14:val="none"/>
        </w:rPr>
        <w:t>Neurotrasmettitori</w:t>
      </w:r>
      <w:r w:rsidRPr="009810E5">
        <w:rPr>
          <w:rFonts w:ascii="Times New Roman" w:eastAsia="Times New Roman" w:hAnsi="Times New Roman" w:cs="Times New Roman"/>
          <w:kern w:val="0"/>
          <w14:ligatures w14:val="none"/>
        </w:rPr>
        <w:t xml:space="preserve"> = Dati che fluiscono tra i server • </w:t>
      </w:r>
      <w:r w:rsidRPr="009810E5">
        <w:rPr>
          <w:rFonts w:ascii="Times New Roman" w:eastAsia="Times New Roman" w:hAnsi="Times New Roman" w:cs="Times New Roman"/>
          <w:b/>
          <w:bCs/>
          <w:kern w:val="0"/>
          <w14:ligatures w14:val="none"/>
        </w:rPr>
        <w:t>Recettori</w:t>
      </w:r>
      <w:r w:rsidRPr="009810E5">
        <w:rPr>
          <w:rFonts w:ascii="Times New Roman" w:eastAsia="Times New Roman" w:hAnsi="Times New Roman" w:cs="Times New Roman"/>
          <w:kern w:val="0"/>
          <w14:ligatures w14:val="none"/>
        </w:rPr>
        <w:t xml:space="preserve"> = Porte che ricevono i dati • </w:t>
      </w:r>
      <w:r w:rsidRPr="009810E5">
        <w:rPr>
          <w:rFonts w:ascii="Times New Roman" w:eastAsia="Times New Roman" w:hAnsi="Times New Roman" w:cs="Times New Roman"/>
          <w:b/>
          <w:bCs/>
          <w:kern w:val="0"/>
          <w14:ligatures w14:val="none"/>
        </w:rPr>
        <w:t>Enzimi</w:t>
      </w:r>
      <w:r w:rsidRPr="009810E5">
        <w:rPr>
          <w:rFonts w:ascii="Times New Roman" w:eastAsia="Times New Roman" w:hAnsi="Times New Roman" w:cs="Times New Roman"/>
          <w:kern w:val="0"/>
          <w14:ligatures w14:val="none"/>
        </w:rPr>
        <w:t xml:space="preserve"> = Router che controllano il flusso dei dati • </w:t>
      </w:r>
      <w:r w:rsidRPr="009810E5">
        <w:rPr>
          <w:rFonts w:ascii="Times New Roman" w:eastAsia="Times New Roman" w:hAnsi="Times New Roman" w:cs="Times New Roman"/>
          <w:b/>
          <w:bCs/>
          <w:kern w:val="0"/>
          <w14:ligatures w14:val="none"/>
        </w:rPr>
        <w:t>Geni</w:t>
      </w:r>
      <w:r w:rsidRPr="009810E5">
        <w:rPr>
          <w:rFonts w:ascii="Times New Roman" w:eastAsia="Times New Roman" w:hAnsi="Times New Roman" w:cs="Times New Roman"/>
          <w:kern w:val="0"/>
          <w14:ligatures w14:val="none"/>
        </w:rPr>
        <w:t xml:space="preserve"> = Codice sorgente che determina la configurazione hardware</w:t>
      </w:r>
    </w:p>
    <w:p w14:paraId="23200B5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Quando il codice sorgente contiene varianti, l'hardware funziona in modo diverso. Non è né buono né cattivo — è semplicemente diverso. Ma usare il manuale sbagliato per il Suo hardware causa guasti.</w:t>
      </w:r>
    </w:p>
    <w:p w14:paraId="1F5F34EA"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lastRenderedPageBreak/>
        <w:pict w14:anchorId="3F84355E">
          <v:rect id="_x0000_i1049" style="width:0;height:1.5pt" o:hralign="center" o:hrstd="t" o:hr="t" fillcolor="#a0a0a0" stroked="f"/>
        </w:pict>
      </w:r>
    </w:p>
    <w:p w14:paraId="227DAC9B"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1.3 La Trappola della Dose Standard</w:t>
      </w:r>
    </w:p>
    <w:p w14:paraId="4A53879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IL MITO DELLA TAGLIA UNICA</w:t>
      </w:r>
      <w:r w:rsidRPr="009810E5">
        <w:rPr>
          <w:rFonts w:ascii="Times New Roman" w:eastAsia="Times New Roman" w:hAnsi="Times New Roman" w:cs="Times New Roman"/>
          <w:kern w:val="0"/>
          <w14:ligatures w14:val="none"/>
        </w:rPr>
        <w:t xml:space="preserve"> Gli studi clinici testano i farmaci su 'metabolizzatori normali' — circa il 50-70% della popolazione. Se è nel restante 30-50%, la 'dose standard' può essere: • Inefficace (metabolizzatori ultrarapidi) • Tossica (metabolizzatori lenti) • Parzialmente efficace (metabolizzatori intermedi)</w:t>
      </w:r>
    </w:p>
    <w:p w14:paraId="0186223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Esempio Clinico:</w:t>
      </w:r>
      <w:r w:rsidRPr="009810E5">
        <w:rPr>
          <w:rFonts w:ascii="Times New Roman" w:eastAsia="Times New Roman" w:hAnsi="Times New Roman" w:cs="Times New Roman"/>
          <w:kern w:val="0"/>
          <w14:ligatures w14:val="none"/>
        </w:rPr>
        <w:t xml:space="preserve"> La codeina prescritta a un metabolizzatore lento CYP2D6 NON fornisce sollievo dal dolore. Il paziente chiede farmaci più forti. Il medico sospetta che cerchi droghe. Il paziente si rivolge a fonti illecite. Si verifica l'escalation verso il fentanil. Segue l'overdose.</w:t>
      </w:r>
    </w:p>
    <w:p w14:paraId="11DBA12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Tutto questo avrebbe potuto essere evitato con un test genetico da 200€.</w:t>
      </w:r>
    </w:p>
    <w:p w14:paraId="31C3053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4E002586">
          <v:rect id="_x0000_i1050" style="width:0;height:1.5pt" o:hralign="center" o:hrstd="t" o:hr="t" fillcolor="#a0a0a0" stroked="f"/>
        </w:pict>
      </w:r>
    </w:p>
    <w:p w14:paraId="21AC6B29"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Capitolo 2: Il Sistema di Approvvigionamento</w:t>
      </w:r>
    </w:p>
    <w:p w14:paraId="6E97C0F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MTHFR e la Produzione di Neurotrasmettitori</w:t>
      </w:r>
    </w:p>
    <w:p w14:paraId="4ED3E891"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2.1 Cos'è MTHFR?</w:t>
      </w:r>
    </w:p>
    <w:p w14:paraId="328DD06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Il gene </w:t>
      </w:r>
      <w:r w:rsidRPr="009810E5">
        <w:rPr>
          <w:rFonts w:ascii="Times New Roman" w:eastAsia="Times New Roman" w:hAnsi="Times New Roman" w:cs="Times New Roman"/>
          <w:b/>
          <w:bCs/>
          <w:kern w:val="0"/>
          <w14:ligatures w14:val="none"/>
        </w:rPr>
        <w:t>MTHFR</w:t>
      </w:r>
      <w:r w:rsidRPr="009810E5">
        <w:rPr>
          <w:rFonts w:ascii="Times New Roman" w:eastAsia="Times New Roman" w:hAnsi="Times New Roman" w:cs="Times New Roman"/>
          <w:kern w:val="0"/>
          <w14:ligatures w14:val="none"/>
        </w:rPr>
        <w:t xml:space="preserve"> (Metilentetraidrofolato Reduttasi) codifica un enzima che converte il folato nella sua forma attiva: il </w:t>
      </w:r>
      <w:r w:rsidRPr="009810E5">
        <w:rPr>
          <w:rFonts w:ascii="Times New Roman" w:eastAsia="Times New Roman" w:hAnsi="Times New Roman" w:cs="Times New Roman"/>
          <w:b/>
          <w:bCs/>
          <w:kern w:val="0"/>
          <w14:ligatures w14:val="none"/>
        </w:rPr>
        <w:t>L-metilfolato</w:t>
      </w:r>
      <w:r w:rsidRPr="009810E5">
        <w:rPr>
          <w:rFonts w:ascii="Times New Roman" w:eastAsia="Times New Roman" w:hAnsi="Times New Roman" w:cs="Times New Roman"/>
          <w:kern w:val="0"/>
          <w14:ligatures w14:val="none"/>
        </w:rPr>
        <w:t>. Questa forma attiva è essenziale per:</w:t>
      </w:r>
    </w:p>
    <w:p w14:paraId="057FDA9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La produzione di serotonina (umore, sonno, sazietà) • La produzione di dopamina (motivazione, piacere, concentrazione) • La produzione di norepinefrina (energia, vigilanza) • Le reazioni di metilazione in tutto il corpo</w:t>
      </w:r>
    </w:p>
    <w:p w14:paraId="14F1223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PREVALENZA DELLE VARIANTI MTHFR</w:t>
      </w:r>
      <w:r w:rsidRPr="009810E5">
        <w:rPr>
          <w:rFonts w:ascii="Times New Roman" w:eastAsia="Times New Roman" w:hAnsi="Times New Roman" w:cs="Times New Roman"/>
          <w:kern w:val="0"/>
          <w14:ligatures w14:val="none"/>
        </w:rPr>
        <w:t xml:space="preserve"> • C677T Eterozigote (C/T): ~40% della popolazione • C677T Omozigote (T/T): ~10-15% della popolazione • A1298C: Variante aggiuntiva che influisce sulla stessa via</w:t>
      </w:r>
    </w:p>
    <w:p w14:paraId="01BAE95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6AC5F5E">
          <v:rect id="_x0000_i1051" style="width:0;height:1.5pt" o:hralign="center" o:hrstd="t" o:hr="t" fillcolor="#a0a0a0" stroked="f"/>
        </w:pict>
      </w:r>
    </w:p>
    <w:p w14:paraId="7A9628AF"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2.2 Impatto sul Recupero</w:t>
      </w:r>
    </w:p>
    <w:p w14:paraId="6DA3B45D"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Profilo C/C (Tipo Selvaggio)</w:t>
      </w:r>
    </w:p>
    <w:p w14:paraId="3C4B4F0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SISTEMA VERDE — FUNZIONE NORMALE</w:t>
      </w:r>
      <w:r w:rsidRPr="009810E5">
        <w:rPr>
          <w:rFonts w:ascii="Times New Roman" w:eastAsia="Times New Roman" w:hAnsi="Times New Roman" w:cs="Times New Roman"/>
          <w:kern w:val="0"/>
          <w14:ligatures w14:val="none"/>
        </w:rPr>
        <w:t xml:space="preserve"> • 100% di funzione enzimatica • Il folato alimentare viene convertito efficientemente • La produzione di neurotrasmettitori procede normalmente • Gli antidepressivi standard generalmente funzionano come previsto</w:t>
      </w:r>
    </w:p>
    <w:p w14:paraId="30242B32"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Profilo C/T (Eterozigote)</w:t>
      </w:r>
    </w:p>
    <w:p w14:paraId="7699DA9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FUNZIONE RIDOTTA</w:t>
      </w:r>
      <w:r w:rsidRPr="009810E5">
        <w:rPr>
          <w:rFonts w:ascii="Times New Roman" w:eastAsia="Times New Roman" w:hAnsi="Times New Roman" w:cs="Times New Roman"/>
          <w:kern w:val="0"/>
          <w14:ligatures w14:val="none"/>
        </w:rPr>
        <w:t xml:space="preserve"> • ~65% di funzione enzimatica • Può richiedere integrazione con metilfolato • Gli antidepressivi possono essere parzialmente efficaci • Vulnerabilità moderata a depressione/ansia</w:t>
      </w:r>
    </w:p>
    <w:p w14:paraId="0764440E"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Profilo T/T (Omozigote)</w:t>
      </w:r>
    </w:p>
    <w:p w14:paraId="2C93752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FUNZIONE SEVERAMENTE RIDOTTA</w:t>
      </w:r>
      <w:r w:rsidRPr="009810E5">
        <w:rPr>
          <w:rFonts w:ascii="Times New Roman" w:eastAsia="Times New Roman" w:hAnsi="Times New Roman" w:cs="Times New Roman"/>
          <w:kern w:val="0"/>
          <w14:ligatures w14:val="none"/>
        </w:rPr>
        <w:t xml:space="preserve"> • ~30% di funzione enzimatica • La produzione di neurotrasmettitori è significativamente compromessa • Gli antidepressivi spesso falliscono senza integrazione di metilfolato • Alta vulnerabilità a depressione, ansia e automedicazione</w:t>
      </w:r>
    </w:p>
    <w:p w14:paraId="3002F9A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4DD3833F">
          <v:rect id="_x0000_i1052" style="width:0;height:1.5pt" o:hralign="center" o:hrstd="t" o:hr="t" fillcolor="#a0a0a0" stroked="f"/>
        </w:pict>
      </w:r>
    </w:p>
    <w:p w14:paraId="7D2FEE8D"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2.3 Protocollo di Integrazione MTHFR</w:t>
      </w:r>
    </w:p>
    <w:p w14:paraId="32DF9F9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STACK APPROVATO PER T/T</w:t>
      </w:r>
      <w:r w:rsidRPr="009810E5">
        <w:rPr>
          <w:rFonts w:ascii="Times New Roman" w:eastAsia="Times New Roman" w:hAnsi="Times New Roman" w:cs="Times New Roman"/>
          <w:kern w:val="0"/>
          <w14:ligatures w14:val="none"/>
        </w:rPr>
        <w:t xml:space="preserve"> • </w:t>
      </w:r>
      <w:r w:rsidRPr="009810E5">
        <w:rPr>
          <w:rFonts w:ascii="Times New Roman" w:eastAsia="Times New Roman" w:hAnsi="Times New Roman" w:cs="Times New Roman"/>
          <w:b/>
          <w:bCs/>
          <w:kern w:val="0"/>
          <w14:ligatures w14:val="none"/>
        </w:rPr>
        <w:t>L-Metilfolato</w:t>
      </w:r>
      <w:r w:rsidRPr="009810E5">
        <w:rPr>
          <w:rFonts w:ascii="Times New Roman" w:eastAsia="Times New Roman" w:hAnsi="Times New Roman" w:cs="Times New Roman"/>
          <w:kern w:val="0"/>
          <w14:ligatures w14:val="none"/>
        </w:rPr>
        <w:t xml:space="preserve"> (400-800 mcg/giorno, aumentare lentamente fino a 15mg se tollerato) • </w:t>
      </w:r>
      <w:r w:rsidRPr="009810E5">
        <w:rPr>
          <w:rFonts w:ascii="Times New Roman" w:eastAsia="Times New Roman" w:hAnsi="Times New Roman" w:cs="Times New Roman"/>
          <w:b/>
          <w:bCs/>
          <w:kern w:val="0"/>
          <w14:ligatures w14:val="none"/>
        </w:rPr>
        <w:t>Metilcobalamina (B12)</w:t>
      </w:r>
      <w:r w:rsidRPr="009810E5">
        <w:rPr>
          <w:rFonts w:ascii="Times New Roman" w:eastAsia="Times New Roman" w:hAnsi="Times New Roman" w:cs="Times New Roman"/>
          <w:kern w:val="0"/>
          <w14:ligatures w14:val="none"/>
        </w:rPr>
        <w:t xml:space="preserve"> (1000-5000 mcg/giorno) • </w:t>
      </w:r>
      <w:r w:rsidRPr="009810E5">
        <w:rPr>
          <w:rFonts w:ascii="Times New Roman" w:eastAsia="Times New Roman" w:hAnsi="Times New Roman" w:cs="Times New Roman"/>
          <w:b/>
          <w:bCs/>
          <w:kern w:val="0"/>
          <w14:ligatures w14:val="none"/>
        </w:rPr>
        <w:t>P-5-P (B6 attiva)</w:t>
      </w:r>
      <w:r w:rsidRPr="009810E5">
        <w:rPr>
          <w:rFonts w:ascii="Times New Roman" w:eastAsia="Times New Roman" w:hAnsi="Times New Roman" w:cs="Times New Roman"/>
          <w:kern w:val="0"/>
          <w14:ligatures w14:val="none"/>
        </w:rPr>
        <w:t xml:space="preserve"> (25-50mg/giorno) • </w:t>
      </w:r>
      <w:r w:rsidRPr="009810E5">
        <w:rPr>
          <w:rFonts w:ascii="Times New Roman" w:eastAsia="Times New Roman" w:hAnsi="Times New Roman" w:cs="Times New Roman"/>
          <w:b/>
          <w:bCs/>
          <w:kern w:val="0"/>
          <w14:ligatures w14:val="none"/>
        </w:rPr>
        <w:t>Riboflavina (B2)</w:t>
      </w:r>
      <w:r w:rsidRPr="009810E5">
        <w:rPr>
          <w:rFonts w:ascii="Times New Roman" w:eastAsia="Times New Roman" w:hAnsi="Times New Roman" w:cs="Times New Roman"/>
          <w:kern w:val="0"/>
          <w14:ligatures w14:val="none"/>
        </w:rPr>
        <w:t xml:space="preserve"> (25-50mg/giorno) • </w:t>
      </w:r>
      <w:r w:rsidRPr="009810E5">
        <w:rPr>
          <w:rFonts w:ascii="Times New Roman" w:eastAsia="Times New Roman" w:hAnsi="Times New Roman" w:cs="Times New Roman"/>
          <w:b/>
          <w:bCs/>
          <w:kern w:val="0"/>
          <w14:ligatures w14:val="none"/>
        </w:rPr>
        <w:t>TMG (Trimetilglicina)</w:t>
      </w:r>
      <w:r w:rsidRPr="009810E5">
        <w:rPr>
          <w:rFonts w:ascii="Times New Roman" w:eastAsia="Times New Roman" w:hAnsi="Times New Roman" w:cs="Times New Roman"/>
          <w:kern w:val="0"/>
          <w14:ligatures w14:val="none"/>
        </w:rPr>
        <w:t xml:space="preserve"> (500-1000mg/giorno) — via di metilazione alternativa</w:t>
      </w:r>
    </w:p>
    <w:p w14:paraId="47FA542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RISCHIO DI SOVRA-METILAZIONE</w:t>
      </w:r>
      <w:r w:rsidRPr="009810E5">
        <w:rPr>
          <w:rFonts w:ascii="Times New Roman" w:eastAsia="Times New Roman" w:hAnsi="Times New Roman" w:cs="Times New Roman"/>
          <w:kern w:val="0"/>
          <w14:ligatures w14:val="none"/>
        </w:rPr>
        <w:t xml:space="preserve"> Iniziare con dosi basse. La sovra-metilazione può causare ansia, irritabilità e insonnia. Aumentare lentamente nell'arco di 2-4 settimane. Se compaiono sintomi di sovra-metilazione, ridurre la dose o aggiungere niacina (50-100mg).</w:t>
      </w:r>
    </w:p>
    <w:p w14:paraId="697C008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465EE985">
          <v:rect id="_x0000_i1053" style="width:0;height:1.5pt" o:hralign="center" o:hrstd="t" o:hr="t" fillcolor="#a0a0a0" stroked="f"/>
        </w:pict>
      </w:r>
    </w:p>
    <w:p w14:paraId="552D7ED4"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Capitolo 3: Il Sistema di Eliminazione</w:t>
      </w:r>
    </w:p>
    <w:p w14:paraId="4D677CE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COMT e il Metabolismo della Dopamina</w:t>
      </w:r>
    </w:p>
    <w:p w14:paraId="162FADB8"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3.1 Cos'è COMT?</w:t>
      </w:r>
    </w:p>
    <w:p w14:paraId="3E2832B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Il gene </w:t>
      </w:r>
      <w:r w:rsidRPr="009810E5">
        <w:rPr>
          <w:rFonts w:ascii="Times New Roman" w:eastAsia="Times New Roman" w:hAnsi="Times New Roman" w:cs="Times New Roman"/>
          <w:b/>
          <w:bCs/>
          <w:kern w:val="0"/>
          <w14:ligatures w14:val="none"/>
        </w:rPr>
        <w:t>COMT</w:t>
      </w:r>
      <w:r w:rsidRPr="009810E5">
        <w:rPr>
          <w:rFonts w:ascii="Times New Roman" w:eastAsia="Times New Roman" w:hAnsi="Times New Roman" w:cs="Times New Roman"/>
          <w:kern w:val="0"/>
          <w14:ligatures w14:val="none"/>
        </w:rPr>
        <w:t xml:space="preserve"> (Catecol-O-Metiltransferasi) codifica un enzima che degrada:</w:t>
      </w:r>
    </w:p>
    <w:p w14:paraId="272EDCF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La dopamina • La norepinefrina • L'epinefrina • Gli estrogeni catecolo</w:t>
      </w:r>
    </w:p>
    <w:p w14:paraId="4BDFCFF0"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lastRenderedPageBreak/>
        <w:t>La variante rs4680 (Val158Met) determina la velocità di questo enzima.</w:t>
      </w:r>
    </w:p>
    <w:p w14:paraId="64390CB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423160CB">
          <v:rect id="_x0000_i1054" style="width:0;height:1.5pt" o:hralign="center" o:hrstd="t" o:hr="t" fillcolor="#a0a0a0" stroked="f"/>
        </w:pict>
      </w:r>
    </w:p>
    <w:p w14:paraId="7BA9C336"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3.2 Lo Spettro Guerriero-Ansioso</w:t>
      </w:r>
    </w:p>
    <w:p w14:paraId="3AB2DCB0"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Val/Val — Il Guerriero</w:t>
      </w:r>
    </w:p>
    <w:p w14:paraId="7AC91F5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ELIMINAZIONE RAPIDA</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Caratteristiche:</w:t>
      </w:r>
      <w:r w:rsidRPr="009810E5">
        <w:rPr>
          <w:rFonts w:ascii="Times New Roman" w:eastAsia="Times New Roman" w:hAnsi="Times New Roman" w:cs="Times New Roman"/>
          <w:kern w:val="0"/>
          <w14:ligatures w14:val="none"/>
        </w:rPr>
        <w:t xml:space="preserve"> • Eliminazione rapida della dopamina (4x più veloce di Met/Met) • Bassa ansia di base • Eccellente sotto stress acuto • Può sembrare 'distaccato' o 'insensibile'</w:t>
      </w:r>
    </w:p>
    <w:p w14:paraId="10C3E01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Rischi di Dipendenza:</w:t>
      </w:r>
      <w:r w:rsidRPr="009810E5">
        <w:rPr>
          <w:rFonts w:ascii="Times New Roman" w:eastAsia="Times New Roman" w:hAnsi="Times New Roman" w:cs="Times New Roman"/>
          <w:kern w:val="0"/>
          <w14:ligatures w14:val="none"/>
        </w:rPr>
        <w:t xml:space="preserve"> • Può cercare stimolanti per 'sentirsi normale' • Comportamenti a rischio per generare dopamina • Meno influenzato dalle ricompense normali</w:t>
      </w:r>
    </w:p>
    <w:p w14:paraId="45788E8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Punti di Forza nel Recupero:</w:t>
      </w:r>
      <w:r w:rsidRPr="009810E5">
        <w:rPr>
          <w:rFonts w:ascii="Times New Roman" w:eastAsia="Times New Roman" w:hAnsi="Times New Roman" w:cs="Times New Roman"/>
          <w:kern w:val="0"/>
          <w14:ligatures w14:val="none"/>
        </w:rPr>
        <w:t xml:space="preserve"> • Meno sintomi di astinenza emotiva • Può gestire meglio gli ambienti stressanti • Meno suscettibile alla ricaduta indotta dall'ansia</w:t>
      </w:r>
    </w:p>
    <w:p w14:paraId="3D007F0D"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Val/Met — L'Equilibrato</w:t>
      </w:r>
    </w:p>
    <w:p w14:paraId="5716DD6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ELIMINAZIONE INTERMEDIA</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Caratteristiche:</w:t>
      </w:r>
      <w:r w:rsidRPr="009810E5">
        <w:rPr>
          <w:rFonts w:ascii="Times New Roman" w:eastAsia="Times New Roman" w:hAnsi="Times New Roman" w:cs="Times New Roman"/>
          <w:kern w:val="0"/>
          <w14:ligatures w14:val="none"/>
        </w:rPr>
        <w:t xml:space="preserve"> • Funzione enzimatica moderata • Può adattarsi a vari ambienti • Flessibilità cognitiva</w:t>
      </w:r>
    </w:p>
    <w:p w14:paraId="2339984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Rischi di Dipendenza:</w:t>
      </w:r>
      <w:r w:rsidRPr="009810E5">
        <w:rPr>
          <w:rFonts w:ascii="Times New Roman" w:eastAsia="Times New Roman" w:hAnsi="Times New Roman" w:cs="Times New Roman"/>
          <w:kern w:val="0"/>
          <w14:ligatures w14:val="none"/>
        </w:rPr>
        <w:t xml:space="preserve"> • Dipende dal contesto e da altri geni • Può pendere verso Guerriero o Ansioso a seconda dell'ambiente</w:t>
      </w:r>
    </w:p>
    <w:p w14:paraId="7393DB65"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Met/Met — L'Ansioso</w:t>
      </w:r>
    </w:p>
    <w:p w14:paraId="0A54985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ELIMINAZIONE LENTA</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Caratteristiche:</w:t>
      </w:r>
      <w:r w:rsidRPr="009810E5">
        <w:rPr>
          <w:rFonts w:ascii="Times New Roman" w:eastAsia="Times New Roman" w:hAnsi="Times New Roman" w:cs="Times New Roman"/>
          <w:kern w:val="0"/>
          <w14:ligatures w14:val="none"/>
        </w:rPr>
        <w:t xml:space="preserve"> • Eliminazione lenta della dopamina • Alta ansia di base • Eccellente per compiti cognitivi complessi in ambienti tranquilli • Sopraffatto dallo stress acuto</w:t>
      </w:r>
    </w:p>
    <w:p w14:paraId="6A653BF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Rischi di Dipendenza:</w:t>
      </w:r>
      <w:r w:rsidRPr="009810E5">
        <w:rPr>
          <w:rFonts w:ascii="Times New Roman" w:eastAsia="Times New Roman" w:hAnsi="Times New Roman" w:cs="Times New Roman"/>
          <w:kern w:val="0"/>
          <w14:ligatures w14:val="none"/>
        </w:rPr>
        <w:t xml:space="preserve"> • Automedicazione con depressori (alcol, benzo, oppioidi) • Gli stimolanti creano ansia insopportabile • Può usare sostanze per 'spegnere' un cervello iperattivo</w:t>
      </w:r>
    </w:p>
    <w:p w14:paraId="48BA3DF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Sfide nel Recupero:</w:t>
      </w:r>
      <w:r w:rsidRPr="009810E5">
        <w:rPr>
          <w:rFonts w:ascii="Times New Roman" w:eastAsia="Times New Roman" w:hAnsi="Times New Roman" w:cs="Times New Roman"/>
          <w:kern w:val="0"/>
          <w14:ligatures w14:val="none"/>
        </w:rPr>
        <w:t xml:space="preserve"> • Sintomi di astinenza emotiva intensi • Alta vulnerabilità alla ricaduta indotta dall'ansia • Necessità di ambienti di recupero tranquilli e strutturati</w:t>
      </w:r>
    </w:p>
    <w:p w14:paraId="2BE7C7E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B5B1E8A">
          <v:rect id="_x0000_i1055" style="width:0;height:1.5pt" o:hralign="center" o:hrstd="t" o:hr="t" fillcolor="#a0a0a0" stroked="f"/>
        </w:pict>
      </w:r>
    </w:p>
    <w:p w14:paraId="75EDCCD3"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3.3 Protocollo di Supporto COMT</w:t>
      </w:r>
    </w:p>
    <w:p w14:paraId="3ED7B2EA"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Per Val/Val (Guerriero)</w:t>
      </w:r>
    </w:p>
    <w:p w14:paraId="73F7830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SISTEMA VERDE — STACK DI SUPPORTO DOPAMINA</w:t>
      </w:r>
      <w:r w:rsidRPr="009810E5">
        <w:rPr>
          <w:rFonts w:ascii="Times New Roman" w:eastAsia="Times New Roman" w:hAnsi="Times New Roman" w:cs="Times New Roman"/>
          <w:kern w:val="0"/>
          <w14:ligatures w14:val="none"/>
        </w:rPr>
        <w:t xml:space="preserve"> • </w:t>
      </w:r>
      <w:r w:rsidRPr="009810E5">
        <w:rPr>
          <w:rFonts w:ascii="Times New Roman" w:eastAsia="Times New Roman" w:hAnsi="Times New Roman" w:cs="Times New Roman"/>
          <w:b/>
          <w:bCs/>
          <w:kern w:val="0"/>
          <w14:ligatures w14:val="none"/>
        </w:rPr>
        <w:t>L-Tirosina</w:t>
      </w:r>
      <w:r w:rsidRPr="009810E5">
        <w:rPr>
          <w:rFonts w:ascii="Times New Roman" w:eastAsia="Times New Roman" w:hAnsi="Times New Roman" w:cs="Times New Roman"/>
          <w:kern w:val="0"/>
          <w14:ligatures w14:val="none"/>
        </w:rPr>
        <w:t xml:space="preserve"> (500-1000mg al mattino, a stomaco vuoto) • </w:t>
      </w:r>
      <w:r w:rsidRPr="009810E5">
        <w:rPr>
          <w:rFonts w:ascii="Times New Roman" w:eastAsia="Times New Roman" w:hAnsi="Times New Roman" w:cs="Times New Roman"/>
          <w:b/>
          <w:bCs/>
          <w:kern w:val="0"/>
          <w14:ligatures w14:val="none"/>
        </w:rPr>
        <w:t>Mucuna Pruriens</w:t>
      </w:r>
      <w:r w:rsidRPr="009810E5">
        <w:rPr>
          <w:rFonts w:ascii="Times New Roman" w:eastAsia="Times New Roman" w:hAnsi="Times New Roman" w:cs="Times New Roman"/>
          <w:kern w:val="0"/>
          <w14:ligatures w14:val="none"/>
        </w:rPr>
        <w:t xml:space="preserve"> (15% L-DOPA, 100-200mg) • </w:t>
      </w:r>
      <w:r w:rsidRPr="009810E5">
        <w:rPr>
          <w:rFonts w:ascii="Times New Roman" w:eastAsia="Times New Roman" w:hAnsi="Times New Roman" w:cs="Times New Roman"/>
          <w:b/>
          <w:bCs/>
          <w:kern w:val="0"/>
          <w14:ligatures w14:val="none"/>
        </w:rPr>
        <w:t>Rhodiola Rosea</w:t>
      </w:r>
      <w:r w:rsidRPr="009810E5">
        <w:rPr>
          <w:rFonts w:ascii="Times New Roman" w:eastAsia="Times New Roman" w:hAnsi="Times New Roman" w:cs="Times New Roman"/>
          <w:kern w:val="0"/>
          <w14:ligatures w14:val="none"/>
        </w:rPr>
        <w:t xml:space="preserve"> (200-400mg) • </w:t>
      </w:r>
      <w:r w:rsidRPr="009810E5">
        <w:rPr>
          <w:rFonts w:ascii="Times New Roman" w:eastAsia="Times New Roman" w:hAnsi="Times New Roman" w:cs="Times New Roman"/>
          <w:b/>
          <w:bCs/>
          <w:kern w:val="0"/>
          <w14:ligatures w14:val="none"/>
        </w:rPr>
        <w:t>Esercizio intenso</w:t>
      </w:r>
      <w:r w:rsidRPr="009810E5">
        <w:rPr>
          <w:rFonts w:ascii="Times New Roman" w:eastAsia="Times New Roman" w:hAnsi="Times New Roman" w:cs="Times New Roman"/>
          <w:kern w:val="0"/>
          <w14:ligatures w14:val="none"/>
        </w:rPr>
        <w:t xml:space="preserve"> regolare per il rilascio di dopamina</w:t>
      </w:r>
    </w:p>
    <w:p w14:paraId="7969F948"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Per Met/Met (Ansioso)</w:t>
      </w:r>
    </w:p>
    <w:p w14:paraId="718D2E4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STACK CALMANTE</w:t>
      </w:r>
      <w:r w:rsidRPr="009810E5">
        <w:rPr>
          <w:rFonts w:ascii="Times New Roman" w:eastAsia="Times New Roman" w:hAnsi="Times New Roman" w:cs="Times New Roman"/>
          <w:kern w:val="0"/>
          <w14:ligatures w14:val="none"/>
        </w:rPr>
        <w:t xml:space="preserve"> • </w:t>
      </w:r>
      <w:r w:rsidRPr="009810E5">
        <w:rPr>
          <w:rFonts w:ascii="Times New Roman" w:eastAsia="Times New Roman" w:hAnsi="Times New Roman" w:cs="Times New Roman"/>
          <w:b/>
          <w:bCs/>
          <w:kern w:val="0"/>
          <w14:ligatures w14:val="none"/>
        </w:rPr>
        <w:t>Magnesio Glicinato</w:t>
      </w:r>
      <w:r w:rsidRPr="009810E5">
        <w:rPr>
          <w:rFonts w:ascii="Times New Roman" w:eastAsia="Times New Roman" w:hAnsi="Times New Roman" w:cs="Times New Roman"/>
          <w:kern w:val="0"/>
          <w14:ligatures w14:val="none"/>
        </w:rPr>
        <w:t xml:space="preserve"> (400-600mg/giorno) • </w:t>
      </w:r>
      <w:r w:rsidRPr="009810E5">
        <w:rPr>
          <w:rFonts w:ascii="Times New Roman" w:eastAsia="Times New Roman" w:hAnsi="Times New Roman" w:cs="Times New Roman"/>
          <w:b/>
          <w:bCs/>
          <w:kern w:val="0"/>
          <w14:ligatures w14:val="none"/>
        </w:rPr>
        <w:t>L-Teanina</w:t>
      </w:r>
      <w:r w:rsidRPr="009810E5">
        <w:rPr>
          <w:rFonts w:ascii="Times New Roman" w:eastAsia="Times New Roman" w:hAnsi="Times New Roman" w:cs="Times New Roman"/>
          <w:kern w:val="0"/>
          <w14:ligatures w14:val="none"/>
        </w:rPr>
        <w:t xml:space="preserve"> (200-400mg al bisogno) • </w:t>
      </w:r>
      <w:r w:rsidRPr="009810E5">
        <w:rPr>
          <w:rFonts w:ascii="Times New Roman" w:eastAsia="Times New Roman" w:hAnsi="Times New Roman" w:cs="Times New Roman"/>
          <w:b/>
          <w:bCs/>
          <w:kern w:val="0"/>
          <w14:ligatures w14:val="none"/>
        </w:rPr>
        <w:t>Fosfatidilserina</w:t>
      </w:r>
      <w:r w:rsidRPr="009810E5">
        <w:rPr>
          <w:rFonts w:ascii="Times New Roman" w:eastAsia="Times New Roman" w:hAnsi="Times New Roman" w:cs="Times New Roman"/>
          <w:kern w:val="0"/>
          <w14:ligatures w14:val="none"/>
        </w:rPr>
        <w:t xml:space="preserve"> (300mg la sera) • </w:t>
      </w:r>
      <w:r w:rsidRPr="009810E5">
        <w:rPr>
          <w:rFonts w:ascii="Times New Roman" w:eastAsia="Times New Roman" w:hAnsi="Times New Roman" w:cs="Times New Roman"/>
          <w:b/>
          <w:bCs/>
          <w:kern w:val="0"/>
          <w14:ligatures w14:val="none"/>
        </w:rPr>
        <w:t>Ashwagandha</w:t>
      </w:r>
      <w:r w:rsidRPr="009810E5">
        <w:rPr>
          <w:rFonts w:ascii="Times New Roman" w:eastAsia="Times New Roman" w:hAnsi="Times New Roman" w:cs="Times New Roman"/>
          <w:kern w:val="0"/>
          <w14:ligatures w14:val="none"/>
        </w:rPr>
        <w:t xml:space="preserve"> (300-600mg, forma KSM-66) • </w:t>
      </w:r>
      <w:r w:rsidRPr="009810E5">
        <w:rPr>
          <w:rFonts w:ascii="Times New Roman" w:eastAsia="Times New Roman" w:hAnsi="Times New Roman" w:cs="Times New Roman"/>
          <w:b/>
          <w:bCs/>
          <w:kern w:val="0"/>
          <w14:ligatures w14:val="none"/>
        </w:rPr>
        <w:t>EVITARE</w:t>
      </w:r>
      <w:r w:rsidRPr="009810E5">
        <w:rPr>
          <w:rFonts w:ascii="Times New Roman" w:eastAsia="Times New Roman" w:hAnsi="Times New Roman" w:cs="Times New Roman"/>
          <w:kern w:val="0"/>
          <w14:ligatures w14:val="none"/>
        </w:rPr>
        <w:t>: Caffeina eccessiva, stimolanti, ambienti caotici</w:t>
      </w:r>
    </w:p>
    <w:p w14:paraId="50351BA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1AF8951">
          <v:rect id="_x0000_i1056" style="width:0;height:1.5pt" o:hralign="center" o:hrstd="t" o:hr="t" fillcolor="#a0a0a0" stroked="f"/>
        </w:pict>
      </w:r>
    </w:p>
    <w:p w14:paraId="2072C8FC"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Capitolo 4: Il Sistema di Elaborazione</w:t>
      </w:r>
    </w:p>
    <w:p w14:paraId="6E9533E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CYP450 e il Metabolismo dei Farmaci</w:t>
      </w:r>
    </w:p>
    <w:p w14:paraId="6CF5F6C4"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4.1 La Famiglia CYP450</w:t>
      </w:r>
    </w:p>
    <w:p w14:paraId="3308BE2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Gli enzimi </w:t>
      </w:r>
      <w:r w:rsidRPr="009810E5">
        <w:rPr>
          <w:rFonts w:ascii="Times New Roman" w:eastAsia="Times New Roman" w:hAnsi="Times New Roman" w:cs="Times New Roman"/>
          <w:b/>
          <w:bCs/>
          <w:kern w:val="0"/>
          <w14:ligatures w14:val="none"/>
        </w:rPr>
        <w:t>CYP450</w:t>
      </w:r>
      <w:r w:rsidRPr="009810E5">
        <w:rPr>
          <w:rFonts w:ascii="Times New Roman" w:eastAsia="Times New Roman" w:hAnsi="Times New Roman" w:cs="Times New Roman"/>
          <w:kern w:val="0"/>
          <w14:ligatures w14:val="none"/>
        </w:rPr>
        <w:t xml:space="preserve"> sono i principali sistemi di elaborazione dei farmaci del Suo fegato. I più clinicamente rilevanti sono:</w:t>
      </w:r>
    </w:p>
    <w:p w14:paraId="7173CF3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CYP2D6</w:t>
      </w:r>
      <w:r w:rsidRPr="009810E5">
        <w:rPr>
          <w:rFonts w:ascii="Times New Roman" w:eastAsia="Times New Roman" w:hAnsi="Times New Roman" w:cs="Times New Roman"/>
          <w:kern w:val="0"/>
          <w14:ligatures w14:val="none"/>
        </w:rPr>
        <w:t xml:space="preserve">: Metabolizza ~25% di tutti i farmaci prescritti • </w:t>
      </w:r>
      <w:r w:rsidRPr="009810E5">
        <w:rPr>
          <w:rFonts w:ascii="Times New Roman" w:eastAsia="Times New Roman" w:hAnsi="Times New Roman" w:cs="Times New Roman"/>
          <w:b/>
          <w:bCs/>
          <w:kern w:val="0"/>
          <w14:ligatures w14:val="none"/>
        </w:rPr>
        <w:t>CYP3A4</w:t>
      </w:r>
      <w:r w:rsidRPr="009810E5">
        <w:rPr>
          <w:rFonts w:ascii="Times New Roman" w:eastAsia="Times New Roman" w:hAnsi="Times New Roman" w:cs="Times New Roman"/>
          <w:kern w:val="0"/>
          <w14:ligatures w14:val="none"/>
        </w:rPr>
        <w:t xml:space="preserve">: Metabolizza ~50% di tutti i farmaci prescritti • </w:t>
      </w:r>
      <w:r w:rsidRPr="009810E5">
        <w:rPr>
          <w:rFonts w:ascii="Times New Roman" w:eastAsia="Times New Roman" w:hAnsi="Times New Roman" w:cs="Times New Roman"/>
          <w:b/>
          <w:bCs/>
          <w:kern w:val="0"/>
          <w14:ligatures w14:val="none"/>
        </w:rPr>
        <w:t>CYP2C19</w:t>
      </w:r>
      <w:r w:rsidRPr="009810E5">
        <w:rPr>
          <w:rFonts w:ascii="Times New Roman" w:eastAsia="Times New Roman" w:hAnsi="Times New Roman" w:cs="Times New Roman"/>
          <w:kern w:val="0"/>
          <w14:ligatures w14:val="none"/>
        </w:rPr>
        <w:t xml:space="preserve">: Metabolizza gli IPP, alcuni antidepressivi, clopidogrel • </w:t>
      </w:r>
      <w:r w:rsidRPr="009810E5">
        <w:rPr>
          <w:rFonts w:ascii="Times New Roman" w:eastAsia="Times New Roman" w:hAnsi="Times New Roman" w:cs="Times New Roman"/>
          <w:b/>
          <w:bCs/>
          <w:kern w:val="0"/>
          <w14:ligatures w14:val="none"/>
        </w:rPr>
        <w:t>CYP2B6</w:t>
      </w:r>
      <w:r w:rsidRPr="009810E5">
        <w:rPr>
          <w:rFonts w:ascii="Times New Roman" w:eastAsia="Times New Roman" w:hAnsi="Times New Roman" w:cs="Times New Roman"/>
          <w:kern w:val="0"/>
          <w14:ligatures w14:val="none"/>
        </w:rPr>
        <w:t xml:space="preserve">: Metabolizza il metadone, il bupropione, la ketamina • </w:t>
      </w:r>
      <w:r w:rsidRPr="009810E5">
        <w:rPr>
          <w:rFonts w:ascii="Times New Roman" w:eastAsia="Times New Roman" w:hAnsi="Times New Roman" w:cs="Times New Roman"/>
          <w:b/>
          <w:bCs/>
          <w:kern w:val="0"/>
          <w14:ligatures w14:val="none"/>
        </w:rPr>
        <w:t>CYP1A2</w:t>
      </w:r>
      <w:r w:rsidRPr="009810E5">
        <w:rPr>
          <w:rFonts w:ascii="Times New Roman" w:eastAsia="Times New Roman" w:hAnsi="Times New Roman" w:cs="Times New Roman"/>
          <w:kern w:val="0"/>
          <w14:ligatures w14:val="none"/>
        </w:rPr>
        <w:t>: Metabolizza la caffeina, alcuni antipsicotici</w:t>
      </w:r>
    </w:p>
    <w:p w14:paraId="02E20E5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633EBEC">
          <v:rect id="_x0000_i1057" style="width:0;height:1.5pt" o:hralign="center" o:hrstd="t" o:hr="t" fillcolor="#a0a0a0" stroked="f"/>
        </w:pict>
      </w:r>
    </w:p>
    <w:p w14:paraId="354BBA8D"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4.2 Fenotipi CYP2D6 e Implicazioni Cliniche</w:t>
      </w:r>
    </w:p>
    <w:p w14:paraId="35408280"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Metabolizzatore Lento (PM)</w:t>
      </w:r>
    </w:p>
    <w:p w14:paraId="06DB39B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ACCUMULO DI FARMACI</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Prevalenza:</w:t>
      </w:r>
      <w:r w:rsidRPr="009810E5">
        <w:rPr>
          <w:rFonts w:ascii="Times New Roman" w:eastAsia="Times New Roman" w:hAnsi="Times New Roman" w:cs="Times New Roman"/>
          <w:kern w:val="0"/>
          <w14:ligatures w14:val="none"/>
        </w:rPr>
        <w:t xml:space="preserve"> 5-10% dei caucasici, 1-2% degli asiatici</w:t>
      </w:r>
    </w:p>
    <w:p w14:paraId="2342442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Implicazioni:</w:t>
      </w:r>
      <w:r w:rsidRPr="009810E5">
        <w:rPr>
          <w:rFonts w:ascii="Times New Roman" w:eastAsia="Times New Roman" w:hAnsi="Times New Roman" w:cs="Times New Roman"/>
          <w:kern w:val="0"/>
          <w14:ligatures w14:val="none"/>
        </w:rPr>
        <w:t xml:space="preserve"> • La codeina NON fornisce sollievo (non può essere convertita in morfina) • Il tramadolo è inefficace • Gli antidepressivi si accumulano a livelli tossici • Il fentanil colpisce a piena forza (bypassa CYP2D6)</w:t>
      </w:r>
    </w:p>
    <w:p w14:paraId="403D4CC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Farmaci da Evitare/Aggiustare:</w:t>
      </w:r>
      <w:r w:rsidRPr="009810E5">
        <w:rPr>
          <w:rFonts w:ascii="Times New Roman" w:eastAsia="Times New Roman" w:hAnsi="Times New Roman" w:cs="Times New Roman"/>
          <w:kern w:val="0"/>
          <w14:ligatures w14:val="none"/>
        </w:rPr>
        <w:t xml:space="preserve"> • Codeina, tramadolo (inefficaci) • Fluoxetina, paroxetina (accumulo tossico) • Metoprololo, propranololo (accumulo)</w:t>
      </w:r>
    </w:p>
    <w:p w14:paraId="0AB677FC"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Metabolizzatore Normale (NM)</w:t>
      </w:r>
    </w:p>
    <w:p w14:paraId="1525B94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lastRenderedPageBreak/>
        <w:t>✅</w:t>
      </w:r>
      <w:r w:rsidRPr="009810E5">
        <w:rPr>
          <w:rFonts w:ascii="Times New Roman" w:eastAsia="Times New Roman" w:hAnsi="Times New Roman" w:cs="Times New Roman"/>
          <w:b/>
          <w:bCs/>
          <w:kern w:val="0"/>
          <w14:ligatures w14:val="none"/>
        </w:rPr>
        <w:t xml:space="preserve"> SISTEMA VERDE — DOSAGGIO STANDARD</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Prevalenza:</w:t>
      </w:r>
      <w:r w:rsidRPr="009810E5">
        <w:rPr>
          <w:rFonts w:ascii="Times New Roman" w:eastAsia="Times New Roman" w:hAnsi="Times New Roman" w:cs="Times New Roman"/>
          <w:kern w:val="0"/>
          <w14:ligatures w14:val="none"/>
        </w:rPr>
        <w:t xml:space="preserve"> 50-70% della popolazione • Si applica il dosaggio standard dei farmaci • La maggior parte degli studi clinici è progettata per questo gruppo</w:t>
      </w:r>
    </w:p>
    <w:p w14:paraId="6342354E"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Metabolizzatore Ultrarapido (UM)</w:t>
      </w:r>
    </w:p>
    <w:p w14:paraId="7E03E0F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ELIMINAZIONE TROPPO RAPIDA</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Prevalenza:</w:t>
      </w:r>
      <w:r w:rsidRPr="009810E5">
        <w:rPr>
          <w:rFonts w:ascii="Times New Roman" w:eastAsia="Times New Roman" w:hAnsi="Times New Roman" w:cs="Times New Roman"/>
          <w:kern w:val="0"/>
          <w14:ligatures w14:val="none"/>
        </w:rPr>
        <w:t xml:space="preserve"> 1-10% (varia per etnia; più frequente in popolazioni del Medio Oriente)</w:t>
      </w:r>
    </w:p>
    <w:p w14:paraId="75DAC96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Implicazioni:</w:t>
      </w:r>
      <w:r w:rsidRPr="009810E5">
        <w:rPr>
          <w:rFonts w:ascii="Times New Roman" w:eastAsia="Times New Roman" w:hAnsi="Times New Roman" w:cs="Times New Roman"/>
          <w:kern w:val="0"/>
          <w14:ligatures w14:val="none"/>
        </w:rPr>
        <w:t xml:space="preserve"> • Le dosi standard sono inefficaci • La codeina viene convertita in morfina PERICOLOSAMENTE veloce • Gli antidepressivi vengono eliminati prima di fare effetto • Può essere etichettato 'resistente al trattamento' quando è un problema di dose</w:t>
      </w:r>
    </w:p>
    <w:p w14:paraId="656CAA7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Linee Guida CPIC:</w:t>
      </w:r>
      <w:r w:rsidRPr="009810E5">
        <w:rPr>
          <w:rFonts w:ascii="Times New Roman" w:eastAsia="Times New Roman" w:hAnsi="Times New Roman" w:cs="Times New Roman"/>
          <w:kern w:val="0"/>
          <w14:ligatures w14:val="none"/>
        </w:rPr>
        <w:t xml:space="preserve"> La codeina è CONTROINDICATA negli UM a causa del rischio di overdose da morfina.</w:t>
      </w:r>
    </w:p>
    <w:p w14:paraId="14D4666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40EEB48C">
          <v:rect id="_x0000_i1058" style="width:0;height:1.5pt" o:hralign="center" o:hrstd="t" o:hr="t" fillcolor="#a0a0a0" stroked="f"/>
        </w:pict>
      </w:r>
    </w:p>
    <w:p w14:paraId="336A6394"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4.3 Interazioni Farmacologiche CYP450</w:t>
      </w:r>
    </w:p>
    <w:p w14:paraId="137AE18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ACCATASTAMENTO DI SUBSTRATI</w:t>
      </w:r>
      <w:r w:rsidRPr="009810E5">
        <w:rPr>
          <w:rFonts w:ascii="Times New Roman" w:eastAsia="Times New Roman" w:hAnsi="Times New Roman" w:cs="Times New Roman"/>
          <w:kern w:val="0"/>
          <w14:ligatures w14:val="none"/>
        </w:rPr>
        <w:t xml:space="preserve"> Quando molteplici farmaci usano lo stesso enzima CYP450, 'competono' per l'elaborazione. Questo causa: • Accumulo imprevedibile • Tossicità a dosi 'normali' • Fallimento terapeutico</w:t>
      </w:r>
    </w:p>
    <w:p w14:paraId="6C2B042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Inibitori Comuni di CYP2D6 (rallentano il metabolismo):</w:t>
      </w:r>
      <w:r w:rsidRPr="009810E5">
        <w:rPr>
          <w:rFonts w:ascii="Times New Roman" w:eastAsia="Times New Roman" w:hAnsi="Times New Roman" w:cs="Times New Roman"/>
          <w:kern w:val="0"/>
          <w14:ligatures w14:val="none"/>
        </w:rPr>
        <w:t xml:space="preserve"> • Fluoxetina (Prozac) • Paroxetina (Sereupin) • Bupropione (Wellbutrin) • Chinidina</w:t>
      </w:r>
    </w:p>
    <w:p w14:paraId="494B65F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Substrati Comuni di CYP2D6 (metabolizzati da CYP2D6):</w:t>
      </w:r>
      <w:r w:rsidRPr="009810E5">
        <w:rPr>
          <w:rFonts w:ascii="Times New Roman" w:eastAsia="Times New Roman" w:hAnsi="Times New Roman" w:cs="Times New Roman"/>
          <w:kern w:val="0"/>
          <w14:ligatures w14:val="none"/>
        </w:rPr>
        <w:t xml:space="preserve"> • Codeina, tramadolo, idrocodone, ossicodone • Metoprololo, propranololo • Amitriptilina, nortriptilina • Risperidone, aripiprazolo</w:t>
      </w:r>
    </w:p>
    <w:p w14:paraId="6C94BE0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2091236C">
          <v:rect id="_x0000_i1059" style="width:0;height:1.5pt" o:hralign="center" o:hrstd="t" o:hr="t" fillcolor="#a0a0a0" stroked="f"/>
        </w:pict>
      </w:r>
    </w:p>
    <w:p w14:paraId="214AFCF1"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Capitolo 5: L'Effetto Combinato</w:t>
      </w:r>
    </w:p>
    <w:p w14:paraId="54D680B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Quando Multiple Varianti Si Incontrano</w:t>
      </w:r>
    </w:p>
    <w:p w14:paraId="4413E9A8"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5.1 Il Moltiplicatore di Rischio</w:t>
      </w:r>
    </w:p>
    <w:p w14:paraId="4AF7A65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I rischi genetici non si sommano — si moltiplicano. Una variante MTHFR + una variante COMT + una variante CYP450 non crea 3x il rischio. Può creare 10x il rischio. Ogni sistema compromesso stressa ulteriormente gli altri.</w:t>
      </w:r>
    </w:p>
    <w:p w14:paraId="19B4A542"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lastRenderedPageBreak/>
        <w:t>Profilo ad Alto Rischio: L'Ansioso Sottometilato</w:t>
      </w:r>
    </w:p>
    <w:p w14:paraId="4234860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COMBINAZIONE PERICOLOSA</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Genotipo:</w:t>
      </w:r>
      <w:r w:rsidRPr="009810E5">
        <w:rPr>
          <w:rFonts w:ascii="Times New Roman" w:eastAsia="Times New Roman" w:hAnsi="Times New Roman" w:cs="Times New Roman"/>
          <w:kern w:val="0"/>
          <w14:ligatures w14:val="none"/>
        </w:rPr>
        <w:t xml:space="preserve"> MTHFR T/T + COMT Met/Met</w:t>
      </w:r>
    </w:p>
    <w:p w14:paraId="74079FF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Meccanismo:</w:t>
      </w:r>
      <w:r w:rsidRPr="009810E5">
        <w:rPr>
          <w:rFonts w:ascii="Times New Roman" w:eastAsia="Times New Roman" w:hAnsi="Times New Roman" w:cs="Times New Roman"/>
          <w:kern w:val="0"/>
          <w14:ligatures w14:val="none"/>
        </w:rPr>
        <w:t xml:space="preserve"> • MTHFR T/T = Produzione ridotta di neurotrasmettitori • COMT Met/Met = Eliminazione lenta della dopamina • Risultato = Oscillazione tra dopamina bassa (depressione) e dopamina persistente (ansia)</w:t>
      </w:r>
    </w:p>
    <w:p w14:paraId="6390177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Presentazione:</w:t>
      </w:r>
      <w:r w:rsidRPr="009810E5">
        <w:rPr>
          <w:rFonts w:ascii="Times New Roman" w:eastAsia="Times New Roman" w:hAnsi="Times New Roman" w:cs="Times New Roman"/>
          <w:kern w:val="0"/>
          <w14:ligatures w14:val="none"/>
        </w:rPr>
        <w:t xml:space="preserve"> • Depressione mista con ansia • Resistente al trattamento • Automedicazione probabile con depressori • Gli antidepressivi standard spesso falliscono</w:t>
      </w:r>
    </w:p>
    <w:p w14:paraId="29E07F74"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Profilo ad Alto Rischio: Il Guerriero Sottometilato</w:t>
      </w:r>
    </w:p>
    <w:p w14:paraId="2486557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COMBINAZIONE PROBLEMATICA</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Genotipo:</w:t>
      </w:r>
      <w:r w:rsidRPr="009810E5">
        <w:rPr>
          <w:rFonts w:ascii="Times New Roman" w:eastAsia="Times New Roman" w:hAnsi="Times New Roman" w:cs="Times New Roman"/>
          <w:kern w:val="0"/>
          <w14:ligatures w14:val="none"/>
        </w:rPr>
        <w:t xml:space="preserve"> MTHFR T/T + COMT Val/Val</w:t>
      </w:r>
    </w:p>
    <w:p w14:paraId="5089854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Meccanismo:</w:t>
      </w:r>
      <w:r w:rsidRPr="009810E5">
        <w:rPr>
          <w:rFonts w:ascii="Times New Roman" w:eastAsia="Times New Roman" w:hAnsi="Times New Roman" w:cs="Times New Roman"/>
          <w:kern w:val="0"/>
          <w14:ligatures w14:val="none"/>
        </w:rPr>
        <w:t xml:space="preserve"> • MTHFR T/T = Produzione ridotta di neurotrasmettitori • COMT Val/Val = Eliminazione rapida della dopamina • Risultato = Deficit cronico di dopamina</w:t>
      </w:r>
    </w:p>
    <w:p w14:paraId="46CAE6D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Presentazione:</w:t>
      </w:r>
      <w:r w:rsidRPr="009810E5">
        <w:rPr>
          <w:rFonts w:ascii="Times New Roman" w:eastAsia="Times New Roman" w:hAnsi="Times New Roman" w:cs="Times New Roman"/>
          <w:kern w:val="0"/>
          <w14:ligatures w14:val="none"/>
        </w:rPr>
        <w:t xml:space="preserve"> • Ricerca di sensazioni • Comportamenti a rischio • Automedicazione probabile con stimolanti • Simile all'ADHD senza ADHD reale</w:t>
      </w:r>
    </w:p>
    <w:p w14:paraId="710664C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7B08A16D">
          <v:rect id="_x0000_i1060" style="width:0;height:1.5pt" o:hralign="center" o:hrstd="t" o:hr="t" fillcolor="#a0a0a0" stroked="f"/>
        </w:pict>
      </w:r>
    </w:p>
    <w:p w14:paraId="1D53FEC1"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5.2 Il Triangolo del Pericolo CYP450</w:t>
      </w:r>
    </w:p>
    <w:p w14:paraId="3A61064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COLLISIONE MULTI-ENZIMI</w:t>
      </w:r>
      <w:r w:rsidRPr="009810E5">
        <w:rPr>
          <w:rFonts w:ascii="Times New Roman" w:eastAsia="Times New Roman" w:hAnsi="Times New Roman" w:cs="Times New Roman"/>
          <w:kern w:val="0"/>
          <w14:ligatures w14:val="none"/>
        </w:rPr>
        <w:t xml:space="preserve"> Quando un paziente è PM per molteplici enzimi CYP450:</w:t>
      </w:r>
    </w:p>
    <w:p w14:paraId="3739EB2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Esempio:</w:t>
      </w:r>
      <w:r w:rsidRPr="009810E5">
        <w:rPr>
          <w:rFonts w:ascii="Times New Roman" w:eastAsia="Times New Roman" w:hAnsi="Times New Roman" w:cs="Times New Roman"/>
          <w:kern w:val="0"/>
          <w14:ligatures w14:val="none"/>
        </w:rPr>
        <w:t xml:space="preserve"> PM CYP2D6 + PM CYP2C19 • La maggior parte degli antidepressivi si accumula • Gli oppioidi tradizionali non funzionano • Gli IPP causano soppressione acida eccessiva • I rischi di interazione sono esponenziali</w:t>
      </w:r>
    </w:p>
    <w:p w14:paraId="43FEA3C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pict w14:anchorId="1525BF79">
          <v:rect id="_x0000_i1061" style="width:0;height:1.5pt" o:hralign="center" o:hrstd="t" o:hr="t" fillcolor="#a0a0a0" stroked="f"/>
        </w:pict>
      </w:r>
    </w:p>
    <w:p w14:paraId="1ADD47F5"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5.3 Casi Clinici Combinati</w:t>
      </w:r>
    </w:p>
    <w:p w14:paraId="361E4CDC"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Caso A: La Spirale del Poli-Uso</w:t>
      </w:r>
    </w:p>
    <w:p w14:paraId="4377590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Paziente:</w:t>
      </w:r>
      <w:r w:rsidRPr="009810E5">
        <w:rPr>
          <w:rFonts w:ascii="Times New Roman" w:eastAsia="Times New Roman" w:hAnsi="Times New Roman" w:cs="Times New Roman"/>
          <w:kern w:val="0"/>
          <w14:ligatures w14:val="none"/>
        </w:rPr>
        <w:t xml:space="preserve"> Uomo, 28 anni, storia di uso di multiple sostanze </w:t>
      </w:r>
      <w:r w:rsidRPr="009810E5">
        <w:rPr>
          <w:rFonts w:ascii="Times New Roman" w:eastAsia="Times New Roman" w:hAnsi="Times New Roman" w:cs="Times New Roman"/>
          <w:b/>
          <w:bCs/>
          <w:kern w:val="0"/>
          <w14:ligatures w14:val="none"/>
        </w:rPr>
        <w:t>Genotipo:</w:t>
      </w:r>
      <w:r w:rsidRPr="009810E5">
        <w:rPr>
          <w:rFonts w:ascii="Times New Roman" w:eastAsia="Times New Roman" w:hAnsi="Times New Roman" w:cs="Times New Roman"/>
          <w:kern w:val="0"/>
          <w14:ligatures w14:val="none"/>
        </w:rPr>
        <w:t xml:space="preserve"> MTHFR C/T, COMT Met/Met, CYP2D6 PM</w:t>
      </w:r>
    </w:p>
    <w:p w14:paraId="549E675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lastRenderedPageBreak/>
        <w:t>Storia:</w:t>
      </w:r>
      <w:r w:rsidRPr="009810E5">
        <w:rPr>
          <w:rFonts w:ascii="Times New Roman" w:eastAsia="Times New Roman" w:hAnsi="Times New Roman" w:cs="Times New Roman"/>
          <w:kern w:val="0"/>
          <w14:ligatures w14:val="none"/>
        </w:rPr>
        <w:t xml:space="preserve"> • Ansia severa dall'infanzia • Automedicazione con alcol a 16 anni • Prescrizione di benzo a 20 anni → dipendenza • Prova di codeina per dolore → inefficace → escalation verso l'eroina • Molteplici fallimenti di trattamento</w:t>
      </w:r>
    </w:p>
    <w:p w14:paraId="5BEF1E4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Analisi del Sistema:</w:t>
      </w:r>
      <w:r w:rsidRPr="009810E5">
        <w:rPr>
          <w:rFonts w:ascii="Times New Roman" w:eastAsia="Times New Roman" w:hAnsi="Times New Roman" w:cs="Times New Roman"/>
          <w:kern w:val="0"/>
          <w14:ligatures w14:val="none"/>
        </w:rPr>
        <w:t xml:space="preserve"> • COMT Met/Met spiega l'ansia di base • CYP2D6 PM spiega il fallimento della codeina • MTHFR C/T contribuisce alla vulnerabilità alla depressione</w:t>
      </w:r>
    </w:p>
    <w:p w14:paraId="7F68F03D"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Intervento Farmacogenomico:</w:t>
      </w:r>
      <w:r w:rsidRPr="009810E5">
        <w:rPr>
          <w:rFonts w:ascii="Times New Roman" w:eastAsia="Times New Roman" w:hAnsi="Times New Roman" w:cs="Times New Roman"/>
          <w:kern w:val="0"/>
          <w14:ligatures w14:val="none"/>
        </w:rPr>
        <w:t xml:space="preserve"> • Metilfolato 15mg + cofattori • Gabapentin (non metabolizzato da CYP2D6) per l'ansia • Buprenorfina (non richiede conversione CYP2D6) per MAT • Evitamento rigoroso delle benzo</w:t>
      </w:r>
    </w:p>
    <w:p w14:paraId="77D556AF"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Caso B: La Resistente al Trattamento</w:t>
      </w:r>
    </w:p>
    <w:p w14:paraId="4E6B617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Paziente:</w:t>
      </w:r>
      <w:r w:rsidRPr="009810E5">
        <w:rPr>
          <w:rFonts w:ascii="Times New Roman" w:eastAsia="Times New Roman" w:hAnsi="Times New Roman" w:cs="Times New Roman"/>
          <w:kern w:val="0"/>
          <w14:ligatures w14:val="none"/>
        </w:rPr>
        <w:t xml:space="preserve"> Donna, 45 anni, depressione 'refrattaria' per 20 anni </w:t>
      </w:r>
      <w:r w:rsidRPr="009810E5">
        <w:rPr>
          <w:rFonts w:ascii="Times New Roman" w:eastAsia="Times New Roman" w:hAnsi="Times New Roman" w:cs="Times New Roman"/>
          <w:b/>
          <w:bCs/>
          <w:kern w:val="0"/>
          <w14:ligatures w14:val="none"/>
        </w:rPr>
        <w:t>Genotipo:</w:t>
      </w:r>
      <w:r w:rsidRPr="009810E5">
        <w:rPr>
          <w:rFonts w:ascii="Times New Roman" w:eastAsia="Times New Roman" w:hAnsi="Times New Roman" w:cs="Times New Roman"/>
          <w:kern w:val="0"/>
          <w14:ligatures w14:val="none"/>
        </w:rPr>
        <w:t xml:space="preserve"> MTHFR T/T, COMT Val/Met, CYP2C19 UM</w:t>
      </w:r>
    </w:p>
    <w:p w14:paraId="08864595"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Storia:</w:t>
      </w:r>
      <w:r w:rsidRPr="009810E5">
        <w:rPr>
          <w:rFonts w:ascii="Times New Roman" w:eastAsia="Times New Roman" w:hAnsi="Times New Roman" w:cs="Times New Roman"/>
          <w:kern w:val="0"/>
          <w14:ligatures w14:val="none"/>
        </w:rPr>
        <w:t xml:space="preserve"> • 15+ antidepressivi provati • Ricoveri multipli • Etichettata come 'difficile' dagli psichiatri • Automedicazione con alcol</w:t>
      </w:r>
    </w:p>
    <w:p w14:paraId="22281F9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Analisi del Sistema:</w:t>
      </w:r>
      <w:r w:rsidRPr="009810E5">
        <w:rPr>
          <w:rFonts w:ascii="Times New Roman" w:eastAsia="Times New Roman" w:hAnsi="Times New Roman" w:cs="Times New Roman"/>
          <w:kern w:val="0"/>
          <w14:ligatures w14:val="none"/>
        </w:rPr>
        <w:t xml:space="preserve"> • MTHFR T/T = Non produce abbastanza precursori della serotonina • CYP2C19 UM = Elimina gli SSRI troppo velocemente per fare effetto • Risultato = Ogni SSRI fallisce perché manca il substrato E viene eliminato troppo velocemente</w:t>
      </w:r>
    </w:p>
    <w:p w14:paraId="785017F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Intervento Farmacogenomico:</w:t>
      </w:r>
      <w:r w:rsidRPr="009810E5">
        <w:rPr>
          <w:rFonts w:ascii="Times New Roman" w:eastAsia="Times New Roman" w:hAnsi="Times New Roman" w:cs="Times New Roman"/>
          <w:kern w:val="0"/>
          <w14:ligatures w14:val="none"/>
        </w:rPr>
        <w:t xml:space="preserve"> • Metilfolato 15mg (fornire il substrato mancante) • Venlafaxina (non metabolizzata da CYP2C19) a dose più alta • Monitoraggio dei livelli plasmatici • Risposta in 6 settimane dopo 20 anni di fallimenti</w:t>
      </w:r>
    </w:p>
    <w:p w14:paraId="33B3C568"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73F997FC">
          <v:rect id="_x0000_i1071" alt="" style="width:468pt;height:.05pt;mso-width-percent:0;mso-height-percent:0;mso-width-percent:0;mso-height-percent:0" o:hralign="center" o:hrstd="t" o:hr="t" fillcolor="#a0a0a0" stroked="f"/>
        </w:pict>
      </w:r>
    </w:p>
    <w:p w14:paraId="12A8F17D"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Capitolo 6: Il Campo di Gioco Epigenetico</w:t>
      </w:r>
    </w:p>
    <w:p w14:paraId="7644FF8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Adattare il Suo Stile di Vita al Suo Genotipo</w:t>
      </w:r>
    </w:p>
    <w:p w14:paraId="500CDECD"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6.1 L'Epigenetica: Il Software Sul Suo Hardware</w:t>
      </w:r>
    </w:p>
    <w:p w14:paraId="18CC2DD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I Suoi geni sono l'hardware. L'epigenetica è il software. Non può cambiare l'hardware, ma può ottimizzare il software. Lo stile di vita — alimentazione, esercizio, sonno, stress — modifica l'espressione dei Suoi geni.</w:t>
      </w:r>
    </w:p>
    <w:p w14:paraId="6C06B8D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L'epigenetica spiega perché due persone con lo stesso genotipo possono avere risultati molto diversi. Le Sue scelte di stile di vita 'accendono' o 'spengono' certi geni.</w:t>
      </w:r>
    </w:p>
    <w:p w14:paraId="58EDEAFE"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5DC97342">
          <v:rect id="_x0000_i1070" alt="" style="width:468pt;height:.05pt;mso-width-percent:0;mso-height-percent:0;mso-width-percent:0;mso-height-percent:0" o:hralign="center" o:hrstd="t" o:hr="t" fillcolor="#a0a0a0" stroked="f"/>
        </w:pict>
      </w:r>
    </w:p>
    <w:p w14:paraId="3A5CF8DA"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lastRenderedPageBreak/>
        <w:t>6.2 Adattare lo Stile di Vita al Genotipo COMT</w:t>
      </w:r>
    </w:p>
    <w:p w14:paraId="1BC39039"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Per Val/Val (Guerriero)</w:t>
      </w:r>
    </w:p>
    <w:p w14:paraId="3880AA0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OTTIMIZZAZIONE GUERRIERO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Esercizio:</w:t>
      </w:r>
      <w:r w:rsidRPr="009810E5">
        <w:rPr>
          <w:rFonts w:ascii="Times New Roman" w:eastAsia="Times New Roman" w:hAnsi="Times New Roman" w:cs="Times New Roman"/>
          <w:kern w:val="0"/>
          <w14:ligatures w14:val="none"/>
        </w:rPr>
        <w:t xml:space="preserve"> Alta intensità, competitivo, sport di squadra </w:t>
      </w:r>
      <w:r w:rsidRPr="009810E5">
        <w:rPr>
          <w:rFonts w:ascii="Times New Roman" w:eastAsia="Times New Roman" w:hAnsi="Times New Roman" w:cs="Times New Roman"/>
          <w:b/>
          <w:bCs/>
          <w:kern w:val="0"/>
          <w14:ligatures w14:val="none"/>
        </w:rPr>
        <w:t>Alimentazione:</w:t>
      </w:r>
      <w:r w:rsidRPr="009810E5">
        <w:rPr>
          <w:rFonts w:ascii="Times New Roman" w:eastAsia="Times New Roman" w:hAnsi="Times New Roman" w:cs="Times New Roman"/>
          <w:kern w:val="0"/>
          <w14:ligatures w14:val="none"/>
        </w:rPr>
        <w:t xml:space="preserve"> Può tollerare più proteine, meno sensibile alla tirosina </w:t>
      </w:r>
      <w:r w:rsidRPr="009810E5">
        <w:rPr>
          <w:rFonts w:ascii="Times New Roman" w:eastAsia="Times New Roman" w:hAnsi="Times New Roman" w:cs="Times New Roman"/>
          <w:b/>
          <w:bCs/>
          <w:kern w:val="0"/>
          <w14:ligatures w14:val="none"/>
        </w:rPr>
        <w:t>Caffè:</w:t>
      </w:r>
      <w:r w:rsidRPr="009810E5">
        <w:rPr>
          <w:rFonts w:ascii="Times New Roman" w:eastAsia="Times New Roman" w:hAnsi="Times New Roman" w:cs="Times New Roman"/>
          <w:kern w:val="0"/>
          <w14:ligatures w14:val="none"/>
        </w:rPr>
        <w:t xml:space="preserve"> Ben tollerato, può anche essere benefico </w:t>
      </w:r>
      <w:r w:rsidRPr="009810E5">
        <w:rPr>
          <w:rFonts w:ascii="Times New Roman" w:eastAsia="Times New Roman" w:hAnsi="Times New Roman" w:cs="Times New Roman"/>
          <w:b/>
          <w:bCs/>
          <w:kern w:val="0"/>
          <w14:ligatures w14:val="none"/>
        </w:rPr>
        <w:t>Carriera:</w:t>
      </w:r>
      <w:r w:rsidRPr="009810E5">
        <w:rPr>
          <w:rFonts w:ascii="Times New Roman" w:eastAsia="Times New Roman" w:hAnsi="Times New Roman" w:cs="Times New Roman"/>
          <w:kern w:val="0"/>
          <w14:ligatures w14:val="none"/>
        </w:rPr>
        <w:t xml:space="preserve"> Rende bene in ambienti ad alta pressione </w:t>
      </w:r>
      <w:r w:rsidRPr="009810E5">
        <w:rPr>
          <w:rFonts w:ascii="Times New Roman" w:eastAsia="Times New Roman" w:hAnsi="Times New Roman" w:cs="Times New Roman"/>
          <w:b/>
          <w:bCs/>
          <w:kern w:val="0"/>
          <w14:ligatures w14:val="none"/>
        </w:rPr>
        <w:t>Recupero:</w:t>
      </w:r>
      <w:r w:rsidRPr="009810E5">
        <w:rPr>
          <w:rFonts w:ascii="Times New Roman" w:eastAsia="Times New Roman" w:hAnsi="Times New Roman" w:cs="Times New Roman"/>
          <w:kern w:val="0"/>
          <w14:ligatures w14:val="none"/>
        </w:rPr>
        <w:t xml:space="preserve"> Ha bisogno di sfide, obiettivi concreti, struttura</w:t>
      </w:r>
    </w:p>
    <w:p w14:paraId="3B08C2A3"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Per Met/Met (Ansioso)</w:t>
      </w:r>
    </w:p>
    <w:p w14:paraId="5A1FC21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OTTIMIZZAZIONE ANSIOSO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Esercizio:</w:t>
      </w:r>
      <w:r w:rsidRPr="009810E5">
        <w:rPr>
          <w:rFonts w:ascii="Times New Roman" w:eastAsia="Times New Roman" w:hAnsi="Times New Roman" w:cs="Times New Roman"/>
          <w:kern w:val="0"/>
          <w14:ligatures w14:val="none"/>
        </w:rPr>
        <w:t xml:space="preserve"> Moderato, yoga, nuoto, passeggiate nella natura </w:t>
      </w:r>
      <w:r w:rsidRPr="009810E5">
        <w:rPr>
          <w:rFonts w:ascii="Times New Roman" w:eastAsia="Times New Roman" w:hAnsi="Times New Roman" w:cs="Times New Roman"/>
          <w:b/>
          <w:bCs/>
          <w:kern w:val="0"/>
          <w14:ligatures w14:val="none"/>
        </w:rPr>
        <w:t>Alimentazione:</w:t>
      </w:r>
      <w:r w:rsidRPr="009810E5">
        <w:rPr>
          <w:rFonts w:ascii="Times New Roman" w:eastAsia="Times New Roman" w:hAnsi="Times New Roman" w:cs="Times New Roman"/>
          <w:kern w:val="0"/>
          <w14:ligatures w14:val="none"/>
        </w:rPr>
        <w:t xml:space="preserve"> Limitare la tirosina la sera, evitare alimenti infiammatori </w:t>
      </w:r>
      <w:r w:rsidRPr="009810E5">
        <w:rPr>
          <w:rFonts w:ascii="Times New Roman" w:eastAsia="Times New Roman" w:hAnsi="Times New Roman" w:cs="Times New Roman"/>
          <w:b/>
          <w:bCs/>
          <w:kern w:val="0"/>
          <w14:ligatures w14:val="none"/>
        </w:rPr>
        <w:t>Caffè:</w:t>
      </w:r>
      <w:r w:rsidRPr="009810E5">
        <w:rPr>
          <w:rFonts w:ascii="Times New Roman" w:eastAsia="Times New Roman" w:hAnsi="Times New Roman" w:cs="Times New Roman"/>
          <w:kern w:val="0"/>
          <w14:ligatures w14:val="none"/>
        </w:rPr>
        <w:t xml:space="preserve"> Limitare o evitare — può scatenare ansia </w:t>
      </w:r>
      <w:r w:rsidRPr="009810E5">
        <w:rPr>
          <w:rFonts w:ascii="Times New Roman" w:eastAsia="Times New Roman" w:hAnsi="Times New Roman" w:cs="Times New Roman"/>
          <w:b/>
          <w:bCs/>
          <w:kern w:val="0"/>
          <w14:ligatures w14:val="none"/>
        </w:rPr>
        <w:t>Carriera:</w:t>
      </w:r>
      <w:r w:rsidRPr="009810E5">
        <w:rPr>
          <w:rFonts w:ascii="Times New Roman" w:eastAsia="Times New Roman" w:hAnsi="Times New Roman" w:cs="Times New Roman"/>
          <w:kern w:val="0"/>
          <w14:ligatures w14:val="none"/>
        </w:rPr>
        <w:t xml:space="preserve"> Rende bene in ambienti tranquilli, strutturati </w:t>
      </w:r>
      <w:r w:rsidRPr="009810E5">
        <w:rPr>
          <w:rFonts w:ascii="Times New Roman" w:eastAsia="Times New Roman" w:hAnsi="Times New Roman" w:cs="Times New Roman"/>
          <w:b/>
          <w:bCs/>
          <w:kern w:val="0"/>
          <w14:ligatures w14:val="none"/>
        </w:rPr>
        <w:t>Recupero:</w:t>
      </w:r>
      <w:r w:rsidRPr="009810E5">
        <w:rPr>
          <w:rFonts w:ascii="Times New Roman" w:eastAsia="Times New Roman" w:hAnsi="Times New Roman" w:cs="Times New Roman"/>
          <w:kern w:val="0"/>
          <w14:ligatures w14:val="none"/>
        </w:rPr>
        <w:t xml:space="preserve"> Ha bisogno di calma, prevedibilità, sicurezza emotiva</w:t>
      </w:r>
    </w:p>
    <w:p w14:paraId="0F6645F3"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458D99F5">
          <v:rect id="_x0000_i1069" alt="" style="width:468pt;height:.05pt;mso-width-percent:0;mso-height-percent:0;mso-width-percent:0;mso-height-percent:0" o:hralign="center" o:hrstd="t" o:hr="t" fillcolor="#a0a0a0" stroked="f"/>
        </w:pict>
      </w:r>
    </w:p>
    <w:p w14:paraId="61964155"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6.3 Ottimizzazione Epigenetica MTHFR</w:t>
      </w:r>
    </w:p>
    <w:p w14:paraId="5C5553B6"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ALIMENTAZIONE PER MTHFR T/T</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b/>
          <w:bCs/>
          <w:kern w:val="0"/>
          <w14:ligatures w14:val="none"/>
        </w:rPr>
        <w:t>Alimenti Ricchi di Folato Naturale:</w:t>
      </w:r>
      <w:r w:rsidRPr="009810E5">
        <w:rPr>
          <w:rFonts w:ascii="Times New Roman" w:eastAsia="Times New Roman" w:hAnsi="Times New Roman" w:cs="Times New Roman"/>
          <w:kern w:val="0"/>
          <w14:ligatures w14:val="none"/>
        </w:rPr>
        <w:t xml:space="preserve"> • Verdure a foglia verde (spinaci, cavolo nero) • Fegato (fonte più concentrata) • Legumi (lenticchie, ceci) • Asparagi, broccoli</w:t>
      </w:r>
    </w:p>
    <w:p w14:paraId="5079544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Evitare:</w:t>
      </w:r>
      <w:r w:rsidRPr="009810E5">
        <w:rPr>
          <w:rFonts w:ascii="Times New Roman" w:eastAsia="Times New Roman" w:hAnsi="Times New Roman" w:cs="Times New Roman"/>
          <w:kern w:val="0"/>
          <w14:ligatures w14:val="none"/>
        </w:rPr>
        <w:t xml:space="preserve"> • Acido folico sintetico (negli alimenti fortificati) • Alcol (esaurisce i folati) • Stress cronico (aumenta la domanda di metilazione)</w:t>
      </w:r>
    </w:p>
    <w:p w14:paraId="59A39FA8"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702D2018">
          <v:rect id="_x0000_i1068" alt="" style="width:468pt;height:.05pt;mso-width-percent:0;mso-height-percent:0;mso-width-percent:0;mso-height-percent:0" o:hralign="center" o:hrstd="t" o:hr="t" fillcolor="#a0a0a0" stroked="f"/>
        </w:pict>
      </w:r>
    </w:p>
    <w:p w14:paraId="7530C4C6"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6.4 Strategie di Recupero per Genotipo</w:t>
      </w:r>
    </w:p>
    <w:p w14:paraId="6AF9CA7A"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Il Protocollo Guerriero (Val/Val)</w:t>
      </w:r>
    </w:p>
    <w:p w14:paraId="0BD98F67"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RECUPERO ORIENTATO ALL'AZIONE</w:t>
      </w:r>
    </w:p>
    <w:p w14:paraId="345F173E" w14:textId="77777777" w:rsidR="009810E5" w:rsidRPr="009810E5" w:rsidRDefault="009810E5" w:rsidP="009810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Obiettivi concreti</w:t>
      </w:r>
      <w:r w:rsidRPr="009810E5">
        <w:rPr>
          <w:rFonts w:ascii="Times New Roman" w:eastAsia="Times New Roman" w:hAnsi="Times New Roman" w:cs="Times New Roman"/>
          <w:kern w:val="0"/>
          <w14:ligatures w14:val="none"/>
        </w:rPr>
        <w:t>: Traguardi misurabili, ricompense tangibili</w:t>
      </w:r>
    </w:p>
    <w:p w14:paraId="3F0B8189" w14:textId="77777777" w:rsidR="009810E5" w:rsidRPr="009810E5" w:rsidRDefault="009810E5" w:rsidP="009810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Esercizio intensivo</w:t>
      </w:r>
      <w:r w:rsidRPr="009810E5">
        <w:rPr>
          <w:rFonts w:ascii="Times New Roman" w:eastAsia="Times New Roman" w:hAnsi="Times New Roman" w:cs="Times New Roman"/>
          <w:kern w:val="0"/>
          <w14:ligatures w14:val="none"/>
        </w:rPr>
        <w:t>: Rilascio di dopamina attraverso lo sport</w:t>
      </w:r>
    </w:p>
    <w:p w14:paraId="377540B5" w14:textId="77777777" w:rsidR="009810E5" w:rsidRPr="009810E5" w:rsidRDefault="009810E5" w:rsidP="009810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Competizione sana</w:t>
      </w:r>
      <w:r w:rsidRPr="009810E5">
        <w:rPr>
          <w:rFonts w:ascii="Times New Roman" w:eastAsia="Times New Roman" w:hAnsi="Times New Roman" w:cs="Times New Roman"/>
          <w:kern w:val="0"/>
          <w14:ligatures w14:val="none"/>
        </w:rPr>
        <w:t>: Sport, giochi, sfide</w:t>
      </w:r>
    </w:p>
    <w:p w14:paraId="284034B9" w14:textId="77777777" w:rsidR="009810E5" w:rsidRPr="009810E5" w:rsidRDefault="009810E5" w:rsidP="009810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Struttura esterna</w:t>
      </w:r>
      <w:r w:rsidRPr="009810E5">
        <w:rPr>
          <w:rFonts w:ascii="Times New Roman" w:eastAsia="Times New Roman" w:hAnsi="Times New Roman" w:cs="Times New Roman"/>
          <w:kern w:val="0"/>
          <w14:ligatures w14:val="none"/>
        </w:rPr>
        <w:t>: Sponsor attivo, riunioni quotidiane all'inizio</w:t>
      </w:r>
    </w:p>
    <w:p w14:paraId="4233764C" w14:textId="77777777" w:rsidR="009810E5" w:rsidRPr="009810E5" w:rsidRDefault="009810E5" w:rsidP="009810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Stimolazione cognitiva</w:t>
      </w:r>
      <w:r w:rsidRPr="009810E5">
        <w:rPr>
          <w:rFonts w:ascii="Times New Roman" w:eastAsia="Times New Roman" w:hAnsi="Times New Roman" w:cs="Times New Roman"/>
          <w:kern w:val="0"/>
          <w14:ligatures w14:val="none"/>
        </w:rPr>
        <w:t>: Nuovi apprendimenti, progetti coinvolgenti</w:t>
      </w:r>
    </w:p>
    <w:p w14:paraId="4B4E1A53"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Il Protocollo Ansioso (Met/Met)</w:t>
      </w:r>
    </w:p>
    <w:p w14:paraId="0E54BE6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RECUPERO ORIENTATO ALLA SICUREZZA</w:t>
      </w:r>
    </w:p>
    <w:p w14:paraId="6418CCCE" w14:textId="77777777" w:rsidR="009810E5" w:rsidRPr="009810E5" w:rsidRDefault="009810E5" w:rsidP="009810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lastRenderedPageBreak/>
        <w:t>Ambiente tranquillo</w:t>
      </w:r>
      <w:r w:rsidRPr="009810E5">
        <w:rPr>
          <w:rFonts w:ascii="Times New Roman" w:eastAsia="Times New Roman" w:hAnsi="Times New Roman" w:cs="Times New Roman"/>
          <w:kern w:val="0"/>
          <w14:ligatures w14:val="none"/>
        </w:rPr>
        <w:t>: Evitare centri di trattamento caotici</w:t>
      </w:r>
    </w:p>
    <w:p w14:paraId="2675E9CE" w14:textId="77777777" w:rsidR="009810E5" w:rsidRPr="009810E5" w:rsidRDefault="009810E5" w:rsidP="009810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Routine prevedibile</w:t>
      </w:r>
      <w:r w:rsidRPr="009810E5">
        <w:rPr>
          <w:rFonts w:ascii="Times New Roman" w:eastAsia="Times New Roman" w:hAnsi="Times New Roman" w:cs="Times New Roman"/>
          <w:kern w:val="0"/>
          <w14:ligatures w14:val="none"/>
        </w:rPr>
        <w:t>: Stessa ora di risveglio, pasti, sonno</w:t>
      </w:r>
    </w:p>
    <w:p w14:paraId="14975E0D" w14:textId="77777777" w:rsidR="009810E5" w:rsidRPr="009810E5" w:rsidRDefault="009810E5" w:rsidP="009810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Riduzione dello stress</w:t>
      </w:r>
      <w:r w:rsidRPr="009810E5">
        <w:rPr>
          <w:rFonts w:ascii="Times New Roman" w:eastAsia="Times New Roman" w:hAnsi="Times New Roman" w:cs="Times New Roman"/>
          <w:kern w:val="0"/>
          <w14:ligatures w14:val="none"/>
        </w:rPr>
        <w:t>: Meditazione, respirazione, yoga</w:t>
      </w:r>
    </w:p>
    <w:p w14:paraId="0DFFE6E0" w14:textId="77777777" w:rsidR="009810E5" w:rsidRPr="009810E5" w:rsidRDefault="009810E5" w:rsidP="009810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Supporto emotivo</w:t>
      </w:r>
      <w:r w:rsidRPr="009810E5">
        <w:rPr>
          <w:rFonts w:ascii="Times New Roman" w:eastAsia="Times New Roman" w:hAnsi="Times New Roman" w:cs="Times New Roman"/>
          <w:kern w:val="0"/>
          <w14:ligatures w14:val="none"/>
        </w:rPr>
        <w:t>: Terapia individuale prima dei gruppi</w:t>
      </w:r>
    </w:p>
    <w:p w14:paraId="2D48E429" w14:textId="77777777" w:rsidR="009810E5" w:rsidRPr="009810E5" w:rsidRDefault="009810E5" w:rsidP="009810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Transizione lenta</w:t>
      </w:r>
      <w:r w:rsidRPr="009810E5">
        <w:rPr>
          <w:rFonts w:ascii="Times New Roman" w:eastAsia="Times New Roman" w:hAnsi="Times New Roman" w:cs="Times New Roman"/>
          <w:kern w:val="0"/>
          <w14:ligatures w14:val="none"/>
        </w:rPr>
        <w:t>: Evitare cambiamenti bruschi</w:t>
      </w:r>
    </w:p>
    <w:p w14:paraId="6065C8FE"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36AAAC58">
          <v:rect id="_x0000_i1067" alt="" style="width:468pt;height:.05pt;mso-width-percent:0;mso-height-percent:0;mso-width-percent:0;mso-height-percent:0" o:hralign="center" o:hrstd="t" o:hr="t" fillcolor="#a0a0a0" stroked="f"/>
        </w:pict>
      </w:r>
    </w:p>
    <w:p w14:paraId="3BDC98C8"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APPENDICE A</w:t>
      </w:r>
    </w:p>
    <w:p w14:paraId="18DE08B3"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Tabelle di Riferimento Clinico</w:t>
      </w:r>
    </w:p>
    <w:p w14:paraId="19007EEA"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Tabella A.1: Matrice CYP2D6 — Oppioidi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662"/>
        <w:gridCol w:w="1005"/>
        <w:gridCol w:w="2298"/>
        <w:gridCol w:w="3039"/>
      </w:tblGrid>
      <w:tr w:rsidR="009810E5" w:rsidRPr="009810E5" w14:paraId="766C04AB" w14:textId="77777777">
        <w:trPr>
          <w:tblHeader/>
          <w:tblCellSpacing w:w="15" w:type="dxa"/>
        </w:trPr>
        <w:tc>
          <w:tcPr>
            <w:tcW w:w="0" w:type="auto"/>
            <w:vAlign w:val="center"/>
            <w:hideMark/>
          </w:tcPr>
          <w:p w14:paraId="4311A037"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Oppioide</w:t>
            </w:r>
          </w:p>
        </w:tc>
        <w:tc>
          <w:tcPr>
            <w:tcW w:w="0" w:type="auto"/>
            <w:vAlign w:val="center"/>
            <w:hideMark/>
          </w:tcPr>
          <w:p w14:paraId="163C2338"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PM</w:t>
            </w:r>
          </w:p>
        </w:tc>
        <w:tc>
          <w:tcPr>
            <w:tcW w:w="0" w:type="auto"/>
            <w:vAlign w:val="center"/>
            <w:hideMark/>
          </w:tcPr>
          <w:p w14:paraId="1C1FC887"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NM</w:t>
            </w:r>
          </w:p>
        </w:tc>
        <w:tc>
          <w:tcPr>
            <w:tcW w:w="0" w:type="auto"/>
            <w:vAlign w:val="center"/>
            <w:hideMark/>
          </w:tcPr>
          <w:p w14:paraId="0A5CAAD4"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UM</w:t>
            </w:r>
          </w:p>
        </w:tc>
        <w:tc>
          <w:tcPr>
            <w:tcW w:w="0" w:type="auto"/>
            <w:vAlign w:val="center"/>
            <w:hideMark/>
          </w:tcPr>
          <w:p w14:paraId="20123AF1"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Note</w:t>
            </w:r>
          </w:p>
        </w:tc>
      </w:tr>
      <w:tr w:rsidR="009810E5" w:rsidRPr="009810E5" w14:paraId="517AC0A6" w14:textId="77777777">
        <w:trPr>
          <w:tblCellSpacing w:w="15" w:type="dxa"/>
        </w:trPr>
        <w:tc>
          <w:tcPr>
            <w:tcW w:w="0" w:type="auto"/>
            <w:vAlign w:val="center"/>
            <w:hideMark/>
          </w:tcPr>
          <w:p w14:paraId="28FBFB2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Codeina</w:t>
            </w:r>
          </w:p>
        </w:tc>
        <w:tc>
          <w:tcPr>
            <w:tcW w:w="0" w:type="auto"/>
            <w:vAlign w:val="center"/>
            <w:hideMark/>
          </w:tcPr>
          <w:p w14:paraId="65DEB15A"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INEFFICACE</w:t>
            </w:r>
          </w:p>
        </w:tc>
        <w:tc>
          <w:tcPr>
            <w:tcW w:w="0" w:type="auto"/>
            <w:vAlign w:val="center"/>
            <w:hideMark/>
          </w:tcPr>
          <w:p w14:paraId="2B46ADA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51809EF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CONTROINDICATO</w:t>
            </w:r>
          </w:p>
        </w:tc>
        <w:tc>
          <w:tcPr>
            <w:tcW w:w="0" w:type="auto"/>
            <w:vAlign w:val="center"/>
            <w:hideMark/>
          </w:tcPr>
          <w:p w14:paraId="4E5FEFA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PM: nessuna conversione in morfina. UM: conversione troppo rapida</w:t>
            </w:r>
          </w:p>
        </w:tc>
      </w:tr>
      <w:tr w:rsidR="009810E5" w:rsidRPr="009810E5" w14:paraId="49D414D8" w14:textId="77777777">
        <w:trPr>
          <w:tblCellSpacing w:w="15" w:type="dxa"/>
        </w:trPr>
        <w:tc>
          <w:tcPr>
            <w:tcW w:w="0" w:type="auto"/>
            <w:vAlign w:val="center"/>
            <w:hideMark/>
          </w:tcPr>
          <w:p w14:paraId="6D3D835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Tramadolo</w:t>
            </w:r>
          </w:p>
        </w:tc>
        <w:tc>
          <w:tcPr>
            <w:tcW w:w="0" w:type="auto"/>
            <w:vAlign w:val="center"/>
            <w:hideMark/>
          </w:tcPr>
          <w:p w14:paraId="6BE53F3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INEFFICACE</w:t>
            </w:r>
          </w:p>
        </w:tc>
        <w:tc>
          <w:tcPr>
            <w:tcW w:w="0" w:type="auto"/>
            <w:vAlign w:val="center"/>
            <w:hideMark/>
          </w:tcPr>
          <w:p w14:paraId="54B6A58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7DF9EF3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Rischio tossicità</w:t>
            </w:r>
          </w:p>
        </w:tc>
        <w:tc>
          <w:tcPr>
            <w:tcW w:w="0" w:type="auto"/>
            <w:vAlign w:val="center"/>
            <w:hideMark/>
          </w:tcPr>
          <w:p w14:paraId="785AAE0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Simile alla codeina</w:t>
            </w:r>
          </w:p>
        </w:tc>
      </w:tr>
      <w:tr w:rsidR="009810E5" w:rsidRPr="009810E5" w14:paraId="5099B0E7" w14:textId="77777777">
        <w:trPr>
          <w:tblCellSpacing w:w="15" w:type="dxa"/>
        </w:trPr>
        <w:tc>
          <w:tcPr>
            <w:tcW w:w="0" w:type="auto"/>
            <w:vAlign w:val="center"/>
            <w:hideMark/>
          </w:tcPr>
          <w:p w14:paraId="6830808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Ossicodone</w:t>
            </w:r>
          </w:p>
        </w:tc>
        <w:tc>
          <w:tcPr>
            <w:tcW w:w="0" w:type="auto"/>
            <w:vAlign w:val="center"/>
            <w:hideMark/>
          </w:tcPr>
          <w:p w14:paraId="27BEAD2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Effetto ridotto</w:t>
            </w:r>
          </w:p>
        </w:tc>
        <w:tc>
          <w:tcPr>
            <w:tcW w:w="0" w:type="auto"/>
            <w:vAlign w:val="center"/>
            <w:hideMark/>
          </w:tcPr>
          <w:p w14:paraId="5904A3C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220BEC8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Effetto ridotto</w:t>
            </w:r>
          </w:p>
        </w:tc>
        <w:tc>
          <w:tcPr>
            <w:tcW w:w="0" w:type="auto"/>
            <w:vAlign w:val="center"/>
            <w:hideMark/>
          </w:tcPr>
          <w:p w14:paraId="3E7CB0D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Parzialmente metabolizzato da CYP2D6</w:t>
            </w:r>
          </w:p>
        </w:tc>
      </w:tr>
      <w:tr w:rsidR="009810E5" w:rsidRPr="009810E5" w14:paraId="59578189" w14:textId="77777777">
        <w:trPr>
          <w:tblCellSpacing w:w="15" w:type="dxa"/>
        </w:trPr>
        <w:tc>
          <w:tcPr>
            <w:tcW w:w="0" w:type="auto"/>
            <w:vAlign w:val="center"/>
            <w:hideMark/>
          </w:tcPr>
          <w:p w14:paraId="3324649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Idrocodone</w:t>
            </w:r>
          </w:p>
        </w:tc>
        <w:tc>
          <w:tcPr>
            <w:tcW w:w="0" w:type="auto"/>
            <w:vAlign w:val="center"/>
            <w:hideMark/>
          </w:tcPr>
          <w:p w14:paraId="1634949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Effetto ridotto</w:t>
            </w:r>
          </w:p>
        </w:tc>
        <w:tc>
          <w:tcPr>
            <w:tcW w:w="0" w:type="auto"/>
            <w:vAlign w:val="center"/>
            <w:hideMark/>
          </w:tcPr>
          <w:p w14:paraId="7A34DEC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5953A9D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Rischio tossicità</w:t>
            </w:r>
          </w:p>
        </w:tc>
        <w:tc>
          <w:tcPr>
            <w:tcW w:w="0" w:type="auto"/>
            <w:vAlign w:val="center"/>
            <w:hideMark/>
          </w:tcPr>
          <w:p w14:paraId="79A8BC9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Conversione in idromorfone</w:t>
            </w:r>
          </w:p>
        </w:tc>
      </w:tr>
      <w:tr w:rsidR="009810E5" w:rsidRPr="009810E5" w14:paraId="057F4112" w14:textId="77777777">
        <w:trPr>
          <w:tblCellSpacing w:w="15" w:type="dxa"/>
        </w:trPr>
        <w:tc>
          <w:tcPr>
            <w:tcW w:w="0" w:type="auto"/>
            <w:vAlign w:val="center"/>
            <w:hideMark/>
          </w:tcPr>
          <w:p w14:paraId="0D1143B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Morfina</w:t>
            </w:r>
          </w:p>
        </w:tc>
        <w:tc>
          <w:tcPr>
            <w:tcW w:w="0" w:type="auto"/>
            <w:vAlign w:val="center"/>
            <w:hideMark/>
          </w:tcPr>
          <w:p w14:paraId="6A5F2F8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60B001E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5B46A26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3FD2652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Non richiede CYP2D6</w:t>
            </w:r>
          </w:p>
        </w:tc>
      </w:tr>
      <w:tr w:rsidR="009810E5" w:rsidRPr="009810E5" w14:paraId="604DB75C" w14:textId="77777777">
        <w:trPr>
          <w:tblCellSpacing w:w="15" w:type="dxa"/>
        </w:trPr>
        <w:tc>
          <w:tcPr>
            <w:tcW w:w="0" w:type="auto"/>
            <w:vAlign w:val="center"/>
            <w:hideMark/>
          </w:tcPr>
          <w:p w14:paraId="7DEFEFF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Fentanil</w:t>
            </w:r>
          </w:p>
        </w:tc>
        <w:tc>
          <w:tcPr>
            <w:tcW w:w="0" w:type="auto"/>
            <w:vAlign w:val="center"/>
            <w:hideMark/>
          </w:tcPr>
          <w:p w14:paraId="78D662F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EFFETTO PIENO</w:t>
            </w:r>
          </w:p>
        </w:tc>
        <w:tc>
          <w:tcPr>
            <w:tcW w:w="0" w:type="auto"/>
            <w:vAlign w:val="center"/>
            <w:hideMark/>
          </w:tcPr>
          <w:p w14:paraId="539FCEC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34CCD74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316A911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Bypassa CYP2D6</w:t>
            </w:r>
          </w:p>
        </w:tc>
      </w:tr>
      <w:tr w:rsidR="009810E5" w:rsidRPr="009810E5" w14:paraId="28830624" w14:textId="77777777">
        <w:trPr>
          <w:tblCellSpacing w:w="15" w:type="dxa"/>
        </w:trPr>
        <w:tc>
          <w:tcPr>
            <w:tcW w:w="0" w:type="auto"/>
            <w:vAlign w:val="center"/>
            <w:hideMark/>
          </w:tcPr>
          <w:p w14:paraId="20803C9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Buprenorfina</w:t>
            </w:r>
          </w:p>
        </w:tc>
        <w:tc>
          <w:tcPr>
            <w:tcW w:w="0" w:type="auto"/>
            <w:vAlign w:val="center"/>
            <w:hideMark/>
          </w:tcPr>
          <w:p w14:paraId="72A1EDA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49264C3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5D460D0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636EB0D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CYP3A4, non CYP2D6</w:t>
            </w:r>
          </w:p>
        </w:tc>
      </w:tr>
      <w:tr w:rsidR="009810E5" w:rsidRPr="009810E5" w14:paraId="5976E187" w14:textId="77777777">
        <w:trPr>
          <w:tblCellSpacing w:w="15" w:type="dxa"/>
        </w:trPr>
        <w:tc>
          <w:tcPr>
            <w:tcW w:w="0" w:type="auto"/>
            <w:vAlign w:val="center"/>
            <w:hideMark/>
          </w:tcPr>
          <w:p w14:paraId="458F6B5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Metadone</w:t>
            </w:r>
          </w:p>
        </w:tc>
        <w:tc>
          <w:tcPr>
            <w:tcW w:w="0" w:type="auto"/>
            <w:vAlign w:val="center"/>
            <w:hideMark/>
          </w:tcPr>
          <w:p w14:paraId="2A15E7C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Aggiustare</w:t>
            </w:r>
          </w:p>
        </w:tc>
        <w:tc>
          <w:tcPr>
            <w:tcW w:w="0" w:type="auto"/>
            <w:vAlign w:val="center"/>
            <w:hideMark/>
          </w:tcPr>
          <w:p w14:paraId="2568E0A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43805FE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Aggiustare</w:t>
            </w:r>
          </w:p>
        </w:tc>
        <w:tc>
          <w:tcPr>
            <w:tcW w:w="0" w:type="auto"/>
            <w:vAlign w:val="center"/>
            <w:hideMark/>
          </w:tcPr>
          <w:p w14:paraId="2EED1CC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CYP2B6, CYP3A4</w:t>
            </w:r>
          </w:p>
        </w:tc>
      </w:tr>
    </w:tbl>
    <w:p w14:paraId="40B6D7F4"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Tabella A.2: Matrice CYP2D6 — Antidepressivi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594"/>
        <w:gridCol w:w="1214"/>
        <w:gridCol w:w="2707"/>
      </w:tblGrid>
      <w:tr w:rsidR="009810E5" w:rsidRPr="009810E5" w14:paraId="7AB566A6" w14:textId="77777777">
        <w:trPr>
          <w:tblHeader/>
          <w:tblCellSpacing w:w="15" w:type="dxa"/>
        </w:trPr>
        <w:tc>
          <w:tcPr>
            <w:tcW w:w="0" w:type="auto"/>
            <w:vAlign w:val="center"/>
            <w:hideMark/>
          </w:tcPr>
          <w:p w14:paraId="4187724C"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Antidepressivo</w:t>
            </w:r>
          </w:p>
        </w:tc>
        <w:tc>
          <w:tcPr>
            <w:tcW w:w="0" w:type="auto"/>
            <w:vAlign w:val="center"/>
            <w:hideMark/>
          </w:tcPr>
          <w:p w14:paraId="0438B278"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PM</w:t>
            </w:r>
          </w:p>
        </w:tc>
        <w:tc>
          <w:tcPr>
            <w:tcW w:w="0" w:type="auto"/>
            <w:vAlign w:val="center"/>
            <w:hideMark/>
          </w:tcPr>
          <w:p w14:paraId="0E234571"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NM</w:t>
            </w:r>
          </w:p>
        </w:tc>
        <w:tc>
          <w:tcPr>
            <w:tcW w:w="0" w:type="auto"/>
            <w:vAlign w:val="center"/>
            <w:hideMark/>
          </w:tcPr>
          <w:p w14:paraId="7A2BBB17"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UM</w:t>
            </w:r>
          </w:p>
        </w:tc>
      </w:tr>
      <w:tr w:rsidR="009810E5" w:rsidRPr="009810E5" w14:paraId="0E35379B" w14:textId="77777777">
        <w:trPr>
          <w:tblCellSpacing w:w="15" w:type="dxa"/>
        </w:trPr>
        <w:tc>
          <w:tcPr>
            <w:tcW w:w="0" w:type="auto"/>
            <w:vAlign w:val="center"/>
            <w:hideMark/>
          </w:tcPr>
          <w:p w14:paraId="1C2FF3E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Fluoxetina</w:t>
            </w:r>
          </w:p>
        </w:tc>
        <w:tc>
          <w:tcPr>
            <w:tcW w:w="0" w:type="auto"/>
            <w:vAlign w:val="center"/>
            <w:hideMark/>
          </w:tcPr>
          <w:p w14:paraId="76ACB9A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Ridurre 50%</w:t>
            </w:r>
          </w:p>
        </w:tc>
        <w:tc>
          <w:tcPr>
            <w:tcW w:w="0" w:type="auto"/>
            <w:vAlign w:val="center"/>
            <w:hideMark/>
          </w:tcPr>
          <w:p w14:paraId="5B5B72F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5E556CA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Può richiedere aumento</w:t>
            </w:r>
          </w:p>
        </w:tc>
      </w:tr>
      <w:tr w:rsidR="009810E5" w:rsidRPr="009810E5" w14:paraId="2867622E" w14:textId="77777777">
        <w:trPr>
          <w:tblCellSpacing w:w="15" w:type="dxa"/>
        </w:trPr>
        <w:tc>
          <w:tcPr>
            <w:tcW w:w="0" w:type="auto"/>
            <w:vAlign w:val="center"/>
            <w:hideMark/>
          </w:tcPr>
          <w:p w14:paraId="2AA2E3F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Paroxetina</w:t>
            </w:r>
          </w:p>
        </w:tc>
        <w:tc>
          <w:tcPr>
            <w:tcW w:w="0" w:type="auto"/>
            <w:vAlign w:val="center"/>
            <w:hideMark/>
          </w:tcPr>
          <w:p w14:paraId="461140F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Ridurre 50%</w:t>
            </w:r>
          </w:p>
        </w:tc>
        <w:tc>
          <w:tcPr>
            <w:tcW w:w="0" w:type="auto"/>
            <w:vAlign w:val="center"/>
            <w:hideMark/>
          </w:tcPr>
          <w:p w14:paraId="1EF63EB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67CFC28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Può richiedere aumento</w:t>
            </w:r>
          </w:p>
        </w:tc>
      </w:tr>
      <w:tr w:rsidR="009810E5" w:rsidRPr="009810E5" w14:paraId="1B513879" w14:textId="77777777">
        <w:trPr>
          <w:tblCellSpacing w:w="15" w:type="dxa"/>
        </w:trPr>
        <w:tc>
          <w:tcPr>
            <w:tcW w:w="0" w:type="auto"/>
            <w:vAlign w:val="center"/>
            <w:hideMark/>
          </w:tcPr>
          <w:p w14:paraId="212E5914"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Venlafaxina</w:t>
            </w:r>
          </w:p>
        </w:tc>
        <w:tc>
          <w:tcPr>
            <w:tcW w:w="0" w:type="auto"/>
            <w:vAlign w:val="center"/>
            <w:hideMark/>
          </w:tcPr>
          <w:p w14:paraId="0A1C09F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Ridurre 50%</w:t>
            </w:r>
          </w:p>
        </w:tc>
        <w:tc>
          <w:tcPr>
            <w:tcW w:w="0" w:type="auto"/>
            <w:vAlign w:val="center"/>
            <w:hideMark/>
          </w:tcPr>
          <w:p w14:paraId="70B811D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60904FC6"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Aumentare se inefficace</w:t>
            </w:r>
          </w:p>
        </w:tc>
      </w:tr>
      <w:tr w:rsidR="009810E5" w:rsidRPr="009810E5" w14:paraId="468B23C2" w14:textId="77777777">
        <w:trPr>
          <w:tblCellSpacing w:w="15" w:type="dxa"/>
        </w:trPr>
        <w:tc>
          <w:tcPr>
            <w:tcW w:w="0" w:type="auto"/>
            <w:vAlign w:val="center"/>
            <w:hideMark/>
          </w:tcPr>
          <w:p w14:paraId="15F02FC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Duloxetina</w:t>
            </w:r>
          </w:p>
        </w:tc>
        <w:tc>
          <w:tcPr>
            <w:tcW w:w="0" w:type="auto"/>
            <w:vAlign w:val="center"/>
            <w:hideMark/>
          </w:tcPr>
          <w:p w14:paraId="3A64E8F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Ridurre</w:t>
            </w:r>
          </w:p>
        </w:tc>
        <w:tc>
          <w:tcPr>
            <w:tcW w:w="0" w:type="auto"/>
            <w:vAlign w:val="center"/>
            <w:hideMark/>
          </w:tcPr>
          <w:p w14:paraId="4C4AFEA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74178D0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r>
      <w:tr w:rsidR="009810E5" w:rsidRPr="009810E5" w14:paraId="15040E7D" w14:textId="77777777">
        <w:trPr>
          <w:tblCellSpacing w:w="15" w:type="dxa"/>
        </w:trPr>
        <w:tc>
          <w:tcPr>
            <w:tcW w:w="0" w:type="auto"/>
            <w:vAlign w:val="center"/>
            <w:hideMark/>
          </w:tcPr>
          <w:p w14:paraId="62E7A2D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lastRenderedPageBreak/>
              <w:t>Amitriptilina</w:t>
            </w:r>
          </w:p>
        </w:tc>
        <w:tc>
          <w:tcPr>
            <w:tcW w:w="0" w:type="auto"/>
            <w:vAlign w:val="center"/>
            <w:hideMark/>
          </w:tcPr>
          <w:p w14:paraId="6B5FECD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Ridurre 50%</w:t>
            </w:r>
          </w:p>
        </w:tc>
        <w:tc>
          <w:tcPr>
            <w:tcW w:w="0" w:type="auto"/>
            <w:vAlign w:val="center"/>
            <w:hideMark/>
          </w:tcPr>
          <w:p w14:paraId="5A0F192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1043D30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Aumentare</w:t>
            </w:r>
          </w:p>
        </w:tc>
      </w:tr>
      <w:tr w:rsidR="009810E5" w:rsidRPr="009810E5" w14:paraId="305A2088" w14:textId="77777777">
        <w:trPr>
          <w:tblCellSpacing w:w="15" w:type="dxa"/>
        </w:trPr>
        <w:tc>
          <w:tcPr>
            <w:tcW w:w="0" w:type="auto"/>
            <w:vAlign w:val="center"/>
            <w:hideMark/>
          </w:tcPr>
          <w:p w14:paraId="57AC7B7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Nortriptilina</w:t>
            </w:r>
          </w:p>
        </w:tc>
        <w:tc>
          <w:tcPr>
            <w:tcW w:w="0" w:type="auto"/>
            <w:vAlign w:val="center"/>
            <w:hideMark/>
          </w:tcPr>
          <w:p w14:paraId="0F089A6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Ridurre 50%</w:t>
            </w:r>
          </w:p>
        </w:tc>
        <w:tc>
          <w:tcPr>
            <w:tcW w:w="0" w:type="auto"/>
            <w:vAlign w:val="center"/>
            <w:hideMark/>
          </w:tcPr>
          <w:p w14:paraId="58195BE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Standard</w:t>
            </w:r>
          </w:p>
        </w:tc>
        <w:tc>
          <w:tcPr>
            <w:tcW w:w="0" w:type="auto"/>
            <w:vAlign w:val="center"/>
            <w:hideMark/>
          </w:tcPr>
          <w:p w14:paraId="5FE6B27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kern w:val="0"/>
                <w14:ligatures w14:val="none"/>
              </w:rPr>
              <w:t>⚠️</w:t>
            </w:r>
            <w:r w:rsidRPr="009810E5">
              <w:rPr>
                <w:rFonts w:ascii="Times New Roman" w:eastAsia="Times New Roman" w:hAnsi="Times New Roman" w:cs="Times New Roman"/>
                <w:kern w:val="0"/>
                <w14:ligatures w14:val="none"/>
              </w:rPr>
              <w:t xml:space="preserve"> Aumentare</w:t>
            </w:r>
          </w:p>
        </w:tc>
      </w:tr>
    </w:tbl>
    <w:p w14:paraId="0C9EC0F3"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Tabella A.3: Correlazioni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676"/>
        <w:gridCol w:w="1976"/>
        <w:gridCol w:w="3839"/>
      </w:tblGrid>
      <w:tr w:rsidR="009810E5" w:rsidRPr="009810E5" w14:paraId="53C12B2F" w14:textId="77777777">
        <w:trPr>
          <w:tblHeader/>
          <w:tblCellSpacing w:w="15" w:type="dxa"/>
        </w:trPr>
        <w:tc>
          <w:tcPr>
            <w:tcW w:w="0" w:type="auto"/>
            <w:vAlign w:val="center"/>
            <w:hideMark/>
          </w:tcPr>
          <w:p w14:paraId="415CDEF4"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COMT</w:t>
            </w:r>
          </w:p>
        </w:tc>
        <w:tc>
          <w:tcPr>
            <w:tcW w:w="0" w:type="auto"/>
            <w:vAlign w:val="center"/>
            <w:hideMark/>
          </w:tcPr>
          <w:p w14:paraId="22E204B8"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MTHFR</w:t>
            </w:r>
          </w:p>
        </w:tc>
        <w:tc>
          <w:tcPr>
            <w:tcW w:w="0" w:type="auto"/>
            <w:vAlign w:val="center"/>
            <w:hideMark/>
          </w:tcPr>
          <w:p w14:paraId="53DBC4A9"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Profilo di Rischio</w:t>
            </w:r>
          </w:p>
        </w:tc>
        <w:tc>
          <w:tcPr>
            <w:tcW w:w="0" w:type="auto"/>
            <w:vAlign w:val="center"/>
            <w:hideMark/>
          </w:tcPr>
          <w:p w14:paraId="31145B9D"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Sostanze Probabili</w:t>
            </w:r>
          </w:p>
        </w:tc>
        <w:tc>
          <w:tcPr>
            <w:tcW w:w="0" w:type="auto"/>
            <w:vAlign w:val="center"/>
            <w:hideMark/>
          </w:tcPr>
          <w:p w14:paraId="750B762A"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t>Approccio</w:t>
            </w:r>
          </w:p>
        </w:tc>
      </w:tr>
      <w:tr w:rsidR="009810E5" w:rsidRPr="009810E5" w14:paraId="6C8B3852" w14:textId="77777777">
        <w:trPr>
          <w:tblCellSpacing w:w="15" w:type="dxa"/>
        </w:trPr>
        <w:tc>
          <w:tcPr>
            <w:tcW w:w="0" w:type="auto"/>
            <w:vAlign w:val="center"/>
            <w:hideMark/>
          </w:tcPr>
          <w:p w14:paraId="34A2829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Val/Val</w:t>
            </w:r>
          </w:p>
        </w:tc>
        <w:tc>
          <w:tcPr>
            <w:tcW w:w="0" w:type="auto"/>
            <w:vAlign w:val="center"/>
            <w:hideMark/>
          </w:tcPr>
          <w:p w14:paraId="5977BC0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C/C</w:t>
            </w:r>
          </w:p>
        </w:tc>
        <w:tc>
          <w:tcPr>
            <w:tcW w:w="0" w:type="auto"/>
            <w:vAlign w:val="center"/>
            <w:hideMark/>
          </w:tcPr>
          <w:p w14:paraId="61746F9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Basso</w:t>
            </w:r>
          </w:p>
        </w:tc>
        <w:tc>
          <w:tcPr>
            <w:tcW w:w="0" w:type="auto"/>
            <w:vAlign w:val="center"/>
            <w:hideMark/>
          </w:tcPr>
          <w:p w14:paraId="4AE8FB8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Stimolanti, sensazioni</w:t>
            </w:r>
          </w:p>
        </w:tc>
        <w:tc>
          <w:tcPr>
            <w:tcW w:w="0" w:type="auto"/>
            <w:vAlign w:val="center"/>
            <w:hideMark/>
          </w:tcPr>
          <w:p w14:paraId="67060218"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Sostituzione di attività</w:t>
            </w:r>
          </w:p>
        </w:tc>
      </w:tr>
      <w:tr w:rsidR="009810E5" w:rsidRPr="009810E5" w14:paraId="764441D4" w14:textId="77777777">
        <w:trPr>
          <w:tblCellSpacing w:w="15" w:type="dxa"/>
        </w:trPr>
        <w:tc>
          <w:tcPr>
            <w:tcW w:w="0" w:type="auto"/>
            <w:vAlign w:val="center"/>
            <w:hideMark/>
          </w:tcPr>
          <w:p w14:paraId="33FC875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Val/Val</w:t>
            </w:r>
          </w:p>
        </w:tc>
        <w:tc>
          <w:tcPr>
            <w:tcW w:w="0" w:type="auto"/>
            <w:vAlign w:val="center"/>
            <w:hideMark/>
          </w:tcPr>
          <w:p w14:paraId="79E00D0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T/T</w:t>
            </w:r>
          </w:p>
        </w:tc>
        <w:tc>
          <w:tcPr>
            <w:tcW w:w="0" w:type="auto"/>
            <w:vAlign w:val="center"/>
            <w:hideMark/>
          </w:tcPr>
          <w:p w14:paraId="2361E21A"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Moderato</w:t>
            </w:r>
          </w:p>
        </w:tc>
        <w:tc>
          <w:tcPr>
            <w:tcW w:w="0" w:type="auto"/>
            <w:vAlign w:val="center"/>
            <w:hideMark/>
          </w:tcPr>
          <w:p w14:paraId="7D2BB743"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Stimolanti, rischi</w:t>
            </w:r>
          </w:p>
        </w:tc>
        <w:tc>
          <w:tcPr>
            <w:tcW w:w="0" w:type="auto"/>
            <w:vAlign w:val="center"/>
            <w:hideMark/>
          </w:tcPr>
          <w:p w14:paraId="112291E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Metilfolato + sostituzione</w:t>
            </w:r>
          </w:p>
        </w:tc>
      </w:tr>
      <w:tr w:rsidR="009810E5" w:rsidRPr="009810E5" w14:paraId="52957B1F" w14:textId="77777777">
        <w:trPr>
          <w:tblCellSpacing w:w="15" w:type="dxa"/>
        </w:trPr>
        <w:tc>
          <w:tcPr>
            <w:tcW w:w="0" w:type="auto"/>
            <w:vAlign w:val="center"/>
            <w:hideMark/>
          </w:tcPr>
          <w:p w14:paraId="339E45F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Met/Met</w:t>
            </w:r>
          </w:p>
        </w:tc>
        <w:tc>
          <w:tcPr>
            <w:tcW w:w="0" w:type="auto"/>
            <w:vAlign w:val="center"/>
            <w:hideMark/>
          </w:tcPr>
          <w:p w14:paraId="59EF20C5"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C/C</w:t>
            </w:r>
          </w:p>
        </w:tc>
        <w:tc>
          <w:tcPr>
            <w:tcW w:w="0" w:type="auto"/>
            <w:vAlign w:val="center"/>
            <w:hideMark/>
          </w:tcPr>
          <w:p w14:paraId="45C9121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Moderato</w:t>
            </w:r>
          </w:p>
        </w:tc>
        <w:tc>
          <w:tcPr>
            <w:tcW w:w="0" w:type="auto"/>
            <w:vAlign w:val="center"/>
            <w:hideMark/>
          </w:tcPr>
          <w:p w14:paraId="4DC6CA40"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Depressori, alcol</w:t>
            </w:r>
          </w:p>
        </w:tc>
        <w:tc>
          <w:tcPr>
            <w:tcW w:w="0" w:type="auto"/>
            <w:vAlign w:val="center"/>
            <w:hideMark/>
          </w:tcPr>
          <w:p w14:paraId="5E49DC4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Gestione dell'ansia</w:t>
            </w:r>
          </w:p>
        </w:tc>
      </w:tr>
      <w:tr w:rsidR="009810E5" w:rsidRPr="009810E5" w14:paraId="2B51DBFB" w14:textId="77777777">
        <w:trPr>
          <w:tblCellSpacing w:w="15" w:type="dxa"/>
        </w:trPr>
        <w:tc>
          <w:tcPr>
            <w:tcW w:w="0" w:type="auto"/>
            <w:vAlign w:val="center"/>
            <w:hideMark/>
          </w:tcPr>
          <w:p w14:paraId="4BA1257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Met/Met</w:t>
            </w:r>
          </w:p>
        </w:tc>
        <w:tc>
          <w:tcPr>
            <w:tcW w:w="0" w:type="auto"/>
            <w:vAlign w:val="center"/>
            <w:hideMark/>
          </w:tcPr>
          <w:p w14:paraId="0027DBFE"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T/T</w:t>
            </w:r>
          </w:p>
        </w:tc>
        <w:tc>
          <w:tcPr>
            <w:tcW w:w="0" w:type="auto"/>
            <w:vAlign w:val="center"/>
            <w:hideMark/>
          </w:tcPr>
          <w:p w14:paraId="142F5FDD"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ALTO</w:t>
            </w:r>
          </w:p>
        </w:tc>
        <w:tc>
          <w:tcPr>
            <w:tcW w:w="0" w:type="auto"/>
            <w:vAlign w:val="center"/>
            <w:hideMark/>
          </w:tcPr>
          <w:p w14:paraId="787D6ACA"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Depressori, poli-uso</w:t>
            </w:r>
          </w:p>
        </w:tc>
        <w:tc>
          <w:tcPr>
            <w:tcW w:w="0" w:type="auto"/>
            <w:vAlign w:val="center"/>
            <w:hideMark/>
          </w:tcPr>
          <w:p w14:paraId="7E76B6D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Metilfolato + ansiolitici + ambiente tranquillo</w:t>
            </w:r>
          </w:p>
        </w:tc>
      </w:tr>
    </w:tbl>
    <w:p w14:paraId="7E70FFBA"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0034CD3F">
          <v:rect id="_x0000_i1066" alt="" style="width:468pt;height:.05pt;mso-width-percent:0;mso-height-percent:0;mso-width-percent:0;mso-height-percent:0" o:hralign="center" o:hrstd="t" o:hr="t" fillcolor="#a0a0a0" stroked="f"/>
        </w:pict>
      </w:r>
    </w:p>
    <w:p w14:paraId="500F70B7" w14:textId="77777777" w:rsidR="009810E5" w:rsidRPr="009810E5" w:rsidRDefault="009810E5" w:rsidP="009810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10E5">
        <w:rPr>
          <w:rFonts w:ascii="Times New Roman" w:eastAsia="Times New Roman" w:hAnsi="Times New Roman" w:cs="Times New Roman"/>
          <w:b/>
          <w:bCs/>
          <w:kern w:val="36"/>
          <w:sz w:val="48"/>
          <w:szCs w:val="48"/>
          <w14:ligatures w14:val="none"/>
        </w:rPr>
        <w:t>APPENDICE B</w:t>
      </w:r>
    </w:p>
    <w:p w14:paraId="7B63F6C4"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Framework di Integrazione IA per il Recupero di Precisione</w:t>
      </w:r>
    </w:p>
    <w:p w14:paraId="44FEB8AF"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DELL'ARCHITETTO</w:t>
      </w:r>
      <w:r w:rsidRPr="009810E5">
        <w:rPr>
          <w:rFonts w:ascii="Times New Roman" w:eastAsia="Times New Roman" w:hAnsi="Times New Roman" w:cs="Times New Roman"/>
          <w:kern w:val="0"/>
          <w14:ligatures w14:val="none"/>
        </w:rPr>
        <w:t xml:space="preserve"> </w:t>
      </w:r>
      <w:r w:rsidRPr="009810E5">
        <w:rPr>
          <w:rFonts w:ascii="Times New Roman" w:eastAsia="Times New Roman" w:hAnsi="Times New Roman" w:cs="Times New Roman"/>
          <w:i/>
          <w:iCs/>
          <w:kern w:val="0"/>
          <w14:ligatures w14:val="none"/>
        </w:rPr>
        <w:t>L'IA non sostituisce il giudizio clinico. Lo aumenta. Un LLM addestrato sulla letteratura farmacogenomica può aiutare i clinici a identificare interazioni che la mente umana potrebbe non cogliere — specialmente con regimi farmacologici complessi.</w:t>
      </w:r>
    </w:p>
    <w:p w14:paraId="7AFFF899"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B.1 Casi d'Uso Approvati</w:t>
      </w:r>
    </w:p>
    <w:p w14:paraId="48F0FC6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SISTEMA VERDE — APPLICAZIONI IA APPROPRIATE</w:t>
      </w:r>
      <w:r w:rsidRPr="009810E5">
        <w:rPr>
          <w:rFonts w:ascii="Times New Roman" w:eastAsia="Times New Roman" w:hAnsi="Times New Roman" w:cs="Times New Roman"/>
          <w:kern w:val="0"/>
          <w14:ligatures w14:val="none"/>
        </w:rPr>
        <w:t xml:space="preserve"> • Verifica delle interazioni farmacologiche CYP450 • Generazione di ipotesi per casi resistenti al trattamento • Educazione del paziente sul proprio profilo genetico • Sintesi della letteratura farmacogenomica • Identificazione di incongruenze nelle prescrizioni</w:t>
      </w:r>
    </w:p>
    <w:p w14:paraId="601071DB"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B.2 Limitazioni Critiche</w:t>
      </w:r>
    </w:p>
    <w:p w14:paraId="71ECC85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RISCHIO DI GUASTO CRITICO DEL SISTEMA — L'IA NON SOSTITUISCE</w:t>
      </w:r>
      <w:r w:rsidRPr="009810E5">
        <w:rPr>
          <w:rFonts w:ascii="Times New Roman" w:eastAsia="Times New Roman" w:hAnsi="Times New Roman" w:cs="Times New Roman"/>
          <w:kern w:val="0"/>
          <w14:ligatures w14:val="none"/>
        </w:rPr>
        <w:t xml:space="preserve"> • Il giudizio clinico di un medico qualificato • L'interpretazione dei risultati di laboratorio • Le decisioni di prescrizione • La relazione terapeutica</w:t>
      </w:r>
    </w:p>
    <w:p w14:paraId="23CF372F"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B.3 Template di Prompt per Consultazione IA</w:t>
      </w:r>
    </w:p>
    <w:p w14:paraId="5F84BDBF"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PROFILO DEL PAZIENTE:</w:t>
      </w:r>
    </w:p>
    <w:p w14:paraId="027020A8"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 Genotipo MTHFR: [C/C, C/T, T/T]</w:t>
      </w:r>
    </w:p>
    <w:p w14:paraId="22A17F76"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lastRenderedPageBreak/>
        <w:t>- Genotipo COMT: [Val/Val, Val/Met, Met/Met]</w:t>
      </w:r>
    </w:p>
    <w:p w14:paraId="28A38EB7"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 Stato CYP2D6: [PM, IM, NM, UM]</w:t>
      </w:r>
    </w:p>
    <w:p w14:paraId="25A6B97B"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 Stato CYP2C19: [PM, IM, NM, UM]</w:t>
      </w:r>
    </w:p>
    <w:p w14:paraId="0826639A"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C7BC19"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FARMACI ATTUALI:</w:t>
      </w:r>
    </w:p>
    <w:p w14:paraId="6087EAEA"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[Elenco]</w:t>
      </w:r>
    </w:p>
    <w:p w14:paraId="594BF90F"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E9D6C"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SOSTANZE UTILIZZATE:</w:t>
      </w:r>
    </w:p>
    <w:p w14:paraId="2A0A246F"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[Elenco con frequenza]</w:t>
      </w:r>
    </w:p>
    <w:p w14:paraId="622474E3"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A51C01"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SINTOMI PRINCIPALI:</w:t>
      </w:r>
    </w:p>
    <w:p w14:paraId="78302FA5"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[Elenco]</w:t>
      </w:r>
    </w:p>
    <w:p w14:paraId="6BA0D29C"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CACAD"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DOMANDA:</w:t>
      </w:r>
    </w:p>
    <w:p w14:paraId="48392205" w14:textId="77777777" w:rsidR="009810E5" w:rsidRPr="009810E5" w:rsidRDefault="009810E5" w:rsidP="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810E5">
        <w:rPr>
          <w:rFonts w:ascii="Courier New" w:eastAsia="Times New Roman" w:hAnsi="Courier New" w:cs="Courier New"/>
          <w:kern w:val="0"/>
          <w:sz w:val="20"/>
          <w:szCs w:val="20"/>
          <w14:ligatures w14:val="none"/>
        </w:rPr>
        <w:t>Sulla base di questo profilo farmacogenomico, quali potenziali interazioni e ottimizzazioni del trattamento dovrebbero essere considerate?</w:t>
      </w:r>
    </w:p>
    <w:p w14:paraId="52DAE3FF" w14:textId="77777777" w:rsidR="009810E5" w:rsidRPr="009810E5" w:rsidRDefault="009810E5" w:rsidP="00981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10E5">
        <w:rPr>
          <w:rFonts w:ascii="Times New Roman" w:eastAsia="Times New Roman" w:hAnsi="Times New Roman" w:cs="Times New Roman"/>
          <w:b/>
          <w:bCs/>
          <w:kern w:val="0"/>
          <w:sz w:val="27"/>
          <w:szCs w:val="27"/>
          <w14:ligatures w14:val="none"/>
        </w:rPr>
        <w:t>B.4 Interpretazione dei Risultati IA</w:t>
      </w:r>
    </w:p>
    <w:p w14:paraId="326980BC"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ATTENZIONE SISTEMA — REGOLE DI INTERPRETAZIONE</w:t>
      </w:r>
      <w:r w:rsidRPr="009810E5">
        <w:rPr>
          <w:rFonts w:ascii="Times New Roman" w:eastAsia="Times New Roman" w:hAnsi="Times New Roman" w:cs="Times New Roman"/>
          <w:kern w:val="0"/>
          <w14:ligatures w14:val="none"/>
        </w:rPr>
        <w:t xml:space="preserve"> • Verificare sempre i suggerimenti dell'IA con la letteratura primaria • Considerare il contesto clinico completo • Discutere con il paziente prima di qualsiasi modifica • Documentare il ragionamento farmacogenomico</w:t>
      </w:r>
    </w:p>
    <w:p w14:paraId="147C70A2"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108DBB75">
          <v:rect id="_x0000_i1065" alt="" style="width:468pt;height:.05pt;mso-width-percent:0;mso-height-percent:0;mso-width-percent:0;mso-height-percent:0" o:hralign="center" o:hrstd="t" o:hr="t" fillcolor="#a0a0a0" stroked="f"/>
        </w:pict>
      </w:r>
    </w:p>
    <w:p w14:paraId="04F9C382"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Risorse di Emergenza — Italia</w:t>
      </w:r>
    </w:p>
    <w:p w14:paraId="7CCDFEBB"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IN CASO DI EMERGENZA MEDICA: 118 o 112</w:t>
      </w:r>
    </w:p>
    <w:p w14:paraId="05B2481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Linee di Ascolto:</w:t>
      </w:r>
      <w:r w:rsidRPr="009810E5">
        <w:rPr>
          <w:rFonts w:ascii="Times New Roman" w:eastAsia="Times New Roman" w:hAnsi="Times New Roman" w:cs="Times New Roman"/>
          <w:kern w:val="0"/>
          <w14:ligatures w14:val="none"/>
        </w:rPr>
        <w:t xml:space="preserve"> • </w:t>
      </w:r>
      <w:r w:rsidRPr="009810E5">
        <w:rPr>
          <w:rFonts w:ascii="Times New Roman" w:eastAsia="Times New Roman" w:hAnsi="Times New Roman" w:cs="Times New Roman"/>
          <w:b/>
          <w:bCs/>
          <w:kern w:val="0"/>
          <w14:ligatures w14:val="none"/>
        </w:rPr>
        <w:t>Telefono Amico</w:t>
      </w:r>
      <w:r w:rsidRPr="009810E5">
        <w:rPr>
          <w:rFonts w:ascii="Times New Roman" w:eastAsia="Times New Roman" w:hAnsi="Times New Roman" w:cs="Times New Roman"/>
          <w:kern w:val="0"/>
          <w14:ligatures w14:val="none"/>
        </w:rPr>
        <w:t xml:space="preserve">: 02 2327 2327 • </w:t>
      </w:r>
      <w:r w:rsidRPr="009810E5">
        <w:rPr>
          <w:rFonts w:ascii="Times New Roman" w:eastAsia="Times New Roman" w:hAnsi="Times New Roman" w:cs="Times New Roman"/>
          <w:b/>
          <w:bCs/>
          <w:kern w:val="0"/>
          <w14:ligatures w14:val="none"/>
        </w:rPr>
        <w:t>Telefono Azzurro</w:t>
      </w:r>
      <w:r w:rsidRPr="009810E5">
        <w:rPr>
          <w:rFonts w:ascii="Times New Roman" w:eastAsia="Times New Roman" w:hAnsi="Times New Roman" w:cs="Times New Roman"/>
          <w:kern w:val="0"/>
          <w14:ligatures w14:val="none"/>
        </w:rPr>
        <w:t xml:space="preserve"> (giovani): 19696 • </w:t>
      </w:r>
      <w:r w:rsidRPr="009810E5">
        <w:rPr>
          <w:rFonts w:ascii="Times New Roman" w:eastAsia="Times New Roman" w:hAnsi="Times New Roman" w:cs="Times New Roman"/>
          <w:b/>
          <w:bCs/>
          <w:kern w:val="0"/>
          <w14:ligatures w14:val="none"/>
        </w:rPr>
        <w:t>Samaritans Onlus</w:t>
      </w:r>
      <w:r w:rsidRPr="009810E5">
        <w:rPr>
          <w:rFonts w:ascii="Times New Roman" w:eastAsia="Times New Roman" w:hAnsi="Times New Roman" w:cs="Times New Roman"/>
          <w:kern w:val="0"/>
          <w14:ligatures w14:val="none"/>
        </w:rPr>
        <w:t>: 06 77208977</w:t>
      </w:r>
    </w:p>
    <w:p w14:paraId="23847373"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Servizi per le Dipendenze:</w:t>
      </w:r>
      <w:r w:rsidRPr="009810E5">
        <w:rPr>
          <w:rFonts w:ascii="Times New Roman" w:eastAsia="Times New Roman" w:hAnsi="Times New Roman" w:cs="Times New Roman"/>
          <w:kern w:val="0"/>
          <w14:ligatures w14:val="none"/>
        </w:rPr>
        <w:t xml:space="preserve"> • </w:t>
      </w:r>
      <w:r w:rsidRPr="009810E5">
        <w:rPr>
          <w:rFonts w:ascii="Times New Roman" w:eastAsia="Times New Roman" w:hAnsi="Times New Roman" w:cs="Times New Roman"/>
          <w:b/>
          <w:bCs/>
          <w:kern w:val="0"/>
          <w14:ligatures w14:val="none"/>
        </w:rPr>
        <w:t>SerD (Servizi per le Dipendenze)</w:t>
      </w:r>
      <w:r w:rsidRPr="009810E5">
        <w:rPr>
          <w:rFonts w:ascii="Times New Roman" w:eastAsia="Times New Roman" w:hAnsi="Times New Roman" w:cs="Times New Roman"/>
          <w:kern w:val="0"/>
          <w14:ligatures w14:val="none"/>
        </w:rPr>
        <w:t xml:space="preserve">: Presenti in ogni ASL • </w:t>
      </w:r>
      <w:r w:rsidRPr="009810E5">
        <w:rPr>
          <w:rFonts w:ascii="Times New Roman" w:eastAsia="Times New Roman" w:hAnsi="Times New Roman" w:cs="Times New Roman"/>
          <w:b/>
          <w:bCs/>
          <w:kern w:val="0"/>
          <w14:ligatures w14:val="none"/>
        </w:rPr>
        <w:t>Comunità di San Patrignano</w:t>
      </w:r>
      <w:r w:rsidRPr="009810E5">
        <w:rPr>
          <w:rFonts w:ascii="Times New Roman" w:eastAsia="Times New Roman" w:hAnsi="Times New Roman" w:cs="Times New Roman"/>
          <w:kern w:val="0"/>
          <w14:ligatures w14:val="none"/>
        </w:rPr>
        <w:t xml:space="preserve">: 0541 362111 • </w:t>
      </w:r>
      <w:r w:rsidRPr="009810E5">
        <w:rPr>
          <w:rFonts w:ascii="Times New Roman" w:eastAsia="Times New Roman" w:hAnsi="Times New Roman" w:cs="Times New Roman"/>
          <w:b/>
          <w:bCs/>
          <w:kern w:val="0"/>
          <w14:ligatures w14:val="none"/>
        </w:rPr>
        <w:t>Comunità di San Patrignano</w:t>
      </w:r>
      <w:r w:rsidRPr="009810E5">
        <w:rPr>
          <w:rFonts w:ascii="Times New Roman" w:eastAsia="Times New Roman" w:hAnsi="Times New Roman" w:cs="Times New Roman"/>
          <w:kern w:val="0"/>
          <w14:ligatures w14:val="none"/>
        </w:rPr>
        <w:t xml:space="preserve">: www.sanpatrignano.org • </w:t>
      </w:r>
      <w:r w:rsidRPr="009810E5">
        <w:rPr>
          <w:rFonts w:ascii="Times New Roman" w:eastAsia="Times New Roman" w:hAnsi="Times New Roman" w:cs="Times New Roman"/>
          <w:b/>
          <w:bCs/>
          <w:kern w:val="0"/>
          <w14:ligatures w14:val="none"/>
        </w:rPr>
        <w:t>Villa Maraini</w:t>
      </w:r>
      <w:r w:rsidRPr="009810E5">
        <w:rPr>
          <w:rFonts w:ascii="Times New Roman" w:eastAsia="Times New Roman" w:hAnsi="Times New Roman" w:cs="Times New Roman"/>
          <w:kern w:val="0"/>
          <w14:ligatures w14:val="none"/>
        </w:rPr>
        <w:t xml:space="preserve"> (Roma): 06 4423 2323</w:t>
      </w:r>
    </w:p>
    <w:p w14:paraId="2B4DB52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Centri di Salute Mentale:</w:t>
      </w:r>
      <w:r w:rsidRPr="009810E5">
        <w:rPr>
          <w:rFonts w:ascii="Times New Roman" w:eastAsia="Times New Roman" w:hAnsi="Times New Roman" w:cs="Times New Roman"/>
          <w:kern w:val="0"/>
          <w14:ligatures w14:val="none"/>
        </w:rPr>
        <w:t xml:space="preserve"> Contattare la propria ASL per il CSM di riferimento</w:t>
      </w:r>
    </w:p>
    <w:p w14:paraId="5F2A8F39"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Numero Verde Antidroga</w:t>
      </w:r>
      <w:r w:rsidRPr="009810E5">
        <w:rPr>
          <w:rFonts w:ascii="Times New Roman" w:eastAsia="Times New Roman" w:hAnsi="Times New Roman" w:cs="Times New Roman"/>
          <w:kern w:val="0"/>
          <w14:ligatures w14:val="none"/>
        </w:rPr>
        <w:t>: 800 186 070</w:t>
      </w:r>
    </w:p>
    <w:p w14:paraId="7EC56E8C"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59581147">
          <v:rect id="_x0000_i1064" alt="" style="width:468pt;height:.05pt;mso-width-percent:0;mso-height-percent:0;mso-width-percent:0;mso-height-percent:0" o:hralign="center" o:hrstd="t" o:hr="t" fillcolor="#a0a0a0" stroked="f"/>
        </w:pict>
      </w:r>
    </w:p>
    <w:p w14:paraId="772EDFD3" w14:textId="77777777" w:rsidR="009810E5" w:rsidRPr="009810E5" w:rsidRDefault="009810E5" w:rsidP="009810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10E5">
        <w:rPr>
          <w:rFonts w:ascii="Times New Roman" w:eastAsia="Times New Roman" w:hAnsi="Times New Roman" w:cs="Times New Roman"/>
          <w:b/>
          <w:bCs/>
          <w:kern w:val="0"/>
          <w:sz w:val="36"/>
          <w:szCs w:val="36"/>
          <w14:ligatures w14:val="none"/>
        </w:rPr>
        <w:t>Parole Finali</w:t>
      </w:r>
    </w:p>
    <w:p w14:paraId="5C4DA24E"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DIARIO FINALE DELL'ARCHITETTO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4"/>
      </w:tblGrid>
      <w:tr w:rsidR="009810E5" w:rsidRPr="009810E5" w14:paraId="3E55AC0A" w14:textId="77777777">
        <w:trPr>
          <w:tblHeader/>
          <w:tblCellSpacing w:w="15" w:type="dxa"/>
        </w:trPr>
        <w:tc>
          <w:tcPr>
            <w:tcW w:w="0" w:type="auto"/>
            <w:vAlign w:val="center"/>
            <w:hideMark/>
          </w:tcPr>
          <w:p w14:paraId="29585F88" w14:textId="77777777" w:rsidR="009810E5" w:rsidRPr="009810E5" w:rsidRDefault="009810E5" w:rsidP="009810E5">
            <w:pPr>
              <w:spacing w:after="0" w:line="240" w:lineRule="auto"/>
              <w:jc w:val="center"/>
              <w:rPr>
                <w:rFonts w:ascii="Times New Roman" w:eastAsia="Times New Roman" w:hAnsi="Times New Roman" w:cs="Times New Roman"/>
                <w:b/>
                <w:bCs/>
                <w:kern w:val="0"/>
                <w14:ligatures w14:val="none"/>
              </w:rPr>
            </w:pPr>
            <w:r w:rsidRPr="009810E5">
              <w:rPr>
                <w:rFonts w:ascii="Times New Roman" w:eastAsia="Times New Roman" w:hAnsi="Times New Roman" w:cs="Times New Roman"/>
                <w:b/>
                <w:bCs/>
                <w:kern w:val="0"/>
                <w14:ligatures w14:val="none"/>
              </w:rPr>
              <w:lastRenderedPageBreak/>
              <w:t>Lei non è rotto.</w:t>
            </w:r>
          </w:p>
        </w:tc>
      </w:tr>
      <w:tr w:rsidR="009810E5" w:rsidRPr="009810E5" w14:paraId="13C5EBE9" w14:textId="77777777">
        <w:trPr>
          <w:tblCellSpacing w:w="15" w:type="dxa"/>
        </w:trPr>
        <w:tc>
          <w:tcPr>
            <w:tcW w:w="0" w:type="auto"/>
            <w:vAlign w:val="center"/>
            <w:hideMark/>
          </w:tcPr>
          <w:p w14:paraId="77B5C7FB"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Sta eseguendo codice che non è stato ottimizzato per il Suo hardware.</w:t>
            </w:r>
          </w:p>
        </w:tc>
      </w:tr>
      <w:tr w:rsidR="009810E5" w:rsidRPr="009810E5" w14:paraId="08938A78" w14:textId="77777777">
        <w:trPr>
          <w:tblCellSpacing w:w="15" w:type="dxa"/>
        </w:trPr>
        <w:tc>
          <w:tcPr>
            <w:tcW w:w="0" w:type="auto"/>
            <w:vAlign w:val="center"/>
            <w:hideMark/>
          </w:tcPr>
          <w:p w14:paraId="2AF8098F"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Questo libro è il Suo manuale di debug.</w:t>
            </w:r>
          </w:p>
        </w:tc>
      </w:tr>
      <w:tr w:rsidR="009810E5" w:rsidRPr="009810E5" w14:paraId="22CE66DE" w14:textId="77777777">
        <w:trPr>
          <w:tblCellSpacing w:w="15" w:type="dxa"/>
        </w:trPr>
        <w:tc>
          <w:tcPr>
            <w:tcW w:w="0" w:type="auto"/>
            <w:vAlign w:val="center"/>
            <w:hideMark/>
          </w:tcPr>
          <w:p w14:paraId="1F33D711"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Con queste informazioni, può lavorare con i Suoi medici per</w:t>
            </w:r>
          </w:p>
        </w:tc>
      </w:tr>
      <w:tr w:rsidR="009810E5" w:rsidRPr="009810E5" w14:paraId="1F35712D" w14:textId="77777777">
        <w:trPr>
          <w:tblCellSpacing w:w="15" w:type="dxa"/>
        </w:trPr>
        <w:tc>
          <w:tcPr>
            <w:tcW w:w="0" w:type="auto"/>
            <w:vAlign w:val="center"/>
            <w:hideMark/>
          </w:tcPr>
          <w:p w14:paraId="634D154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costruire un sistema che funzioni — per LEI, specificamente per il SUO hardware.</w:t>
            </w:r>
          </w:p>
        </w:tc>
      </w:tr>
      <w:tr w:rsidR="009810E5" w:rsidRPr="009810E5" w14:paraId="1A0EA330" w14:textId="77777777">
        <w:trPr>
          <w:tblCellSpacing w:w="15" w:type="dxa"/>
        </w:trPr>
        <w:tc>
          <w:tcPr>
            <w:tcW w:w="0" w:type="auto"/>
            <w:vAlign w:val="center"/>
            <w:hideMark/>
          </w:tcPr>
          <w:p w14:paraId="604389E9"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Questa è la Sovranità Neurogenomica.</w:t>
            </w:r>
          </w:p>
        </w:tc>
      </w:tr>
      <w:tr w:rsidR="009810E5" w:rsidRPr="009810E5" w14:paraId="469AEBBB" w14:textId="77777777">
        <w:trPr>
          <w:tblCellSpacing w:w="15" w:type="dxa"/>
        </w:trPr>
        <w:tc>
          <w:tcPr>
            <w:tcW w:w="0" w:type="auto"/>
            <w:vAlign w:val="center"/>
            <w:hideMark/>
          </w:tcPr>
          <w:p w14:paraId="3E971F5C"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Benvenuto nel Suo recupero.</w:t>
            </w:r>
          </w:p>
        </w:tc>
      </w:tr>
      <w:tr w:rsidR="009810E5" w:rsidRPr="009810E5" w14:paraId="2E840080" w14:textId="77777777">
        <w:trPr>
          <w:tblCellSpacing w:w="15" w:type="dxa"/>
        </w:trPr>
        <w:tc>
          <w:tcPr>
            <w:tcW w:w="0" w:type="auto"/>
            <w:vAlign w:val="center"/>
            <w:hideMark/>
          </w:tcPr>
          <w:p w14:paraId="40524092"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 J.R. Token</w:t>
            </w:r>
          </w:p>
        </w:tc>
      </w:tr>
      <w:tr w:rsidR="009810E5" w:rsidRPr="009810E5" w14:paraId="2D2CAA56" w14:textId="77777777">
        <w:trPr>
          <w:tblCellSpacing w:w="15" w:type="dxa"/>
        </w:trPr>
        <w:tc>
          <w:tcPr>
            <w:tcW w:w="0" w:type="auto"/>
            <w:vAlign w:val="center"/>
            <w:hideMark/>
          </w:tcPr>
          <w:p w14:paraId="1913F1B7" w14:textId="77777777" w:rsidR="009810E5" w:rsidRPr="009810E5" w:rsidRDefault="009810E5" w:rsidP="009810E5">
            <w:pPr>
              <w:spacing w:after="0"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kern w:val="0"/>
                <w14:ligatures w14:val="none"/>
              </w:rPr>
              <w:t>Architetto di Sistemi Senior</w:t>
            </w:r>
          </w:p>
        </w:tc>
      </w:tr>
    </w:tbl>
    <w:p w14:paraId="258F6934"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3FCDEF86">
          <v:rect id="_x0000_i1063" alt="" style="width:468pt;height:.05pt;mso-width-percent:0;mso-height-percent:0;mso-width-percent:0;mso-height-percent:0" o:hralign="center" o:hrstd="t" o:hr="t" fillcolor="#a0a0a0" stroked="f"/>
        </w:pict>
      </w:r>
    </w:p>
    <w:p w14:paraId="09C3C011"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Apple Color Emoji" w:eastAsia="Times New Roman" w:hAnsi="Apple Color Emoji" w:cs="Apple Color Emoji"/>
          <w:b/>
          <w:bCs/>
          <w:kern w:val="0"/>
          <w14:ligatures w14:val="none"/>
        </w:rPr>
        <w:t>⚠️</w:t>
      </w:r>
      <w:r w:rsidRPr="009810E5">
        <w:rPr>
          <w:rFonts w:ascii="Times New Roman" w:eastAsia="Times New Roman" w:hAnsi="Times New Roman" w:cs="Times New Roman"/>
          <w:b/>
          <w:bCs/>
          <w:kern w:val="0"/>
          <w14:ligatures w14:val="none"/>
        </w:rPr>
        <w:t xml:space="preserve"> QUESTO È UN MANUALE DI RIDUZIONE DEL DANNO — NON UN CONSIGLIO MEDICO </w:t>
      </w:r>
      <w:r w:rsidRPr="009810E5">
        <w:rPr>
          <w:rFonts w:ascii="Apple Color Emoji" w:eastAsia="Times New Roman" w:hAnsi="Apple Color Emoji" w:cs="Apple Color Emoji"/>
          <w:b/>
          <w:bCs/>
          <w:kern w:val="0"/>
          <w14:ligatures w14:val="none"/>
        </w:rPr>
        <w:t>⚠️</w:t>
      </w:r>
    </w:p>
    <w:p w14:paraId="35AC0D4A"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Consultare sempre un professionista sanitario qualificato prima di modificare i propri farmaci o il proprio regime di integratori.</w:t>
      </w:r>
    </w:p>
    <w:p w14:paraId="2486A3CE" w14:textId="77777777" w:rsidR="009810E5" w:rsidRPr="009810E5" w:rsidRDefault="00EF5D64" w:rsidP="009810E5">
      <w:pPr>
        <w:spacing w:after="0" w:line="240" w:lineRule="auto"/>
        <w:rPr>
          <w:rFonts w:ascii="Times New Roman" w:eastAsia="Times New Roman" w:hAnsi="Times New Roman" w:cs="Times New Roman"/>
          <w:kern w:val="0"/>
          <w14:ligatures w14:val="none"/>
        </w:rPr>
      </w:pPr>
      <w:r w:rsidRPr="00EF5D64">
        <w:rPr>
          <w:rFonts w:ascii="Times New Roman" w:eastAsia="Times New Roman" w:hAnsi="Times New Roman" w:cs="Times New Roman"/>
          <w:noProof/>
          <w:kern w:val="0"/>
        </w:rPr>
        <w:pict w14:anchorId="0720CC53">
          <v:rect id="_x0000_i1062" alt="" style="width:468pt;height:.05pt;mso-width-percent:0;mso-height-percent:0;mso-width-percent:0;mso-height-percent:0" o:hralign="center" o:hrstd="t" o:hr="t" fillcolor="#a0a0a0" stroked="f"/>
        </w:pict>
      </w:r>
    </w:p>
    <w:p w14:paraId="5C46DA18"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b/>
          <w:bCs/>
          <w:kern w:val="0"/>
          <w14:ligatures w14:val="none"/>
        </w:rPr>
        <w:t>© J.R. Token</w:t>
      </w:r>
    </w:p>
    <w:p w14:paraId="2529B6C4"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THE RECOVERY KERNEL: La Guida dell'Architetto di Sistemi per Superare la Dipendenza</w:t>
      </w:r>
    </w:p>
    <w:p w14:paraId="4C555432" w14:textId="77777777" w:rsidR="009810E5" w:rsidRPr="009810E5" w:rsidRDefault="009810E5" w:rsidP="009810E5">
      <w:pPr>
        <w:spacing w:before="100" w:beforeAutospacing="1" w:after="100" w:afterAutospacing="1" w:line="240" w:lineRule="auto"/>
        <w:rPr>
          <w:rFonts w:ascii="Times New Roman" w:eastAsia="Times New Roman" w:hAnsi="Times New Roman" w:cs="Times New Roman"/>
          <w:kern w:val="0"/>
          <w14:ligatures w14:val="none"/>
        </w:rPr>
      </w:pPr>
      <w:r w:rsidRPr="009810E5">
        <w:rPr>
          <w:rFonts w:ascii="Times New Roman" w:eastAsia="Times New Roman" w:hAnsi="Times New Roman" w:cs="Times New Roman"/>
          <w:i/>
          <w:iCs/>
          <w:kern w:val="0"/>
          <w14:ligatures w14:val="none"/>
        </w:rPr>
        <w:t>Edizione Italiana</w:t>
      </w:r>
    </w:p>
    <w:p w14:paraId="58EC0F19"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84005"/>
    <w:multiLevelType w:val="multilevel"/>
    <w:tmpl w:val="7A42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C62CC"/>
    <w:multiLevelType w:val="multilevel"/>
    <w:tmpl w:val="F0C6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4A5D60"/>
    <w:multiLevelType w:val="multilevel"/>
    <w:tmpl w:val="DFB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0F4930"/>
    <w:multiLevelType w:val="multilevel"/>
    <w:tmpl w:val="190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096419">
    <w:abstractNumId w:val="2"/>
  </w:num>
  <w:num w:numId="2" w16cid:durableId="1760255535">
    <w:abstractNumId w:val="0"/>
  </w:num>
  <w:num w:numId="3" w16cid:durableId="766582640">
    <w:abstractNumId w:val="3"/>
  </w:num>
  <w:num w:numId="4" w16cid:durableId="856970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E5"/>
    <w:rsid w:val="001A21E2"/>
    <w:rsid w:val="005A0B99"/>
    <w:rsid w:val="00872189"/>
    <w:rsid w:val="009810E5"/>
    <w:rsid w:val="00EF5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765E2"/>
  <w15:chartTrackingRefBased/>
  <w15:docId w15:val="{69045EFF-5140-234F-B3FF-61B3D5FE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0E5"/>
    <w:rPr>
      <w:rFonts w:eastAsiaTheme="majorEastAsia" w:cstheme="majorBidi"/>
      <w:color w:val="272727" w:themeColor="text1" w:themeTint="D8"/>
    </w:rPr>
  </w:style>
  <w:style w:type="paragraph" w:styleId="Title">
    <w:name w:val="Title"/>
    <w:basedOn w:val="Normal"/>
    <w:next w:val="Normal"/>
    <w:link w:val="TitleChar"/>
    <w:uiPriority w:val="10"/>
    <w:qFormat/>
    <w:rsid w:val="0098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0E5"/>
    <w:pPr>
      <w:spacing w:before="160"/>
      <w:jc w:val="center"/>
    </w:pPr>
    <w:rPr>
      <w:i/>
      <w:iCs/>
      <w:color w:val="404040" w:themeColor="text1" w:themeTint="BF"/>
    </w:rPr>
  </w:style>
  <w:style w:type="character" w:customStyle="1" w:styleId="QuoteChar">
    <w:name w:val="Quote Char"/>
    <w:basedOn w:val="DefaultParagraphFont"/>
    <w:link w:val="Quote"/>
    <w:uiPriority w:val="29"/>
    <w:rsid w:val="009810E5"/>
    <w:rPr>
      <w:i/>
      <w:iCs/>
      <w:color w:val="404040" w:themeColor="text1" w:themeTint="BF"/>
    </w:rPr>
  </w:style>
  <w:style w:type="paragraph" w:styleId="ListParagraph">
    <w:name w:val="List Paragraph"/>
    <w:basedOn w:val="Normal"/>
    <w:uiPriority w:val="34"/>
    <w:qFormat/>
    <w:rsid w:val="009810E5"/>
    <w:pPr>
      <w:ind w:left="720"/>
      <w:contextualSpacing/>
    </w:pPr>
  </w:style>
  <w:style w:type="character" w:styleId="IntenseEmphasis">
    <w:name w:val="Intense Emphasis"/>
    <w:basedOn w:val="DefaultParagraphFont"/>
    <w:uiPriority w:val="21"/>
    <w:qFormat/>
    <w:rsid w:val="009810E5"/>
    <w:rPr>
      <w:i/>
      <w:iCs/>
      <w:color w:val="0F4761" w:themeColor="accent1" w:themeShade="BF"/>
    </w:rPr>
  </w:style>
  <w:style w:type="paragraph" w:styleId="IntenseQuote">
    <w:name w:val="Intense Quote"/>
    <w:basedOn w:val="Normal"/>
    <w:next w:val="Normal"/>
    <w:link w:val="IntenseQuoteChar"/>
    <w:uiPriority w:val="30"/>
    <w:qFormat/>
    <w:rsid w:val="00981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0E5"/>
    <w:rPr>
      <w:i/>
      <w:iCs/>
      <w:color w:val="0F4761" w:themeColor="accent1" w:themeShade="BF"/>
    </w:rPr>
  </w:style>
  <w:style w:type="character" w:styleId="IntenseReference">
    <w:name w:val="Intense Reference"/>
    <w:basedOn w:val="DefaultParagraphFont"/>
    <w:uiPriority w:val="32"/>
    <w:qFormat/>
    <w:rsid w:val="009810E5"/>
    <w:rPr>
      <w:b/>
      <w:bCs/>
      <w:smallCaps/>
      <w:color w:val="0F4761" w:themeColor="accent1" w:themeShade="BF"/>
      <w:spacing w:val="5"/>
    </w:rPr>
  </w:style>
  <w:style w:type="paragraph" w:customStyle="1" w:styleId="msonormal0">
    <w:name w:val="msonormal"/>
    <w:basedOn w:val="Normal"/>
    <w:rsid w:val="009810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810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10E5"/>
    <w:rPr>
      <w:i/>
      <w:iCs/>
    </w:rPr>
  </w:style>
  <w:style w:type="character" w:styleId="Strong">
    <w:name w:val="Strong"/>
    <w:basedOn w:val="DefaultParagraphFont"/>
    <w:uiPriority w:val="22"/>
    <w:qFormat/>
    <w:rsid w:val="009810E5"/>
    <w:rPr>
      <w:b/>
      <w:bCs/>
    </w:rPr>
  </w:style>
  <w:style w:type="character" w:styleId="Hyperlink">
    <w:name w:val="Hyperlink"/>
    <w:basedOn w:val="DefaultParagraphFont"/>
    <w:uiPriority w:val="99"/>
    <w:semiHidden/>
    <w:unhideWhenUsed/>
    <w:rsid w:val="009810E5"/>
    <w:rPr>
      <w:color w:val="0000FF"/>
      <w:u w:val="single"/>
    </w:rPr>
  </w:style>
  <w:style w:type="character" w:styleId="FollowedHyperlink">
    <w:name w:val="FollowedHyperlink"/>
    <w:basedOn w:val="DefaultParagraphFont"/>
    <w:uiPriority w:val="99"/>
    <w:semiHidden/>
    <w:unhideWhenUsed/>
    <w:rsid w:val="009810E5"/>
    <w:rPr>
      <w:color w:val="800080"/>
      <w:u w:val="single"/>
    </w:rPr>
  </w:style>
  <w:style w:type="paragraph" w:styleId="HTMLPreformatted">
    <w:name w:val="HTML Preformatted"/>
    <w:basedOn w:val="Normal"/>
    <w:link w:val="HTMLPreformattedChar"/>
    <w:uiPriority w:val="99"/>
    <w:semiHidden/>
    <w:unhideWhenUsed/>
    <w:rsid w:val="0098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10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810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7307</Words>
  <Characters>44433</Characters>
  <Application>Microsoft Office Word</Application>
  <DocSecurity>0</DocSecurity>
  <Lines>1057</Lines>
  <Paragraphs>689</Paragraphs>
  <ScaleCrop>false</ScaleCrop>
  <Company/>
  <LinksUpToDate>false</LinksUpToDate>
  <CharactersWithSpaces>51051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2025-12-28T14:06:00Z</dcterms:created>
  <dcterms:modified xsi:type="dcterms:W3CDTF">2025-12-28T14:06:00Z</dcterms:modified>
</cp:coreProperties>
</file>