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Genomic Testing: Table of Neurochemical Targets, Test Panels, and Clinical Impact</w:t>
      </w:r>
    </w:p>
    <w:p>
      <w:r>
        <w:t>This document expands the genomic-neurochemical mapping framework by linking each neurochemical system to available genetic tests, approximate costs, test origins, clinical insights gained, and specific changes a provider may make to treatment protocols as a result. It includes an estimation of public health and clinical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Neurochemical</w:t>
            </w:r>
          </w:p>
        </w:tc>
        <w:tc>
          <w:tcPr>
            <w:tcW w:type="dxa" w:w="1080"/>
          </w:tcPr>
          <w:p>
            <w:r>
              <w:t>Genes Tested</w:t>
            </w:r>
          </w:p>
        </w:tc>
        <w:tc>
          <w:tcPr>
            <w:tcW w:type="dxa" w:w="1080"/>
          </w:tcPr>
          <w:p>
            <w:r>
              <w:t>Test Panels</w:t>
            </w:r>
          </w:p>
        </w:tc>
        <w:tc>
          <w:tcPr>
            <w:tcW w:type="dxa" w:w="1080"/>
          </w:tcPr>
          <w:p>
            <w:r>
              <w:t>Cost</w:t>
            </w:r>
          </w:p>
        </w:tc>
        <w:tc>
          <w:tcPr>
            <w:tcW w:type="dxa" w:w="1080"/>
          </w:tcPr>
          <w:p>
            <w:r>
              <w:t>Origin</w:t>
            </w:r>
          </w:p>
        </w:tc>
        <w:tc>
          <w:tcPr>
            <w:tcW w:type="dxa" w:w="1080"/>
          </w:tcPr>
          <w:p>
            <w:r>
              <w:t>New Insights</w:t>
            </w:r>
          </w:p>
        </w:tc>
        <w:tc>
          <w:tcPr>
            <w:tcW w:type="dxa" w:w="1080"/>
          </w:tcPr>
          <w:p>
            <w:r>
              <w:t>Provider Impact</w:t>
            </w:r>
          </w:p>
        </w:tc>
        <w:tc>
          <w:tcPr>
            <w:tcW w:type="dxa" w:w="1080"/>
          </w:tcPr>
          <w:p>
            <w:r>
              <w:t>Estimated Impact</w:t>
            </w:r>
          </w:p>
        </w:tc>
      </w:tr>
      <w:tr>
        <w:tc>
          <w:tcPr>
            <w:tcW w:type="dxa" w:w="1080"/>
          </w:tcPr>
          <w:p>
            <w:r>
              <w:t>Dopamine</w:t>
            </w:r>
          </w:p>
        </w:tc>
        <w:tc>
          <w:tcPr>
            <w:tcW w:type="dxa" w:w="1080"/>
          </w:tcPr>
          <w:p>
            <w:r>
              <w:t>COMT, DRD2, SLC6A3 (DAT1), AKT1</w:t>
            </w:r>
          </w:p>
        </w:tc>
        <w:tc>
          <w:tcPr>
            <w:tcW w:type="dxa" w:w="1080"/>
          </w:tcPr>
          <w:p>
            <w:r>
              <w:t>Genomind, GeneSight, DNA Mind</w:t>
            </w:r>
          </w:p>
        </w:tc>
        <w:tc>
          <w:tcPr>
            <w:tcW w:type="dxa" w:w="1080"/>
          </w:tcPr>
          <w:p>
            <w:r>
              <w:t>$300–$500</w:t>
            </w:r>
          </w:p>
        </w:tc>
        <w:tc>
          <w:tcPr>
            <w:tcW w:type="dxa" w:w="1080"/>
          </w:tcPr>
          <w:p>
            <w:r>
              <w:t>USA, South Africa, UK</w:t>
            </w:r>
          </w:p>
        </w:tc>
        <w:tc>
          <w:tcPr>
            <w:tcW w:type="dxa" w:w="1080"/>
          </w:tcPr>
          <w:p>
            <w:r>
              <w:t>Risk of stimulant addiction, reward deficiency, dopaminergic overload, psychosis risk</w:t>
            </w:r>
          </w:p>
        </w:tc>
        <w:tc>
          <w:tcPr>
            <w:tcW w:type="dxa" w:w="1080"/>
          </w:tcPr>
          <w:p>
            <w:r>
              <w:t>Alter stimulant prescribing (e.g., lower amphetamine dose), monitor for mania, integrate trauma-informed care</w:t>
            </w:r>
          </w:p>
        </w:tc>
        <w:tc>
          <w:tcPr>
            <w:tcW w:type="dxa" w:w="1080"/>
          </w:tcPr>
          <w:p>
            <w:r>
              <w:t>25–40% reduced stimulant relapse; improved med adherence and outcome prediction</w:t>
            </w:r>
          </w:p>
        </w:tc>
      </w:tr>
      <w:tr>
        <w:tc>
          <w:tcPr>
            <w:tcW w:type="dxa" w:w="1080"/>
          </w:tcPr>
          <w:p>
            <w:r>
              <w:t>Serotonin</w:t>
            </w:r>
          </w:p>
        </w:tc>
        <w:tc>
          <w:tcPr>
            <w:tcW w:type="dxa" w:w="1080"/>
          </w:tcPr>
          <w:p>
            <w:r>
              <w:t>SLC6A4, HTR2A, TPH2</w:t>
            </w:r>
          </w:p>
        </w:tc>
        <w:tc>
          <w:tcPr>
            <w:tcW w:type="dxa" w:w="1080"/>
          </w:tcPr>
          <w:p>
            <w:r>
              <w:t>GeneSight, DNA Mind, Genomind</w:t>
            </w:r>
          </w:p>
        </w:tc>
        <w:tc>
          <w:tcPr>
            <w:tcW w:type="dxa" w:w="1080"/>
          </w:tcPr>
          <w:p>
            <w:r>
              <w:t>$250–$400</w:t>
            </w:r>
          </w:p>
        </w:tc>
        <w:tc>
          <w:tcPr>
            <w:tcW w:type="dxa" w:w="1080"/>
          </w:tcPr>
          <w:p>
            <w:r>
              <w:t>USA, Europe</w:t>
            </w:r>
          </w:p>
        </w:tc>
        <w:tc>
          <w:tcPr>
            <w:tcW w:type="dxa" w:w="1080"/>
          </w:tcPr>
          <w:p>
            <w:r>
              <w:t>SSRI sensitivity, MDMA risk, psychedelic emotional fallout prediction</w:t>
            </w:r>
          </w:p>
        </w:tc>
        <w:tc>
          <w:tcPr>
            <w:tcW w:type="dxa" w:w="1080"/>
          </w:tcPr>
          <w:p>
            <w:r>
              <w:t>Modify antidepressant choice, extend integration sessions for psychedelic therapy</w:t>
            </w:r>
          </w:p>
        </w:tc>
        <w:tc>
          <w:tcPr>
            <w:tcW w:type="dxa" w:w="1080"/>
          </w:tcPr>
          <w:p>
            <w:r>
              <w:t>15–30% fewer adverse med events; improved outcomes in MDMA/LSD therapy</w:t>
            </w:r>
          </w:p>
        </w:tc>
      </w:tr>
      <w:tr>
        <w:tc>
          <w:tcPr>
            <w:tcW w:type="dxa" w:w="1080"/>
          </w:tcPr>
          <w:p>
            <w:r>
              <w:t>GABA</w:t>
            </w:r>
          </w:p>
        </w:tc>
        <w:tc>
          <w:tcPr>
            <w:tcW w:type="dxa" w:w="1080"/>
          </w:tcPr>
          <w:p>
            <w:r>
              <w:t>GABRA2, GABRB3, GABRG1</w:t>
            </w:r>
          </w:p>
        </w:tc>
        <w:tc>
          <w:tcPr>
            <w:tcW w:type="dxa" w:w="1080"/>
          </w:tcPr>
          <w:p>
            <w:r>
              <w:t>SelfDecode, Genomind</w:t>
            </w:r>
          </w:p>
        </w:tc>
        <w:tc>
          <w:tcPr>
            <w:tcW w:type="dxa" w:w="1080"/>
          </w:tcPr>
          <w:p>
            <w:r>
              <w:t>$150–$300</w:t>
            </w:r>
          </w:p>
        </w:tc>
        <w:tc>
          <w:tcPr>
            <w:tcW w:type="dxa" w:w="1080"/>
          </w:tcPr>
          <w:p>
            <w:r>
              <w:t>USA</w:t>
            </w:r>
          </w:p>
        </w:tc>
        <w:tc>
          <w:tcPr>
            <w:tcW w:type="dxa" w:w="1080"/>
          </w:tcPr>
          <w:p>
            <w:r>
              <w:t>Alcohol dependence risk, sedative reaction prediction</w:t>
            </w:r>
          </w:p>
        </w:tc>
        <w:tc>
          <w:tcPr>
            <w:tcW w:type="dxa" w:w="1080"/>
          </w:tcPr>
          <w:p>
            <w:r>
              <w:t>Avoid benzodiazepines in GABA-sensitive patients; offer GABA support nutrients</w:t>
            </w:r>
          </w:p>
        </w:tc>
        <w:tc>
          <w:tcPr>
            <w:tcW w:type="dxa" w:w="1080"/>
          </w:tcPr>
          <w:p>
            <w:r>
              <w:t>20–35% reduction in alcohol overuse and ER sedation mismanagement</w:t>
            </w:r>
          </w:p>
        </w:tc>
      </w:tr>
      <w:tr>
        <w:tc>
          <w:tcPr>
            <w:tcW w:type="dxa" w:w="1080"/>
          </w:tcPr>
          <w:p>
            <w:r>
              <w:t>Endocannabinoids</w:t>
            </w:r>
          </w:p>
        </w:tc>
        <w:tc>
          <w:tcPr>
            <w:tcW w:type="dxa" w:w="1080"/>
          </w:tcPr>
          <w:p>
            <w:r>
              <w:t>CNR1, FAAH</w:t>
            </w:r>
          </w:p>
        </w:tc>
        <w:tc>
          <w:tcPr>
            <w:tcW w:type="dxa" w:w="1080"/>
          </w:tcPr>
          <w:p>
            <w:r>
              <w:t>SelfDecode, Genetic Genie, DNA Life</w:t>
            </w:r>
          </w:p>
        </w:tc>
        <w:tc>
          <w:tcPr>
            <w:tcW w:type="dxa" w:w="1080"/>
          </w:tcPr>
          <w:p>
            <w:r>
              <w:t>$99–$250</w:t>
            </w:r>
          </w:p>
        </w:tc>
        <w:tc>
          <w:tcPr>
            <w:tcW w:type="dxa" w:w="1080"/>
          </w:tcPr>
          <w:p>
            <w:r>
              <w:t>Global (consumer and clinical)</w:t>
            </w:r>
          </w:p>
        </w:tc>
        <w:tc>
          <w:tcPr>
            <w:tcW w:type="dxa" w:w="1080"/>
          </w:tcPr>
          <w:p>
            <w:r>
              <w:t>Cannabis-induced psychosis risk, addiction vulnerability</w:t>
            </w:r>
          </w:p>
        </w:tc>
        <w:tc>
          <w:tcPr>
            <w:tcW w:type="dxa" w:w="1080"/>
          </w:tcPr>
          <w:p>
            <w:r>
              <w:t>Advise against cannabis or THC therapy in high-risk genotypes; increase psychiatric monitoring</w:t>
            </w:r>
          </w:p>
        </w:tc>
        <w:tc>
          <w:tcPr>
            <w:tcW w:type="dxa" w:w="1080"/>
          </w:tcPr>
          <w:p>
            <w:r>
              <w:t>30–50% reduction in psychosis relapses and cannabis misuse</w:t>
            </w:r>
          </w:p>
        </w:tc>
      </w:tr>
      <w:tr>
        <w:tc>
          <w:tcPr>
            <w:tcW w:type="dxa" w:w="1080"/>
          </w:tcPr>
          <w:p>
            <w:r>
              <w:t>Methylation &amp; Detox</w:t>
            </w:r>
          </w:p>
        </w:tc>
        <w:tc>
          <w:tcPr>
            <w:tcW w:type="dxa" w:w="1080"/>
          </w:tcPr>
          <w:p>
            <w:r>
              <w:t>MTHFR, MTR, MTRR, CBS</w:t>
            </w:r>
          </w:p>
        </w:tc>
        <w:tc>
          <w:tcPr>
            <w:tcW w:type="dxa" w:w="1080"/>
          </w:tcPr>
          <w:p>
            <w:r>
              <w:t>Genetic Genie, Methylation Panel, MaxGen</w:t>
            </w:r>
          </w:p>
        </w:tc>
        <w:tc>
          <w:tcPr>
            <w:tcW w:type="dxa" w:w="1080"/>
          </w:tcPr>
          <w:p>
            <w:r>
              <w:t>$150–$300</w:t>
            </w:r>
          </w:p>
        </w:tc>
        <w:tc>
          <w:tcPr>
            <w:tcW w:type="dxa" w:w="1080"/>
          </w:tcPr>
          <w:p>
            <w:r>
              <w:t>USA, Europe</w:t>
            </w:r>
          </w:p>
        </w:tc>
        <w:tc>
          <w:tcPr>
            <w:tcW w:type="dxa" w:w="1080"/>
          </w:tcPr>
          <w:p>
            <w:r>
              <w:t>Ability to detox neurotransmitters, methyl donor deficiencies</w:t>
            </w:r>
          </w:p>
        </w:tc>
        <w:tc>
          <w:tcPr>
            <w:tcW w:type="dxa" w:w="1080"/>
          </w:tcPr>
          <w:p>
            <w:r>
              <w:t>Introduce SAM-e, methyl B12, TMG, folinic acid into recovery plans; monitor homocysteine</w:t>
            </w:r>
          </w:p>
        </w:tc>
        <w:tc>
          <w:tcPr>
            <w:tcW w:type="dxa" w:w="1080"/>
          </w:tcPr>
          <w:p>
            <w:r>
              <w:t>30–40% reduction in post-use depression, relapse, and cognitive decline</w:t>
            </w:r>
          </w:p>
        </w:tc>
      </w:tr>
      <w:tr>
        <w:tc>
          <w:tcPr>
            <w:tcW w:type="dxa" w:w="1080"/>
          </w:tcPr>
          <w:p>
            <w:r>
              <w:t>Caffeine &amp; Toxin Metabolism</w:t>
            </w:r>
          </w:p>
        </w:tc>
        <w:tc>
          <w:tcPr>
            <w:tcW w:type="dxa" w:w="1080"/>
          </w:tcPr>
          <w:p>
            <w:r>
              <w:t>CYP1A2, CYP2D6, CYP3A4</w:t>
            </w:r>
          </w:p>
        </w:tc>
        <w:tc>
          <w:tcPr>
            <w:tcW w:type="dxa" w:w="1080"/>
          </w:tcPr>
          <w:p>
            <w:r>
              <w:t>SelfDecode, DNA Fit, Genomind PGx</w:t>
            </w:r>
          </w:p>
        </w:tc>
        <w:tc>
          <w:tcPr>
            <w:tcW w:type="dxa" w:w="1080"/>
          </w:tcPr>
          <w:p>
            <w:r>
              <w:t>$150–$300</w:t>
            </w:r>
          </w:p>
        </w:tc>
        <w:tc>
          <w:tcPr>
            <w:tcW w:type="dxa" w:w="1080"/>
          </w:tcPr>
          <w:p>
            <w:r>
              <w:t>USA, UK, South Africa</w:t>
            </w:r>
          </w:p>
        </w:tc>
        <w:tc>
          <w:tcPr>
            <w:tcW w:type="dxa" w:w="1080"/>
          </w:tcPr>
          <w:p>
            <w:r>
              <w:t>Caffeine sensitivity, stimulant overdose risk, hepatic stress prediction</w:t>
            </w:r>
          </w:p>
        </w:tc>
        <w:tc>
          <w:tcPr>
            <w:tcW w:type="dxa" w:w="1080"/>
          </w:tcPr>
          <w:p>
            <w:r>
              <w:t>Avoid high-caffeine drugs or slow-metabolized medications; offer detox and liver support</w:t>
            </w:r>
          </w:p>
        </w:tc>
        <w:tc>
          <w:tcPr>
            <w:tcW w:type="dxa" w:w="1080"/>
          </w:tcPr>
          <w:p>
            <w:r>
              <w:t>10–20% fewer stimulant side effects; optimized stimulant therapy outcomes</w:t>
            </w:r>
          </w:p>
        </w:tc>
      </w:tr>
      <w:tr>
        <w:tc>
          <w:tcPr>
            <w:tcW w:type="dxa" w:w="1080"/>
          </w:tcPr>
          <w:p>
            <w:r>
              <w:t>Neuroplasticity &amp; Empathy</w:t>
            </w:r>
          </w:p>
        </w:tc>
        <w:tc>
          <w:tcPr>
            <w:tcW w:type="dxa" w:w="1080"/>
          </w:tcPr>
          <w:p>
            <w:r>
              <w:t>BDNF, OXTR</w:t>
            </w:r>
          </w:p>
        </w:tc>
        <w:tc>
          <w:tcPr>
            <w:tcW w:type="dxa" w:w="1080"/>
          </w:tcPr>
          <w:p>
            <w:r>
              <w:t>DNA Mind, Genomind</w:t>
            </w:r>
          </w:p>
        </w:tc>
        <w:tc>
          <w:tcPr>
            <w:tcW w:type="dxa" w:w="1080"/>
          </w:tcPr>
          <w:p>
            <w:r>
              <w:t>$150–$250</w:t>
            </w:r>
          </w:p>
        </w:tc>
        <w:tc>
          <w:tcPr>
            <w:tcW w:type="dxa" w:w="1080"/>
          </w:tcPr>
          <w:p>
            <w:r>
              <w:t>South Africa, USA</w:t>
            </w:r>
          </w:p>
        </w:tc>
        <w:tc>
          <w:tcPr>
            <w:tcW w:type="dxa" w:w="1080"/>
          </w:tcPr>
          <w:p>
            <w:r>
              <w:t>Response to therapy, MDMA/LSD integration success likelihood</w:t>
            </w:r>
          </w:p>
        </w:tc>
        <w:tc>
          <w:tcPr>
            <w:tcW w:type="dxa" w:w="1080"/>
          </w:tcPr>
          <w:p>
            <w:r>
              <w:t>Adapt integration window, extend therapy duration, introduce oxytocin-related interventions</w:t>
            </w:r>
          </w:p>
        </w:tc>
        <w:tc>
          <w:tcPr>
            <w:tcW w:type="dxa" w:w="1080"/>
          </w:tcPr>
          <w:p>
            <w:r>
              <w:t>20–30% increase in sustained therapy results and client satisfaction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