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Your Nervous System, Your Risk: A Personalized Guide to Substance Use and Genetic Resilience</w:t>
      </w:r>
    </w:p>
    <w:p>
      <w:r>
        <w:t>This guide is designed to help individuals understand how their unique genetic makeup influences their brain’s response to alcohol, stimulants, cannabis, psychedelics, and other substances. It is not about judgment—it’s about empowerment. Knowing your genes gives you a new level of insight and control over your health, recovery, and choices.</w:t>
      </w:r>
    </w:p>
    <w:p>
      <w:pPr>
        <w:pStyle w:val="Heading1"/>
      </w:pPr>
      <w:r>
        <w:t>1. What Your Genes Say About You</w:t>
      </w:r>
    </w:p>
    <w:p>
      <w:r>
        <w:t>Certain genes influence how your brain handles stress, stimulation, and reward. If you’ve ever wondered why one person can ‘handle’ substances and another spirals—this guide will explain why.</w:t>
      </w:r>
    </w:p>
    <w:p>
      <w:r>
        <w:t>Key Genetic Markers:</w:t>
      </w:r>
    </w:p>
    <w:p>
      <w:r>
        <w:t>- MTHFR: Affects your brain’s detox system and emotional recovery</w:t>
        <w:br/>
        <w:t>- COMT: Determines how quickly you break down dopamine (the pleasure and stress chemical)</w:t>
        <w:br/>
        <w:t>- DRD2/DRD4: Linked to how strong your brain’s reward response is</w:t>
        <w:br/>
        <w:t>- CYP1A2/CYP2D6: Affect how your liver processes stimulants and medications</w:t>
      </w:r>
    </w:p>
    <w:p>
      <w:pPr>
        <w:pStyle w:val="Heading1"/>
      </w:pPr>
      <w:r>
        <w:t>2. Personalized Substance Response Map</w:t>
      </w:r>
    </w:p>
    <w:p>
      <w:r>
        <w:t>These are examples of how your genes could affect your experience:</w:t>
      </w:r>
    </w:p>
    <w:p>
      <w:r>
        <w:t>- Alcohol: If you have a GABRA2 variant or slow COMT, alcohol may feel more relaxing but also more addictive.</w:t>
        <w:br/>
        <w:t>- Cannabis: Genes like AKT1 and COMT can make you more prone to panic or paranoia.</w:t>
        <w:br/>
        <w:t>- MDMA or Psychedelics: SLC6A4 or BDNF variants may increase your emotional crash or reduce benefit.</w:t>
        <w:br/>
        <w:t>- Stimulants (like cocaine or meth): DRD2 and COMT can influence how euphoric—or aggressive—you get.</w:t>
        <w:br/>
        <w:t>- Caffeine: Some people metabolize caffeine slowly due to CYP1A2 and feel anxious or jittery even from a cup of tea.</w:t>
      </w:r>
    </w:p>
    <w:p>
      <w:pPr>
        <w:pStyle w:val="Heading1"/>
      </w:pPr>
      <w:r>
        <w:t>3. What You Can Do With This Information</w:t>
      </w:r>
    </w:p>
    <w:p>
      <w:r>
        <w:t>- Learn which substances you may want to avoid entirely, or use with extra care.</w:t>
        <w:br/>
        <w:t>- Support your nervous system with targeted supplements: SAM-e, methylated B12, magnesium, NAC.</w:t>
        <w:br/>
        <w:t>- Get a one-time genetic test to personalize your health strategy.</w:t>
        <w:br/>
        <w:t>- Talk to a health provider who understands precision psychiatry or pharmacogenomics.</w:t>
      </w:r>
    </w:p>
    <w:p>
      <w:pPr>
        <w:pStyle w:val="Heading1"/>
      </w:pPr>
      <w:r>
        <w:t>4. How This Changes Healthcare</w:t>
      </w:r>
    </w:p>
    <w:p>
      <w:r>
        <w:t>Instead of blaming willpower, your care team can work with your biology. This is what precision medicine looks like—it’s personal, science-based, and humane.</w:t>
      </w:r>
    </w:p>
    <w:p>
      <w:pPr>
        <w:pStyle w:val="Heading1"/>
      </w:pPr>
      <w:r>
        <w:t>5. Where to Start</w:t>
      </w:r>
    </w:p>
    <w:p>
      <w:r>
        <w:t>Step 1: Ask your provider about a genomic test that includes MTHFR, COMT, SLC6A4, and dopamine genes.</w:t>
        <w:br/>
        <w:t>Step 2: Review the results with a counselor or genetic health advisor.</w:t>
        <w:br/>
        <w:t>Step 3: Create a plan to reduce risks, support brain recovery, and make empowered choices.</w:t>
        <w:br/>
        <w:t>Step 4: Share this insight with others—it may help someone avoid a lifetime of struggle.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