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PROTOCOLO 22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EL PROTOCOLO FARMA-TRAMPA</w:t>
      </w:r>
    </w:p>
    <w:p>
      <w:pPr>
        <w:jc w:val="center"/>
      </w:pPr>
      <w:r>
        <w:rPr>
          <w:i/>
          <w:iCs/>
          <w:sz w:val="24"/>
          <w:szCs w:val="24"/>
        </w:rPr>
        <w:t xml:space="preserve">Un Enfoque de Sistemas para la Desprescripción Informada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Redefiniendo la Medicación como Disco de Arranque, No Sentencia de Por Vida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paradigma psiquiátrico actual tiene un defecto de diseño fundamental:</w:t>
            </w:r>
          </w:p>
          <w:p>
            <w:r>
              <w:rPr>
                <w:sz w:val="22"/>
                <w:szCs w:val="22"/>
              </w:rPr>
              <w:t xml:space="preserve">El ÉXITO se mide por CUMPLIMIENTO, no FUNCIONALIDAD.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paciente que se queda en medicación indefinidamente se considera "estable."</w:t>
            </w:r>
          </w:p>
          <w:p>
            <w:r>
              <w:rPr>
                <w:sz w:val="22"/>
                <w:szCs w:val="22"/>
              </w:rPr>
              <w:t xml:space="preserve">El paciente que pregunta "¿cuándo puedo parar?" se considera "no cumplidor."</w:t>
            </w:r>
          </w:p>
          <w:p>
            <w:r>
              <w:rPr>
                <w:sz w:val="22"/>
                <w:szCs w:val="22"/>
              </w:rPr>
              <w:t xml:space="preserve">El paciente que reduce exitosamente se considera "afortunado" o "nunca lo necesitó realmente."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está al revés.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arquitectura de sistemas, no dejas el disco de arranque después de que carga el SO.</w:t>
            </w:r>
          </w:p>
          <w:p>
            <w:r>
              <w:rPr>
                <w:sz w:val="22"/>
                <w:szCs w:val="22"/>
              </w:rPr>
              <w:t xml:space="preserve">No dejas el andamiaje después de que el edificio está completo.</w:t>
            </w:r>
          </w:p>
          <w:p>
            <w:r>
              <w:rPr>
                <w:sz w:val="22"/>
                <w:szCs w:val="22"/>
              </w:rPr>
              <w:t xml:space="preserve">No corres con energía de respaldo de emergencia después de que el sistema principal está restaurado.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Sin embargo, la medicina psiquiátrica rutinariamente:</w:t>
            </w:r>
          </w:p>
          <w:p>
            <w:r>
              <w:rPr>
                <w:sz w:val="22"/>
                <w:szCs w:val="22"/>
              </w:rPr>
              <w:t xml:space="preserve">— Prescribe medicamentos basados en ensayos de 6-12 semanas</w:t>
            </w:r>
          </w:p>
          <w:p>
            <w:r>
              <w:rPr>
                <w:sz w:val="22"/>
                <w:szCs w:val="22"/>
              </w:rPr>
              <w:t xml:space="preserve">— Los continúa por años o décadas</w:t>
            </w:r>
          </w:p>
          <w:p>
            <w:r>
              <w:rPr>
                <w:sz w:val="22"/>
                <w:szCs w:val="22"/>
              </w:rPr>
              <w:t xml:space="preserve">— Nunca establece criterios de salida</w:t>
            </w:r>
          </w:p>
          <w:p>
            <w:r>
              <w:rPr>
                <w:sz w:val="22"/>
                <w:szCs w:val="22"/>
              </w:rPr>
              <w:t xml:space="preserve">— Etiqueta intentos de discontinuar como "riesgo de recaída"</w:t>
            </w:r>
          </w:p>
          <w:p>
            <w:r>
              <w:rPr>
                <w:sz w:val="22"/>
                <w:szCs w:val="22"/>
              </w:rPr>
              <w:t xml:space="preserve">— Mide el éxito por recarga de receta, no función de vida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reenmarca todo el paradigma:</w:t>
            </w:r>
          </w:p>
          <w:p>
            <w:r>
              <w:rPr>
                <w:sz w:val="22"/>
                <w:szCs w:val="22"/>
              </w:rPr>
              <w:t xml:space="preserve">MEDICACIÓN = DISCO DE ARRANQUE DEL SISTEMA</w:t>
            </w:r>
          </w:p>
          <w:p>
            <w:r>
              <w:rPr>
                <w:sz w:val="22"/>
                <w:szCs w:val="22"/>
              </w:rPr>
              <w:t xml:space="preserve">— Usado para estabilizar durante crisis</w:t>
            </w:r>
          </w:p>
          <w:p>
            <w:r>
              <w:rPr>
                <w:sz w:val="22"/>
                <w:szCs w:val="22"/>
              </w:rPr>
              <w:t xml:space="preserve">— Permite que el sistema operativo real cargue</w:t>
            </w:r>
          </w:p>
          <w:p>
            <w:r>
              <w:rPr>
                <w:sz w:val="22"/>
                <w:szCs w:val="22"/>
              </w:rPr>
              <w:t xml:space="preserve">— Debe ser expulsado una vez que el sistema puede correr independientemente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22.1: DEFINIENDO LA FARMA-TRAMPA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FARMA-TRAMPA DEFINIDA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Farma-Trampa es una falla de sistemas en el cuidado psiquiátrico caracterizada por: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CUMPLIMIENTO COMO MÉTRICA DE ÉXITO</w:t>
            </w:r>
          </w:p>
          <w:p>
            <w:r>
              <w:rPr>
                <w:sz w:val="22"/>
                <w:szCs w:val="22"/>
              </w:rPr>
              <w:t xml:space="preserve">— "Buen paciente" = Toma medicación como se prescribe indefinidamente</w:t>
            </w:r>
          </w:p>
          <w:p>
            <w:r>
              <w:rPr>
                <w:sz w:val="22"/>
                <w:szCs w:val="22"/>
              </w:rPr>
              <w:t xml:space="preserve">— "Estable" = Continúa recargando recetas</w:t>
            </w:r>
          </w:p>
          <w:p>
            <w:r>
              <w:rPr>
                <w:sz w:val="22"/>
                <w:szCs w:val="22"/>
              </w:rPr>
              <w:t xml:space="preserve">— Éxito medido por adherencia, no funcionalidad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CRITERIOS DE SALIDA AUSENTES</w:t>
            </w:r>
          </w:p>
          <w:p>
            <w:r>
              <w:rPr>
                <w:sz w:val="22"/>
                <w:szCs w:val="22"/>
              </w:rPr>
              <w:t xml:space="preserve">— Sin marcadores biológicos para "tratamiento completo"</w:t>
            </w:r>
          </w:p>
          <w:p>
            <w:r>
              <w:rPr>
                <w:sz w:val="22"/>
                <w:szCs w:val="22"/>
              </w:rPr>
              <w:t xml:space="preserve">— Sin punto final definido para uso de medicación</w:t>
            </w:r>
          </w:p>
          <w:p>
            <w:r>
              <w:rPr>
                <w:sz w:val="22"/>
                <w:szCs w:val="22"/>
              </w:rPr>
              <w:t xml:space="preserve">— "Mantenimiento indefinido" como protocolo por defecto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DESAJUSTE ESTUDIO-PRÁCTICA</w:t>
            </w:r>
          </w:p>
          <w:p>
            <w:r>
              <w:rPr>
                <w:sz w:val="22"/>
                <w:szCs w:val="22"/>
              </w:rPr>
              <w:t xml:space="preserve">— Aprobación FDA basada en ensayos de 6-12 semanas</w:t>
            </w:r>
          </w:p>
          <w:p>
            <w:r>
              <w:rPr>
                <w:sz w:val="22"/>
                <w:szCs w:val="22"/>
              </w:rPr>
              <w:t xml:space="preserve">— Práctica clínica extiende a años/décadas</w:t>
            </w:r>
          </w:p>
          <w:p>
            <w:r>
              <w:rPr>
                <w:sz w:val="22"/>
                <w:szCs w:val="22"/>
              </w:rPr>
              <w:t xml:space="preserve">— Sin datos de eficacia a largo plazo apoyando uso indefinido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ABSTINENCIA ENMARCADA COMO RECAÍDA</w:t>
            </w:r>
          </w:p>
          <w:p>
            <w:r>
              <w:rPr>
                <w:sz w:val="22"/>
                <w:szCs w:val="22"/>
              </w:rPr>
              <w:t xml:space="preserve">— Síntomas de discontinuación etiquetados como "retorno de enfermedad"</w:t>
            </w:r>
          </w:p>
          <w:p>
            <w:r>
              <w:rPr>
                <w:sz w:val="22"/>
                <w:szCs w:val="22"/>
              </w:rPr>
              <w:t xml:space="preserve">— Refuerza creencia de que la medicación estaba "funcionando"</w:t>
            </w:r>
          </w:p>
          <w:p>
            <w:r>
              <w:rPr>
                <w:sz w:val="22"/>
                <w:szCs w:val="22"/>
              </w:rPr>
              <w:t xml:space="preserve">— Crea miedo de intentar reducir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RESULTADO:</w:t>
            </w:r>
          </w:p>
          <w:p>
            <w:r>
              <w:rPr>
                <w:sz w:val="22"/>
                <w:szCs w:val="22"/>
              </w:rPr>
              <w:t xml:space="preserve">Millones de pacientes en medicamentos más tiempo del que cualquier estudio ha validado,</w:t>
            </w:r>
          </w:p>
          <w:p>
            <w:r>
              <w:rPr>
                <w:sz w:val="22"/>
                <w:szCs w:val="22"/>
              </w:rPr>
              <w:t xml:space="preserve">sin estrategia de salida, función declinante, y efectos secundarios crecientes,</w:t>
            </w:r>
          </w:p>
          <w:p>
            <w:r>
              <w:rPr>
                <w:sz w:val="22"/>
                <w:szCs w:val="22"/>
              </w:rPr>
              <w:t xml:space="preserve">etiquetados "estables" porque siguen llenando recetas.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CLASE DE MEDICAMENTO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ESTUDIO DE APROBACIÓN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DURACIÓN TÍPICA DE PRESCRIPCIÓN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A LARGO PLAZO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ISRS/IRSN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6-12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Años a décadas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Limitados más allá de 2 años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Estimulantes (TDAH)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4-12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Años (a menudo niñez → adultez)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Datos mínimos a largo plazo en adultos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Antipsicóticos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6-8 semanas agudo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menudo indefinido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Datos de daño crecientes con el tiempo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Benzodiazepinas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2-4 semanas (etiquetadas para corto plazo)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menudo años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Datos de daño claros más allá de 4 semanas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Estabilizadores de Ánimo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3-6 meses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menudo indefinido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Mejores datos a largo plazo, todavía brechas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22.2: EL DESAJUSTE DE HARDWARE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CASO: COMT Met/Met + Estimulante = Conflicto de Hardware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CONTEXTO GENÉTICO:</w:t>
            </w:r>
          </w:p>
          <w:p>
            <w:r>
              <w:rPr>
                <w:sz w:val="22"/>
                <w:szCs w:val="22"/>
              </w:rPr>
              <w:t xml:space="preserve">COMT limpia dopamina de la corteza prefrontal.</w:t>
            </w:r>
          </w:p>
          <w:p>
            <w:r>
              <w:rPr>
                <w:sz w:val="22"/>
                <w:szCs w:val="22"/>
              </w:rPr>
              <w:t xml:space="preserve">— Val/Val ("Guerrero"): Limpieza de dopamina RÁPIDA → Dopamina basal más baja</w:t>
            </w:r>
          </w:p>
          <w:p>
            <w:r>
              <w:rPr>
                <w:sz w:val="22"/>
                <w:szCs w:val="22"/>
              </w:rPr>
              <w:t xml:space="preserve">— Met/Met ("Preocupado"): Limpieza de dopamina LENTA → Dopamina basal más alta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 ESTÁNDAR:</w:t>
            </w:r>
          </w:p>
          <w:p>
            <w:r>
              <w:rPr>
                <w:sz w:val="22"/>
                <w:szCs w:val="22"/>
              </w:rPr>
              <w:t xml:space="preserve">Paciente presenta con problemas de enfoque, inquietud</w:t>
            </w:r>
          </w:p>
          <w:p>
            <w:r>
              <w:rPr>
                <w:sz w:val="22"/>
                <w:szCs w:val="22"/>
              </w:rPr>
              <w:t xml:space="preserve">Diagnosticado TDAH → Prescrito anfetamina (Adderall) o metilfenidato (Ritalin)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CONFLICTO DE HARDWARE:</w:t>
            </w:r>
          </w:p>
          <w:p>
            <w:r>
              <w:rPr>
                <w:sz w:val="22"/>
                <w:szCs w:val="22"/>
              </w:rPr>
              <w:t xml:space="preserve">Para un cerebro Met/Met (ya ALTA dopamina):</w:t>
            </w:r>
          </w:p>
          <w:p>
            <w:r>
              <w:rPr>
                <w:sz w:val="22"/>
                <w:szCs w:val="22"/>
              </w:rPr>
              <w:t xml:space="preserve">— El estimulante agrega MÁS dopamina a un sistema ya saturado</w:t>
            </w:r>
          </w:p>
          <w:p>
            <w:r>
              <w:rPr>
                <w:sz w:val="22"/>
                <w:szCs w:val="22"/>
              </w:rPr>
              <w:t xml:space="preserve">— Efecto inicial: "¡Está funcionando!" (hiperenfoque, euforia)</w:t>
            </w:r>
          </w:p>
          <w:p>
            <w:r>
              <w:rPr>
                <w:sz w:val="22"/>
                <w:szCs w:val="22"/>
              </w:rPr>
              <w:t xml:space="preserve">— Semana 2-4: Ansiedad, irritabilidad, pensamientos acelerados</w:t>
            </w:r>
          </w:p>
          <w:p>
            <w:r>
              <w:rPr>
                <w:sz w:val="22"/>
                <w:szCs w:val="22"/>
              </w:rPr>
              <w:t xml:space="preserve">— Mes 2-3: Agotamiento, empeoramiento de enfoque</w:t>
            </w:r>
          </w:p>
          <w:p>
            <w:r>
              <w:rPr>
                <w:sz w:val="22"/>
                <w:szCs w:val="22"/>
              </w:rPr>
              <w:t xml:space="preserve">— Año 1+: Tolerancia, escalada de dosis, riesgo de adicción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CORRECCIÓN REAL:</w:t>
            </w:r>
          </w:p>
          <w:p>
            <w:r>
              <w:rPr>
                <w:sz w:val="22"/>
                <w:szCs w:val="22"/>
              </w:rPr>
              <w:t xml:space="preserve">— Reducir estimulación, no agregarla</w:t>
            </w:r>
          </w:p>
          <w:p>
            <w:r>
              <w:rPr>
                <w:sz w:val="22"/>
                <w:szCs w:val="22"/>
              </w:rPr>
              <w:t xml:space="preserve">— Manejo de estrés (el cortisol afecta función de COMT)</w:t>
            </w:r>
          </w:p>
          <w:p>
            <w:r>
              <w:rPr>
                <w:sz w:val="22"/>
                <w:szCs w:val="22"/>
              </w:rPr>
              <w:t xml:space="preserve">— Sueño adecuado (limpia dopamina durante la noche)</w:t>
            </w:r>
          </w:p>
          <w:p>
            <w:r>
              <w:rPr>
                <w:sz w:val="22"/>
                <w:szCs w:val="22"/>
              </w:rPr>
              <w:t xml:space="preserve">— Para problemas reales de enfoque: Considerar opciones no-estimulantes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CASO: MTHFR C677T + ISRS = Problema de Tanque Vacío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CONTEXTO GENÉTICO:</w:t>
            </w:r>
          </w:p>
          <w:p>
            <w:r>
              <w:rPr>
                <w:sz w:val="22"/>
                <w:szCs w:val="22"/>
              </w:rPr>
              <w:t xml:space="preserve">MTHFR convierte ácido fólico → L-metilfolato (forma activa)</w:t>
            </w:r>
          </w:p>
          <w:p>
            <w:r>
              <w:rPr>
                <w:sz w:val="22"/>
                <w:szCs w:val="22"/>
              </w:rPr>
              <w:t xml:space="preserve">L-metilfolato se requiere para SINTETIZAR serotonina, dopamina, norepinefrina</w:t>
            </w:r>
          </w:p>
          <w:p>
            <w:r>
              <w:rPr>
                <w:sz w:val="22"/>
                <w:szCs w:val="22"/>
              </w:rPr>
              <w:t xml:space="preserve">— MTHFR normal: Producción adecuada de neurotransmisores</w:t>
            </w:r>
          </w:p>
          <w:p>
            <w:r>
              <w:rPr>
                <w:sz w:val="22"/>
                <w:szCs w:val="22"/>
              </w:rPr>
              <w:t xml:space="preserve">— C677T Heterocigoto: ~35% función reducida</w:t>
            </w:r>
          </w:p>
          <w:p>
            <w:r>
              <w:rPr>
                <w:sz w:val="22"/>
                <w:szCs w:val="22"/>
              </w:rPr>
              <w:t xml:space="preserve">— C677T Homocigoto: ~70% función reducida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 ESTÁNDAR:</w:t>
            </w:r>
          </w:p>
          <w:p>
            <w:r>
              <w:rPr>
                <w:sz w:val="22"/>
                <w:szCs w:val="22"/>
              </w:rPr>
              <w:t xml:space="preserve">Paciente presenta con depresión → Prescrito ISRS</w:t>
            </w:r>
          </w:p>
          <w:p>
            <w:r>
              <w:rPr>
                <w:sz w:val="22"/>
                <w:szCs w:val="22"/>
              </w:rPr>
              <w:t xml:space="preserve">ISRS RECICLA serotonina existente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CONFLICTO DE HARDWARE:</w:t>
            </w:r>
          </w:p>
          <w:p>
            <w:r>
              <w:rPr>
                <w:sz w:val="22"/>
                <w:szCs w:val="22"/>
              </w:rPr>
              <w:t xml:space="preserve">Para un cerebro comprometido por MTHFR (BAJA producción):</w:t>
            </w:r>
          </w:p>
          <w:p>
            <w:r>
              <w:rPr>
                <w:sz w:val="22"/>
                <w:szCs w:val="22"/>
              </w:rPr>
              <w:t xml:space="preserve">— ISRS recicla lo que hay (mejora inicial)</w:t>
            </w:r>
          </w:p>
          <w:p>
            <w:r>
              <w:rPr>
                <w:sz w:val="22"/>
                <w:szCs w:val="22"/>
              </w:rPr>
              <w:t xml:space="preserve">— Pero no se está haciendo nueva serotonina (cuello de botella de metilación)</w:t>
            </w:r>
          </w:p>
          <w:p>
            <w:r>
              <w:rPr>
                <w:sz w:val="22"/>
                <w:szCs w:val="22"/>
              </w:rPr>
              <w:t xml:space="preserve">— El tanque gradualmente se vacía a pesar del reciclaje</w:t>
            </w:r>
          </w:p>
          <w:p>
            <w:r>
              <w:rPr>
                <w:sz w:val="22"/>
                <w:szCs w:val="22"/>
              </w:rPr>
              <w:t xml:space="preserve">— Semana 6-12: "Dejó de funcionar" (taquifilaxia)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CORRECCIÓN REAL:</w:t>
            </w:r>
          </w:p>
          <w:p>
            <w:r>
              <w:rPr>
                <w:sz w:val="22"/>
                <w:szCs w:val="22"/>
              </w:rPr>
              <w:t xml:space="preserve">— L-Metilfolato (15mg)</w:t>
            </w:r>
          </w:p>
          <w:p>
            <w:r>
              <w:rPr>
                <w:sz w:val="22"/>
                <w:szCs w:val="22"/>
              </w:rPr>
              <w:t xml:space="preserve">— Metilcobalamina B12</w:t>
            </w:r>
          </w:p>
          <w:p>
            <w:r>
              <w:rPr>
                <w:sz w:val="22"/>
                <w:szCs w:val="22"/>
              </w:rPr>
              <w:t xml:space="preserve">— Abordar el cuello de botella de PRODUCCIÓN</w:t>
            </w:r>
          </w:p>
          <w:p>
            <w:r>
              <w:rPr>
                <w:sz w:val="22"/>
                <w:szCs w:val="22"/>
              </w:rPr>
              <w:t xml:space="preserve">— Una vez que la metilación está apoyada, el ISRS a menudo se vuelve innecesario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22.3: EL MODELO DE DISCO DE ARRANQUE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PROTOCOLO DE CUATRO FASES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1: ESTABILIZACIÓN DE CRISIS</w:t>
            </w:r>
          </w:p>
          <w:p>
            <w:r>
              <w:rPr>
                <w:sz w:val="22"/>
                <w:szCs w:val="22"/>
              </w:rPr>
              <w:t xml:space="preserve">□ Usa la medicación para estabilizar la emergencia aguda</w:t>
            </w:r>
          </w:p>
          <w:p>
            <w:r>
              <w:rPr>
                <w:sz w:val="22"/>
                <w:szCs w:val="22"/>
              </w:rPr>
              <w:t xml:space="preserve">□ Establece criterios de salida desde el día uno</w:t>
            </w:r>
          </w:p>
          <w:p>
            <w:r>
              <w:rPr>
                <w:sz w:val="22"/>
                <w:szCs w:val="22"/>
              </w:rPr>
              <w:t xml:space="preserve">□ Ordena pruebas farmacogenómicas (GeneSight, etc.)</w:t>
            </w:r>
          </w:p>
          <w:p>
            <w:r>
              <w:rPr>
                <w:sz w:val="22"/>
                <w:szCs w:val="22"/>
              </w:rPr>
              <w:t xml:space="preserve">□ Comienza soporte básico: Sueño, nutrición, seguridad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2: LA AUDITORÍA BIOLÓGICA (Mes 1-3)</w:t>
            </w:r>
          </w:p>
          <w:p>
            <w:r>
              <w:rPr>
                <w:sz w:val="22"/>
                <w:szCs w:val="22"/>
              </w:rPr>
              <w:t xml:space="preserve">□ Pruebas Farmacogenómicas: MTHFR, COMT, CYP450</w:t>
            </w:r>
          </w:p>
          <w:p>
            <w:r>
              <w:rPr>
                <w:sz w:val="22"/>
                <w:szCs w:val="22"/>
              </w:rPr>
              <w:t xml:space="preserve">□ Pruebas de Estado de Nutrientes: Vitamina D, B12, folato, ferritina</w:t>
            </w:r>
          </w:p>
          <w:p>
            <w:r>
              <w:rPr>
                <w:sz w:val="22"/>
                <w:szCs w:val="22"/>
              </w:rPr>
              <w:t xml:space="preserve">□ Marcadores Metabólicos: Panel tiroideo, glucosa, inflamación</w:t>
            </w:r>
          </w:p>
          <w:p>
            <w:r>
              <w:rPr>
                <w:sz w:val="22"/>
                <w:szCs w:val="22"/>
              </w:rPr>
              <w:t xml:space="preserve">□ Auditoría de Estilo de Vida: Sueño, ejercicio, sustancias, dieta, estrés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3: IMPLEMENTACIÓN DE PILA DE SOPORTE (Meses 2-6)</w:t>
            </w:r>
          </w:p>
          <w:p>
            <w:r>
              <w:rPr>
                <w:sz w:val="22"/>
                <w:szCs w:val="22"/>
              </w:rPr>
              <w:t xml:space="preserve">□ Aborda Hallazgos Genéticos (metilfolato si MTHFR+, etc.)</w:t>
            </w:r>
          </w:p>
          <w:p>
            <w:r>
              <w:rPr>
                <w:sz w:val="22"/>
                <w:szCs w:val="22"/>
              </w:rPr>
              <w:t xml:space="preserve">□ Corrige Deficiencias de Nutrientes</w:t>
            </w:r>
          </w:p>
          <w:p>
            <w:r>
              <w:rPr>
                <w:sz w:val="22"/>
                <w:szCs w:val="22"/>
              </w:rPr>
              <w:t xml:space="preserve">□ Implementa "Parches" de Estilo de Vida</w:t>
            </w:r>
          </w:p>
          <w:p>
            <w:r>
              <w:rPr>
                <w:sz w:val="22"/>
                <w:szCs w:val="22"/>
              </w:rPr>
              <w:t xml:space="preserve">□ Soporte Intestino-Cerebro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4: LA SALIDA VERIFICADA (Meses 4-12+)</w:t>
            </w:r>
          </w:p>
          <w:p>
            <w:r>
              <w:rPr>
                <w:sz w:val="22"/>
                <w:szCs w:val="22"/>
              </w:rPr>
              <w:t xml:space="preserve">□ Verifica Marcadores de Estabilidad (3-6 meses libre de síntomas)</w:t>
            </w:r>
          </w:p>
          <w:p>
            <w:r>
              <w:rPr>
                <w:sz w:val="22"/>
                <w:szCs w:val="22"/>
              </w:rPr>
              <w:t xml:space="preserve">□ Comienza Reducción Lenta (10% cada 2-4 semanas)</w:t>
            </w:r>
          </w:p>
          <w:p>
            <w:r>
              <w:rPr>
                <w:sz w:val="22"/>
                <w:szCs w:val="22"/>
              </w:rPr>
              <w:t xml:space="preserve">□ Rastrea Marcadores Biológicos</w:t>
            </w:r>
          </w:p>
          <w:p>
            <w:r>
              <w:rPr>
                <w:sz w:val="22"/>
                <w:szCs w:val="22"/>
              </w:rPr>
              <w:t xml:space="preserve">□ Ten Plan de Rescate (distinguir abstinencia de recaída)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22.5: PROTOCOLOS DE REDUCCIÓN POR CLASE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TASA DE REDUCCIÓN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RIESGOS ESPECÍFICOS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SOPORTE DURANTE REDUCCIÓN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ISRS/IRSN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10% cada 2-4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3-12 meses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Zaps cerebrales, labilidad emocional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Omega-3, soporte de metilación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Estimulantes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10-25% cada 1-2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1-3 meses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Fatiga, depresión, problemas de enfoque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Sueño, tirosina, proteína, ejercicio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Antipsicóticos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10% cada 4 semanas mínimo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6-18 meses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Psicosis de rebote, supersensibilidad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Sueño, reducción de estrés, ritmo lento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Benzodiazepinas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5-10% cada 2-4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 meses-2+ años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Convulsiones, ansiedad severa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Protocolo Ashton, magnesio, supervisión médica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Estabilizadores de Ánimo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10% cada 2-4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3-9 meses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Ciclado de ánimo, síntomas de rebote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Sueño, soporte circadiano, omega-3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REDUCCIÓN DE BENZODIAZEPINAS — RIESGO MÁS ALTO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benzodiazepinas requieren ATENCIÓN ESPECIAL: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ES DIFERENTE:</w:t>
            </w:r>
          </w:p>
          <w:p>
            <w:r>
              <w:rPr>
                <w:sz w:val="22"/>
                <w:szCs w:val="22"/>
              </w:rPr>
              <w:t xml:space="preserve">— La cesación abrupta puede causar CONVULSIONES (potencialmente fatal)</w:t>
            </w:r>
          </w:p>
          <w:p>
            <w:r>
              <w:rPr>
                <w:sz w:val="22"/>
                <w:szCs w:val="22"/>
              </w:rPr>
              <w:t xml:space="preserve">— La dependencia se desarrolla en semanas, no meses</w:t>
            </w:r>
          </w:p>
          <w:p>
            <w:r>
              <w:rPr>
                <w:sz w:val="22"/>
                <w:szCs w:val="22"/>
              </w:rPr>
              <w:t xml:space="preserve">— La abstinencia puede durar meses a años</w:t>
            </w:r>
          </w:p>
          <w:p>
            <w:r>
              <w:rPr>
                <w:sz w:val="22"/>
                <w:szCs w:val="22"/>
              </w:rPr>
              <w:t xml:space="preserve">— El "síndrome de abstinencia prolongado" es real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 ASHTON (Estándar de Oro):</w:t>
            </w:r>
          </w:p>
          <w:p>
            <w:r>
              <w:rPr>
                <w:sz w:val="22"/>
                <w:szCs w:val="22"/>
              </w:rPr>
              <w:t xml:space="preserve">— Cambiar a benzo de acción larga (diazepam) si estás en uno de acción corta</w:t>
            </w:r>
          </w:p>
          <w:p>
            <w:r>
              <w:rPr>
                <w:sz w:val="22"/>
                <w:szCs w:val="22"/>
              </w:rPr>
              <w:t xml:space="preserve">— Reducir 5-10% cada 2-4 semanas</w:t>
            </w:r>
          </w:p>
          <w:p>
            <w:r>
              <w:rPr>
                <w:sz w:val="22"/>
                <w:szCs w:val="22"/>
              </w:rPr>
              <w:t xml:space="preserve">— Mantener si los síntomas de abstinencia son muy severos</w:t>
            </w:r>
          </w:p>
          <w:p>
            <w:r>
              <w:rPr>
                <w:sz w:val="22"/>
                <w:szCs w:val="22"/>
              </w:rPr>
              <w:t xml:space="preserve">— Duración total: A menudo 6 meses a 2+ años</w:t>
            </w:r>
          </w:p>
          <w:p>
            <w:r>
              <w:rPr>
                <w:sz w:val="22"/>
                <w:szCs w:val="22"/>
              </w:rPr>
              <w:t xml:space="preserve">— Supervisión médica esencial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SOPORTE DURANTE REDUCCIÓN DE BENZOS:</w:t>
            </w:r>
          </w:p>
          <w:p>
            <w:r>
              <w:rPr>
                <w:sz w:val="22"/>
                <w:szCs w:val="22"/>
              </w:rPr>
              <w:t xml:space="preserve">□ Glicinato de Magnesio (400-800mg) — Soporte GABA</w:t>
            </w:r>
          </w:p>
          <w:p>
            <w:r>
              <w:rPr>
                <w:sz w:val="22"/>
                <w:szCs w:val="22"/>
              </w:rPr>
              <w:t xml:space="preserve">□ L-Teanina (200-400mg) — Calmante sin sedación</w:t>
            </w:r>
          </w:p>
          <w:p>
            <w:r>
              <w:rPr>
                <w:sz w:val="22"/>
                <w:szCs w:val="22"/>
              </w:rPr>
              <w:t xml:space="preserve">□ Taurina (1-2g) — Agonista de GABA</w:t>
            </w:r>
          </w:p>
          <w:p>
            <w:r>
              <w:rPr>
                <w:sz w:val="22"/>
                <w:szCs w:val="22"/>
              </w:rPr>
              <w:t xml:space="preserve">□ Trabajo de respiración, exposición al frío — Activación natural de GABA</w:t>
            </w:r>
          </w:p>
          <w:p>
            <w:r>
              <w:rPr>
                <w:sz w:val="22"/>
                <w:szCs w:val="22"/>
              </w:rPr>
              <w:t xml:space="preserve">□ SIN alcohol (tolerancia cruzada, peligroso)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22.6: LAS PREGUNTAS PARA HACER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ANTES DE EMPEZAR CUALQUIER MEDICACIÓN PSIQUIÁTRICA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PREGUNTAS PARA HACER: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"¿Cuál es la duración esperada de este tratamiento?"</w:t>
            </w:r>
          </w:p>
          <w:p>
            <w:r>
              <w:rPr>
                <w:sz w:val="22"/>
                <w:szCs w:val="22"/>
              </w:rPr>
              <w:t xml:space="preserve">2. "¿Cuáles son los criterios para saber que puedo parar?"</w:t>
            </w:r>
          </w:p>
          <w:p>
            <w:r>
              <w:rPr>
                <w:sz w:val="22"/>
                <w:szCs w:val="22"/>
              </w:rPr>
              <w:t xml:space="preserve">3. "¿Qué pruebas biológicas podrían identificar la causa subyacente?"</w:t>
            </w:r>
          </w:p>
          <w:p>
            <w:r>
              <w:rPr>
                <w:sz w:val="22"/>
                <w:szCs w:val="22"/>
              </w:rPr>
              <w:t xml:space="preserve">4. "¿Qué pasa si quiero parar en 6 meses — cuál es el protocolo de reducción?"</w:t>
            </w:r>
          </w:p>
          <w:p>
            <w:r>
              <w:rPr>
                <w:sz w:val="22"/>
                <w:szCs w:val="22"/>
              </w:rPr>
              <w:t xml:space="preserve">5. "¿Cuáles son los riesgos del uso a largo plazo más allá de la duración del estudio?"</w:t>
            </w:r>
          </w:p>
          <w:p>
            <w:r>
              <w:rPr>
                <w:sz w:val="22"/>
                <w:szCs w:val="22"/>
              </w:rPr>
              <w:t xml:space="preserve">6. "¿Hay pruebas genéticas que podrían decirnos si esta medicación es correcta para mi biología?"</w:t>
            </w:r>
          </w:p>
          <w:p>
            <w:r>
              <w:rPr>
                <w:sz w:val="22"/>
                <w:szCs w:val="22"/>
              </w:rPr>
              <w:t xml:space="preserve">7. "¿Qué intervenciones de estilo de vida debo implementar junto con esto?"</w:t>
            </w:r>
          </w:p>
          <w:p>
            <w:r>
              <w:rPr>
                <w:sz w:val="22"/>
                <w:szCs w:val="22"/>
              </w:rPr>
              <w:t xml:space="preserve">8. "¿Cómo sabremos si esto está tratando la enfermedad vs. creando dependencia?"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MARCO:</w:t>
            </w:r>
          </w:p>
          <w:p>
            <w:r>
              <w:rPr>
                <w:sz w:val="22"/>
                <w:szCs w:val="22"/>
              </w:rPr>
              <w:t xml:space="preserve">No estás preguntando "¿Puedo evitar tomar esto?"</w:t>
            </w:r>
          </w:p>
          <w:p>
            <w:r>
              <w:rPr>
                <w:sz w:val="22"/>
                <w:szCs w:val="22"/>
              </w:rPr>
              <w:t xml:space="preserve">Estás preguntando "¿Cuál es el plan de tratamiento completo, incluyendo la salida?"</w:t>
            </w:r>
          </w:p>
          <w:p>
            <w:r>
              <w:rPr>
                <w:sz w:val="22"/>
                <w:szCs w:val="22"/>
              </w:rPr>
              <w:t xml:space="preserve">Esto es CONSENTIMIENTO INFORMADO.</w:t>
            </w:r>
          </w:p>
          <w:p>
            <w:r>
              <w:rPr>
                <w:sz w:val="22"/>
                <w:szCs w:val="22"/>
              </w:rPr>
              <w:t xml:space="preserve">Un proveedor que no puede responder estas preguntas</w:t>
            </w:r>
          </w:p>
          <w:p>
            <w:r>
              <w:rPr>
                <w:sz w:val="22"/>
                <w:szCs w:val="22"/>
              </w:rPr>
              <w:t xml:space="preserve">puede no haber pensado más allá de "prescribir y renovar."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SI YA ESTÁS EN MEDICACIÓN A LARGO PLAZO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PREGUNTAS PARA HACER: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"He estado en esto por [X años]. ¿Cuál es la base de evidencia para continuar?"</w:t>
            </w:r>
          </w:p>
          <w:p>
            <w:r>
              <w:rPr>
                <w:sz w:val="22"/>
                <w:szCs w:val="22"/>
              </w:rPr>
              <w:t xml:space="preserve">2. "¿Podemos hacer pruebas genéticas para ver si esta medicación coincide con mi biología?"</w:t>
            </w:r>
          </w:p>
          <w:p>
            <w:r>
              <w:rPr>
                <w:sz w:val="22"/>
                <w:szCs w:val="22"/>
              </w:rPr>
              <w:t xml:space="preserve">3. "¿Qué tendría que ser cierto para que yo reduzca exitosamente?"</w:t>
            </w:r>
          </w:p>
          <w:p>
            <w:r>
              <w:rPr>
                <w:sz w:val="22"/>
                <w:szCs w:val="22"/>
              </w:rPr>
              <w:t xml:space="preserve">4. "¿Podemos verificar mi estado de nutrientes para ver si hay deficiencias contribuyendo?"</w:t>
            </w:r>
          </w:p>
          <w:p>
            <w:r>
              <w:rPr>
                <w:sz w:val="22"/>
                <w:szCs w:val="22"/>
              </w:rPr>
              <w:t xml:space="preserve">5. "Me gustaría establecer criterios de salida. ¿Qué marcadores biológicos indicarían estabilidad?"</w:t>
            </w:r>
          </w:p>
          <w:p>
            <w:r>
              <w:rPr>
                <w:sz w:val="22"/>
                <w:szCs w:val="22"/>
              </w:rPr>
              <w:t xml:space="preserve">6. "Si quisiera intentar una reducción lenta, ¿cuál es el protocolo y la línea de tiempo?"</w:t>
            </w:r>
          </w:p>
          <w:p>
            <w:r>
              <w:rPr>
                <w:sz w:val="22"/>
                <w:szCs w:val="22"/>
              </w:rPr>
              <w:t xml:space="preserve">7. "¿Cómo distinguimos los síntomas de abstinencia de la recaída?"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MARCO:</w:t>
            </w:r>
          </w:p>
          <w:p>
            <w:r>
              <w:rPr>
                <w:sz w:val="22"/>
                <w:szCs w:val="22"/>
              </w:rPr>
              <w:t xml:space="preserve">No estás diciendo "Quiero parar contra el consejo médico."</w:t>
            </w:r>
          </w:p>
          <w:p>
            <w:r>
              <w:rPr>
                <w:sz w:val="22"/>
                <w:szCs w:val="22"/>
              </w:rPr>
              <w:t xml:space="preserve">Estás diciendo "Quiero un plan de tratamiento, no un plan de mantenimiento."</w:t>
            </w:r>
          </w:p>
          <w:p>
            <w:r>
              <w:rPr>
                <w:sz w:val="22"/>
                <w:szCs w:val="22"/>
              </w:rPr>
              <w:t xml:space="preserve">Estás pidiendo RECUPERACIÓN, no CUMPLIMIENTO.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22.7: CONCLUSIONES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22 — CONCLUSIONES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MEDICACIÓN = DISCO DE ARRANQUE, NO FUNDACIÓN — Usado para estabilizar crisis, no vivir indefinidamente.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LA FARMA-TRAMPA ES CUMPLIMIENTO COMO ÉXITO — Midiendo adherencia a recetas, no función de vida.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LA FARMACOGENÓMICA PRUEBA QUE "TALLA ÚNICA" ES FALSO — El estado de COMT, MTHFR, CYP450 determina apropiación.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CRITERIOS DE SALIDA DEBEN ESTABLECERSE DESDE EL DÍA UNO — ¿Qué marcadores? ¿Qué pila de soporte? ¿Qué línea de tiempo?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EL PROTOCOLO DE CUATRO FASES — Estabilización → Auditoría Biológica → Pila de Soporte → Salida Verificada.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REDUCIR LENTAMENTE, CON SOPORTE, BAJO SUPERVISIÓN — Nunca parar en seco medicaciones psiquiátricas.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LAS BENZODIAZEPINAS SON LA TRAMPA MÁS APRETADA — Dependencia en semanas, recuperación toma meses/años.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HAZ LAS PREGUNTAS DE SALIDA ANTES DE EMPEZAR — Consentimiento informado incluye saber cómo termina el tratamiento.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NO ERES "NO CUMPLIDOR" POR PREGUNTAR — Querer un plan de tratamiento (no solo mantenimiento) es racional.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ALGUNAS PERSONAS NECESITAN MEDICACIÓN A LARGO PLAZO — Y ESO ESTÁ BIEN — La meta es EVALUAR, no ASUMIR.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22 — EL PROTOCOLO FARMA-TRAMPA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2026-01-31T11:59:05.031Z</dcterms:created>
  <dcterms:modified xsi:type="dcterms:W3CDTF">2026-01-31T11:59:05.031Z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