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Segoe UI" w:hAnsi="Segoe UI"/>
          <w:b/>
          <w:color w:val="1A365D"/>
          <w:sz w:val="48"/>
        </w:rPr>
        <w:t>Business Rules &amp; Domain Specification</w:t>
      </w:r>
    </w:p>
    <w:p>
      <w:pPr>
        <w:spacing w:after="480"/>
      </w:pPr>
      <w:r>
        <w:rPr>
          <w:rFonts w:ascii="Segoe UI" w:hAnsi="Segoe UI"/>
          <w:i/>
          <w:color w:val="4A5568"/>
          <w:sz w:val="24"/>
        </w:rPr>
        <w:t>Personal AI Assistant — Memory Governance, Lifecycle &amp; Policy Engine</w:t>
      </w:r>
    </w:p>
    <w:p>
      <w:pPr>
        <w:keepNext/>
        <w:spacing w:before="360" w:after="120"/>
      </w:pPr>
      <w:r>
        <w:rPr>
          <w:rFonts w:ascii="Segoe UI" w:hAnsi="Segoe UI"/>
          <w:b/>
          <w:color w:val="2B6CB0"/>
          <w:sz w:val="32"/>
        </w:rPr>
        <w:t>1. Memory Ingestion &amp; Chunking Directives</w:t>
      </w:r>
    </w:p>
    <w:p>
      <w:pPr>
        <w:pStyle w:val="ListBullet"/>
        <w:spacing w:before="0" w:after="60" w:line="276" w:lineRule="auto"/>
      </w:pPr>
      <w:r>
        <w:rPr>
          <w:b/>
          <w:color w:val="1A202C"/>
        </w:rPr>
        <w:t xml:space="preserve">BR-01 Sliding Window Chunking: </w:t>
      </w:r>
      <w:r>
        <w:t>When a memory text exceeds configured token limits (default: 500 tokens), the TextChunker engine splits the raw input using a sliding window overlap (default: 50 tokens overlap).</w:t>
      </w:r>
    </w:p>
    <w:p>
      <w:pPr>
        <w:pStyle w:val="ListBullet"/>
        <w:spacing w:before="0" w:after="60" w:line="276" w:lineRule="auto"/>
      </w:pPr>
      <w:r>
        <w:rPr>
          <w:b/>
          <w:color w:val="1A202C"/>
        </w:rPr>
        <w:t xml:space="preserve">BR-02 Correlation &amp; Lineage: </w:t>
      </w:r>
      <w:r>
        <w:t>Each chunk is instantiated as an independent MemoryAggregate with a unique Stream ID (memory-{Guid}), tagged with 'chunk:N' and 'parent:{CorrelationId}' for upstream tracing.</w:t>
      </w:r>
    </w:p>
    <w:p>
      <w:pPr>
        <w:keepNext/>
        <w:spacing w:before="360" w:after="120"/>
      </w:pPr>
      <w:r>
        <w:rPr>
          <w:rFonts w:ascii="Segoe UI" w:hAnsi="Segoe UI"/>
          <w:b/>
          <w:color w:val="2B6CB0"/>
          <w:sz w:val="32"/>
        </w:rPr>
        <w:t>2. Memory Lifecycle &amp; Consolidation Policies</w:t>
      </w:r>
    </w:p>
    <w:p>
      <w:pPr>
        <w:pStyle w:val="ListBullet"/>
        <w:spacing w:before="0" w:after="60" w:line="276" w:lineRule="auto"/>
      </w:pPr>
      <w:r>
        <w:rPr>
          <w:b/>
          <w:color w:val="1A202C"/>
        </w:rPr>
        <w:t xml:space="preserve">BR-03 Background Consolidation: </w:t>
      </w:r>
      <w:r>
        <w:t>The ConsolidationWorker background job queries candidate memories with &gt;50 tokens and processes them via LLM compression to synthesize dense, high-utility summaries.</w:t>
      </w:r>
    </w:p>
    <w:p>
      <w:pPr>
        <w:pStyle w:val="ListBullet"/>
        <w:spacing w:before="0" w:after="60" w:line="276" w:lineRule="auto"/>
      </w:pPr>
      <w:r>
        <w:rPr>
          <w:b/>
          <w:color w:val="1A202C"/>
        </w:rPr>
        <w:t xml:space="preserve">BR-04 Scoped Worker Isolation: </w:t>
      </w:r>
      <w:r>
        <w:t>Background workers use IServiceScopeFactory per iteration to prevent captive dependency bugs and memory leaks.</w:t>
      </w:r>
    </w:p>
    <w:p>
      <w:pPr>
        <w:pStyle w:val="ListBullet"/>
        <w:spacing w:before="0" w:after="60" w:line="276" w:lineRule="auto"/>
      </w:pPr>
      <w:r>
        <w:rPr>
          <w:b/>
          <w:color w:val="1A202C"/>
        </w:rPr>
        <w:t xml:space="preserve">BR-05 TTL &amp; Expiration: </w:t>
      </w:r>
      <w:r>
        <w:t>RetentionWorker enforces a 30-day Time-To-Live (TTL) on standard tier memories, automatically flagging expired items for archiving.</w:t>
      </w:r>
    </w:p>
    <w:p>
      <w:pPr>
        <w:keepNext/>
        <w:spacing w:before="360" w:after="120"/>
      </w:pPr>
      <w:r>
        <w:rPr>
          <w:rFonts w:ascii="Segoe UI" w:hAnsi="Segoe UI"/>
          <w:b/>
          <w:color w:val="2B6CB0"/>
          <w:sz w:val="32"/>
        </w:rPr>
        <w:t>3. Multi-Tenant Capacity &amp; Subscription Tiers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Subscription Tier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Max Memories Capacity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Retention Policy (TTL)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LLM Compression &amp; Consolidation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Free / Community Tier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100 Active Memories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30 Days TTL Expiration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Standard Deterministic Compression</w:t>
            </w:r>
          </w:p>
        </w:tc>
      </w:tr>
      <w:tr>
        <w:tc>
          <w:tcPr>
            <w:tcW w:type="dxa" w:w="234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Professional Tier</w:t>
            </w:r>
          </w:p>
        </w:tc>
        <w:tc>
          <w:tcPr>
            <w:tcW w:type="dxa" w:w="234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5,000 Active Memories</w:t>
            </w:r>
          </w:p>
        </w:tc>
        <w:tc>
          <w:tcPr>
            <w:tcW w:type="dxa" w:w="234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365 Days Retention</w:t>
            </w:r>
          </w:p>
        </w:tc>
        <w:tc>
          <w:tcPr>
            <w:tcW w:type="dxa" w:w="234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Background LLM Consolidation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Enterprise Tier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Unlimited Memories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Lifetime Infinite Retention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Advanced Semantic Graph &amp; Vector Synthesis</w:t>
            </w:r>
          </w:p>
        </w:tc>
      </w:tr>
    </w:tbl>
    <w:p>
      <w:pPr>
        <w:spacing w:after="24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2D374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