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A365D"/>
          <w:sz w:val="48"/>
        </w:rPr>
        <w:t>Pre-Project Research &amp; State-of-the-Art Analysis</w:t>
      </w:r>
    </w:p>
    <w:p>
      <w:pPr>
        <w:spacing w:after="480"/>
      </w:pPr>
      <w:r>
        <w:rPr>
          <w:rFonts w:ascii="Segoe UI" w:hAnsi="Segoe UI"/>
          <w:i/>
          <w:color w:val="4A5568"/>
          <w:sz w:val="24"/>
        </w:rPr>
        <w:t>Personal AI Assistant — Solving Conversational Memory Amnesia in AI Systems</w:t>
      </w:r>
    </w:p>
    <w:p>
      <w:pPr>
        <w:keepNext/>
        <w:spacing w:before="360" w:after="120"/>
      </w:pPr>
      <w:r>
        <w:rPr>
          <w:rFonts w:ascii="Segoe UI" w:hAnsi="Segoe UI"/>
          <w:b/>
          <w:color w:val="2B6CB0"/>
          <w:sz w:val="32"/>
        </w:rPr>
        <w:t>1. Executive Problem Statement: Goldfish Syndrome</w:t>
      </w:r>
    </w:p>
    <w:p>
      <w:pPr>
        <w:spacing w:before="0" w:after="120" w:line="276" w:lineRule="auto"/>
      </w:pPr>
      <w:r>
        <w:t>Traditional Large Language Models (LLMs) operate with stateless inference windows. Standard context windows suffer from high token consumption, high latency, context degradation ('Lost in the Middle'), and complete lack of persistent user memory across sessions.</w:t>
      </w:r>
    </w:p>
    <w:p>
      <w:pPr>
        <w:keepNext/>
        <w:spacing w:before="360" w:after="120"/>
      </w:pPr>
      <w:r>
        <w:rPr>
          <w:rFonts w:ascii="Segoe UI" w:hAnsi="Segoe UI"/>
          <w:b/>
          <w:color w:val="2B6CB0"/>
          <w:sz w:val="32"/>
        </w:rPr>
        <w:t>2. Paradigmatic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left"/>
            </w:pPr>
            <w:r>
              <w:rPr>
                <w:rFonts w:ascii="Segoe UI" w:hAnsi="Segoe UI"/>
                <w:b/>
                <w:color w:val="FFFFFF"/>
                <w:sz w:val="20"/>
              </w:rPr>
              <w:t>Dimension</w:t>
            </w:r>
          </w:p>
        </w:tc>
        <w:tc>
          <w:tcPr>
            <w:tcW w:type="dxa" w:w="2340"/>
            <w:shd w:fill="1A365D"/>
            <w:tcMar>
              <w:top w:w="120" w:type="dxa"/>
              <w:bottom w:w="120" w:type="dxa"/>
              <w:left w:w="150" w:type="dxa"/>
              <w:right w:w="150" w:type="dxa"/>
            </w:tcMar>
          </w:tcPr>
          <w:p>
            <w:pPr>
              <w:jc w:val="left"/>
            </w:pPr>
            <w:r>
              <w:rPr>
                <w:rFonts w:ascii="Segoe UI" w:hAnsi="Segoe UI"/>
                <w:b/>
                <w:color w:val="FFFFFF"/>
                <w:sz w:val="20"/>
              </w:rPr>
              <w:t>Generative AI (Stateless)</w:t>
            </w:r>
          </w:p>
        </w:tc>
        <w:tc>
          <w:tcPr>
            <w:tcW w:type="dxa" w:w="2340"/>
            <w:shd w:fill="1A365D"/>
            <w:tcMar>
              <w:top w:w="120" w:type="dxa"/>
              <w:bottom w:w="120" w:type="dxa"/>
              <w:left w:w="150" w:type="dxa"/>
              <w:right w:w="150" w:type="dxa"/>
            </w:tcMar>
          </w:tcPr>
          <w:p>
            <w:pPr>
              <w:jc w:val="left"/>
            </w:pPr>
            <w:r>
              <w:rPr>
                <w:rFonts w:ascii="Segoe UI" w:hAnsi="Segoe UI"/>
                <w:b/>
                <w:color w:val="FFFFFF"/>
                <w:sz w:val="20"/>
              </w:rPr>
              <w:t>Agentic AI (Task-Driven)</w:t>
            </w:r>
          </w:p>
        </w:tc>
        <w:tc>
          <w:tcPr>
            <w:tcW w:type="dxa" w:w="2340"/>
            <w:shd w:fill="1A365D"/>
            <w:tcMar>
              <w:top w:w="120" w:type="dxa"/>
              <w:bottom w:w="120" w:type="dxa"/>
              <w:left w:w="150" w:type="dxa"/>
              <w:right w:w="150" w:type="dxa"/>
            </w:tcMar>
          </w:tcPr>
          <w:p>
            <w:pPr>
              <w:jc w:val="left"/>
            </w:pPr>
            <w:r>
              <w:rPr>
                <w:rFonts w:ascii="Segoe UI" w:hAnsi="Segoe UI"/>
                <w:b/>
                <w:color w:val="FFFFFF"/>
                <w:sz w:val="20"/>
              </w:rPr>
              <w:t>AI Agents with Persistent Memory (Our Architecture)</w:t>
            </w:r>
          </w:p>
        </w:tc>
      </w:tr>
      <w:tr>
        <w:tc>
          <w:tcPr>
            <w:tcW w:type="dxa" w:w="2340"/>
            <w:shd w:fill="FFFFFF"/>
            <w:tcMar>
              <w:top w:w="100" w:type="dxa"/>
              <w:bottom w:w="100" w:type="dxa"/>
              <w:left w:w="150" w:type="dxa"/>
              <w:right w:w="150" w:type="dxa"/>
            </w:tcMar>
          </w:tcPr>
          <w:p>
            <w:pPr>
              <w:jc w:val="left"/>
            </w:pPr>
            <w:r>
              <w:rPr>
                <w:rFonts w:ascii="Segoe UI" w:hAnsi="Segoe UI"/>
                <w:sz w:val="19"/>
              </w:rPr>
              <w:t>Context Window</w:t>
            </w:r>
          </w:p>
        </w:tc>
        <w:tc>
          <w:tcPr>
            <w:tcW w:type="dxa" w:w="2340"/>
            <w:shd w:fill="FFFFFF"/>
            <w:tcMar>
              <w:top w:w="100" w:type="dxa"/>
              <w:bottom w:w="100" w:type="dxa"/>
              <w:left w:w="150" w:type="dxa"/>
              <w:right w:w="150" w:type="dxa"/>
            </w:tcMar>
          </w:tcPr>
          <w:p>
            <w:pPr>
              <w:jc w:val="left"/>
            </w:pPr>
            <w:r>
              <w:rPr>
                <w:rFonts w:ascii="Segoe UI" w:hAnsi="Segoe UI"/>
                <w:sz w:val="19"/>
              </w:rPr>
              <w:t>Single Prompt Session</w:t>
            </w:r>
          </w:p>
        </w:tc>
        <w:tc>
          <w:tcPr>
            <w:tcW w:type="dxa" w:w="2340"/>
            <w:shd w:fill="FFFFFF"/>
            <w:tcMar>
              <w:top w:w="100" w:type="dxa"/>
              <w:bottom w:w="100" w:type="dxa"/>
              <w:left w:w="150" w:type="dxa"/>
              <w:right w:w="150" w:type="dxa"/>
            </w:tcMar>
          </w:tcPr>
          <w:p>
            <w:pPr>
              <w:jc w:val="left"/>
            </w:pPr>
            <w:r>
              <w:rPr>
                <w:rFonts w:ascii="Segoe UI" w:hAnsi="Segoe UI"/>
                <w:sz w:val="19"/>
              </w:rPr>
              <w:t>Workflow-bound Execution</w:t>
            </w:r>
          </w:p>
        </w:tc>
        <w:tc>
          <w:tcPr>
            <w:tcW w:type="dxa" w:w="2340"/>
            <w:shd w:fill="FFFFFF"/>
            <w:tcMar>
              <w:top w:w="100" w:type="dxa"/>
              <w:bottom w:w="100" w:type="dxa"/>
              <w:left w:w="150" w:type="dxa"/>
              <w:right w:w="150" w:type="dxa"/>
            </w:tcMar>
          </w:tcPr>
          <w:p>
            <w:pPr>
              <w:jc w:val="left"/>
            </w:pPr>
            <w:r>
              <w:rPr>
                <w:rFonts w:ascii="Segoe UI" w:hAnsi="Segoe UI"/>
                <w:sz w:val="19"/>
              </w:rPr>
              <w:t>Infinite Historical Continuum</w:t>
            </w:r>
          </w:p>
        </w:tc>
      </w:tr>
      <w:tr>
        <w:tc>
          <w:tcPr>
            <w:tcW w:type="dxa" w:w="2340"/>
            <w:shd w:fill="F7FAFC"/>
            <w:tcMar>
              <w:top w:w="100" w:type="dxa"/>
              <w:bottom w:w="100" w:type="dxa"/>
              <w:left w:w="150" w:type="dxa"/>
              <w:right w:w="150" w:type="dxa"/>
            </w:tcMar>
          </w:tcPr>
          <w:p>
            <w:pPr>
              <w:jc w:val="left"/>
            </w:pPr>
            <w:r>
              <w:rPr>
                <w:rFonts w:ascii="Segoe UI" w:hAnsi="Segoe UI"/>
                <w:sz w:val="19"/>
              </w:rPr>
              <w:t>State Management</w:t>
            </w:r>
          </w:p>
        </w:tc>
        <w:tc>
          <w:tcPr>
            <w:tcW w:type="dxa" w:w="2340"/>
            <w:shd w:fill="F7FAFC"/>
            <w:tcMar>
              <w:top w:w="100" w:type="dxa"/>
              <w:bottom w:w="100" w:type="dxa"/>
              <w:left w:w="150" w:type="dxa"/>
              <w:right w:w="150" w:type="dxa"/>
            </w:tcMar>
          </w:tcPr>
          <w:p>
            <w:pPr>
              <w:jc w:val="left"/>
            </w:pPr>
            <w:r>
              <w:rPr>
                <w:rFonts w:ascii="Segoe UI" w:hAnsi="Segoe UI"/>
                <w:sz w:val="19"/>
              </w:rPr>
              <w:t>Stateless / Transient</w:t>
            </w:r>
          </w:p>
        </w:tc>
        <w:tc>
          <w:tcPr>
            <w:tcW w:type="dxa" w:w="2340"/>
            <w:shd w:fill="F7FAFC"/>
            <w:tcMar>
              <w:top w:w="100" w:type="dxa"/>
              <w:bottom w:w="100" w:type="dxa"/>
              <w:left w:w="150" w:type="dxa"/>
              <w:right w:w="150" w:type="dxa"/>
            </w:tcMar>
          </w:tcPr>
          <w:p>
            <w:pPr>
              <w:jc w:val="left"/>
            </w:pPr>
            <w:r>
              <w:rPr>
                <w:rFonts w:ascii="Segoe UI" w:hAnsi="Segoe UI"/>
                <w:sz w:val="19"/>
              </w:rPr>
              <w:t>Short-Term Working Memory</w:t>
            </w:r>
          </w:p>
        </w:tc>
        <w:tc>
          <w:tcPr>
            <w:tcW w:type="dxa" w:w="2340"/>
            <w:shd w:fill="F7FAFC"/>
            <w:tcMar>
              <w:top w:w="100" w:type="dxa"/>
              <w:bottom w:w="100" w:type="dxa"/>
              <w:left w:w="150" w:type="dxa"/>
              <w:right w:w="150" w:type="dxa"/>
            </w:tcMar>
          </w:tcPr>
          <w:p>
            <w:pPr>
              <w:jc w:val="left"/>
            </w:pPr>
            <w:r>
              <w:rPr>
                <w:rFonts w:ascii="Segoe UI" w:hAnsi="Segoe UI"/>
                <w:sz w:val="19"/>
              </w:rPr>
              <w:t>Event-Sourced Long-Term Memory Core</w:t>
            </w:r>
          </w:p>
        </w:tc>
      </w:tr>
      <w:tr>
        <w:tc>
          <w:tcPr>
            <w:tcW w:type="dxa" w:w="2340"/>
            <w:shd w:fill="FFFFFF"/>
            <w:tcMar>
              <w:top w:w="100" w:type="dxa"/>
              <w:bottom w:w="100" w:type="dxa"/>
              <w:left w:w="150" w:type="dxa"/>
              <w:right w:w="150" w:type="dxa"/>
            </w:tcMar>
          </w:tcPr>
          <w:p>
            <w:pPr>
              <w:jc w:val="left"/>
            </w:pPr>
            <w:r>
              <w:rPr>
                <w:rFonts w:ascii="Segoe UI" w:hAnsi="Segoe UI"/>
                <w:sz w:val="19"/>
              </w:rPr>
              <w:t>Multi-Session Learning</w:t>
            </w:r>
          </w:p>
        </w:tc>
        <w:tc>
          <w:tcPr>
            <w:tcW w:type="dxa" w:w="2340"/>
            <w:shd w:fill="FFFFFF"/>
            <w:tcMar>
              <w:top w:w="100" w:type="dxa"/>
              <w:bottom w:w="100" w:type="dxa"/>
              <w:left w:w="150" w:type="dxa"/>
              <w:right w:w="150" w:type="dxa"/>
            </w:tcMar>
          </w:tcPr>
          <w:p>
            <w:pPr>
              <w:jc w:val="left"/>
            </w:pPr>
            <w:r>
              <w:rPr>
                <w:rFonts w:ascii="Segoe UI" w:hAnsi="Segoe UI"/>
                <w:sz w:val="19"/>
              </w:rPr>
              <w:t>None (Amnesia)</w:t>
            </w:r>
          </w:p>
        </w:tc>
        <w:tc>
          <w:tcPr>
            <w:tcW w:type="dxa" w:w="2340"/>
            <w:shd w:fill="FFFFFF"/>
            <w:tcMar>
              <w:top w:w="100" w:type="dxa"/>
              <w:bottom w:w="100" w:type="dxa"/>
              <w:left w:w="150" w:type="dxa"/>
              <w:right w:w="150" w:type="dxa"/>
            </w:tcMar>
          </w:tcPr>
          <w:p>
            <w:pPr>
              <w:jc w:val="left"/>
            </w:pPr>
            <w:r>
              <w:rPr>
                <w:rFonts w:ascii="Segoe UI" w:hAnsi="Segoe UI"/>
                <w:sz w:val="19"/>
              </w:rPr>
              <w:t>Task-scoped</w:t>
            </w:r>
          </w:p>
        </w:tc>
        <w:tc>
          <w:tcPr>
            <w:tcW w:type="dxa" w:w="2340"/>
            <w:shd w:fill="FFFFFF"/>
            <w:tcMar>
              <w:top w:w="100" w:type="dxa"/>
              <w:bottom w:w="100" w:type="dxa"/>
              <w:left w:w="150" w:type="dxa"/>
              <w:right w:w="150" w:type="dxa"/>
            </w:tcMar>
          </w:tcPr>
          <w:p>
            <w:pPr>
              <w:jc w:val="left"/>
            </w:pPr>
            <w:r>
              <w:rPr>
                <w:rFonts w:ascii="Segoe UI" w:hAnsi="Segoe UI"/>
                <w:sz w:val="19"/>
              </w:rPr>
              <w:t>Adaptive User-Specific Learning</w:t>
            </w:r>
          </w:p>
        </w:tc>
      </w:tr>
      <w:tr>
        <w:tc>
          <w:tcPr>
            <w:tcW w:type="dxa" w:w="2340"/>
            <w:shd w:fill="F7FAFC"/>
            <w:tcMar>
              <w:top w:w="100" w:type="dxa"/>
              <w:bottom w:w="100" w:type="dxa"/>
              <w:left w:w="150" w:type="dxa"/>
              <w:right w:w="150" w:type="dxa"/>
            </w:tcMar>
          </w:tcPr>
          <w:p>
            <w:pPr>
              <w:jc w:val="left"/>
            </w:pPr>
            <w:r>
              <w:rPr>
                <w:rFonts w:ascii="Segoe UI" w:hAnsi="Segoe UI"/>
                <w:sz w:val="19"/>
              </w:rPr>
              <w:t>Retrieval Model</w:t>
            </w:r>
          </w:p>
        </w:tc>
        <w:tc>
          <w:tcPr>
            <w:tcW w:type="dxa" w:w="2340"/>
            <w:shd w:fill="F7FAFC"/>
            <w:tcMar>
              <w:top w:w="100" w:type="dxa"/>
              <w:bottom w:w="100" w:type="dxa"/>
              <w:left w:w="150" w:type="dxa"/>
              <w:right w:w="150" w:type="dxa"/>
            </w:tcMar>
          </w:tcPr>
          <w:p>
            <w:pPr>
              <w:jc w:val="left"/>
            </w:pPr>
            <w:r>
              <w:rPr>
                <w:rFonts w:ascii="Segoe UI" w:hAnsi="Segoe UI"/>
                <w:sz w:val="19"/>
              </w:rPr>
              <w:t>Direct Prompt Injection</w:t>
            </w:r>
          </w:p>
        </w:tc>
        <w:tc>
          <w:tcPr>
            <w:tcW w:type="dxa" w:w="2340"/>
            <w:shd w:fill="F7FAFC"/>
            <w:tcMar>
              <w:top w:w="100" w:type="dxa"/>
              <w:bottom w:w="100" w:type="dxa"/>
              <w:left w:w="150" w:type="dxa"/>
              <w:right w:w="150" w:type="dxa"/>
            </w:tcMar>
          </w:tcPr>
          <w:p>
            <w:pPr>
              <w:jc w:val="left"/>
            </w:pPr>
            <w:r>
              <w:rPr>
                <w:rFonts w:ascii="Segoe UI" w:hAnsi="Segoe UI"/>
                <w:sz w:val="19"/>
              </w:rPr>
              <w:t>Tool Calling / Ephemeral RAG</w:t>
            </w:r>
          </w:p>
        </w:tc>
        <w:tc>
          <w:tcPr>
            <w:tcW w:type="dxa" w:w="2340"/>
            <w:shd w:fill="F7FAFC"/>
            <w:tcMar>
              <w:top w:w="100" w:type="dxa"/>
              <w:bottom w:w="100" w:type="dxa"/>
              <w:left w:w="150" w:type="dxa"/>
              <w:right w:w="150" w:type="dxa"/>
            </w:tcMar>
          </w:tcPr>
          <w:p>
            <w:pPr>
              <w:jc w:val="left"/>
            </w:pPr>
            <w:r>
              <w:rPr>
                <w:rFonts w:ascii="Segoe UI" w:hAnsi="Segoe UI"/>
                <w:sz w:val="19"/>
              </w:rPr>
              <w:t>Dynamic Hybrid RAG (Vector + Temporal + Importance)</w:t>
            </w:r>
          </w:p>
        </w:tc>
      </w:tr>
    </w:tbl>
    <w:p>
      <w:pPr>
        <w:spacing w:after="240"/>
      </w:pPr>
    </w:p>
    <w:p>
      <w:pPr>
        <w:keepNext/>
        <w:spacing w:before="360" w:after="120"/>
      </w:pPr>
      <w:r>
        <w:rPr>
          <w:rFonts w:ascii="Segoe UI" w:hAnsi="Segoe UI"/>
          <w:b/>
          <w:color w:val="2B6CB0"/>
          <w:sz w:val="32"/>
        </w:rPr>
        <w:t>3. Key Industry Benchmarks &amp; Research Citations</w:t>
      </w:r>
    </w:p>
    <w:p>
      <w:pPr>
        <w:pStyle w:val="ListBullet"/>
        <w:spacing w:before="0" w:after="60" w:line="276" w:lineRule="auto"/>
      </w:pPr>
      <w:r>
        <w:rPr>
          <w:b/>
          <w:color w:val="1A202C"/>
        </w:rPr>
        <w:t xml:space="preserve">Oracle Developers Research: </w:t>
      </w:r>
      <w:r>
        <w:t>Examines why AI models suffer from amnesia and highlights the necessity of decoupled read/write stores for long-term agent memory.</w:t>
      </w:r>
    </w:p>
    <w:p>
      <w:pPr>
        <w:pStyle w:val="ListBullet"/>
        <w:spacing w:before="0" w:after="60" w:line="276" w:lineRule="auto"/>
      </w:pPr>
      <w:r>
        <w:rPr>
          <w:b/>
          <w:color w:val="1A202C"/>
        </w:rPr>
        <w:t xml:space="preserve">OpenAI Forum Benchmarks: </w:t>
      </w:r>
      <w:r>
        <w:t>Highlights community demand for persistent user context across OpenAI ChatGPT sessions.</w:t>
      </w:r>
    </w:p>
    <w:p>
      <w:pPr>
        <w:pStyle w:val="ListBullet"/>
        <w:spacing w:before="0" w:after="60" w:line="276" w:lineRule="auto"/>
      </w:pPr>
      <w:r>
        <w:rPr>
          <w:b/>
          <w:color w:val="1A202C"/>
        </w:rPr>
        <w:t xml:space="preserve">Jason Scott Montoya Memory Analysis: </w:t>
      </w:r>
      <w:r>
        <w:t>Systematic analysis of memory architectures, recommending hybrid event-sourced vector pipelines.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