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A365D"/>
          <w:sz w:val="48"/>
        </w:rPr>
        <w:t>System Design Document</w:t>
      </w:r>
    </w:p>
    <w:p>
      <w:pPr>
        <w:spacing w:after="480"/>
      </w:pPr>
      <w:r>
        <w:rPr>
          <w:rFonts w:ascii="Segoe UI" w:hAnsi="Segoe UI"/>
          <w:i/>
          <w:color w:val="4A5568"/>
          <w:sz w:val="24"/>
        </w:rPr>
        <w:t>Personal AI Assistant — Long-Term Memory Core Engine v2.0</w:t>
      </w:r>
    </w:p>
    <w:p>
      <w:pPr>
        <w:keepNext/>
        <w:spacing w:before="360" w:after="120"/>
      </w:pPr>
      <w:r>
        <w:rPr>
          <w:rFonts w:ascii="Segoe UI" w:hAnsi="Segoe UI"/>
          <w:b/>
          <w:color w:val="2B6CB0"/>
          <w:sz w:val="32"/>
        </w:rPr>
        <w:t>1. Executive Architecture Overview</w:t>
      </w:r>
    </w:p>
    <w:p>
      <w:pPr>
        <w:spacing w:before="0" w:after="120" w:line="276" w:lineRule="auto"/>
      </w:pPr>
      <w:r>
        <w:t>The Personal AI Assistant Memory Core is an event-sourced, high-throughput, multi-tenant memory management microservice. Designed to solve conversational AI amnesia ('Goldfish Syndrome'), the system provides persistent, context-aware memory retrieval and background consolidation for autonomous AI agents.</w:t>
      </w:r>
    </w:p>
    <w:p>
      <w:pPr>
        <w:keepNext/>
        <w:spacing w:before="360" w:after="120"/>
      </w:pPr>
      <w:r>
        <w:rPr>
          <w:rFonts w:ascii="Segoe UI" w:hAnsi="Segoe UI"/>
          <w:b/>
          <w:color w:val="2B6CB0"/>
          <w:sz w:val="32"/>
        </w:rPr>
        <w:t>2. Domain-Driven CQRS &amp; Event Sourcing Architecture</w:t>
      </w:r>
    </w:p>
    <w:p>
      <w:pPr>
        <w:spacing w:before="0" w:after="120" w:line="276" w:lineRule="auto"/>
      </w:pPr>
      <w:r>
        <w:t>The core system strictly decouples Write Operations (Commands/Events) from Read Operations (Queries/Vector Retrieval) using the Command Query Responsibility Segregation (CQRS) pattern.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Event Store (MongoDB): </w:t>
      </w:r>
      <w:r>
        <w:t>Stores immutable domain events (MemoryAdded, MemoryCompressed, MemoryConsolidated, MemoryArchived) in MongoDB. Serves as the single source of truth for full aggregate history playback.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Read Model (PostgreSQL): </w:t>
      </w:r>
      <w:r>
        <w:t>Maintains relational projections of memory metadata in PostgreSQL for high-speed indexing, count queries, and batch candidates.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Vector Store (Qdrant): </w:t>
      </w:r>
      <w:r>
        <w:t>Stores 1536-dimensional vector embeddings with Int8 Scalar Quantization for low-latency semantic similarity search.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Message Broker (RabbitMQ): </w:t>
      </w:r>
      <w:r>
        <w:t>Asynchronous event distribution over MassTransit &amp; RabbitMQ, ensuring eventual consistency between Write and Read models.</w:t>
      </w:r>
    </w:p>
    <w:p>
      <w:pPr>
        <w:keepNext/>
        <w:spacing w:before="360" w:after="120"/>
      </w:pPr>
      <w:r>
        <w:rPr>
          <w:rFonts w:ascii="Segoe UI" w:hAnsi="Segoe UI"/>
          <w:b/>
          <w:color w:val="2B6CB0"/>
          <w:sz w:val="32"/>
        </w:rPr>
        <w:t>3. Security &amp; Multi-Tenancy Design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Transparent Data Encryption (TDE): </w:t>
      </w:r>
      <w:r>
        <w:t>All event payloads stored in MongoDB and summary texts stored in PostgreSQL are encrypted using AES-256-CBC with per-user derived keys (SystemKey + UserId).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Strict Vector Isolation: </w:t>
      </w:r>
      <w:r>
        <w:t>All Qdrant vector similarity queries strictly enforce a mandatory payload filter (Key: 'userId') to prevent cross-tenant memory leakage.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Resilience Pipelines: </w:t>
      </w:r>
      <w:r>
        <w:t>HTTP Clients (OpenAI, Gemini, Teams Webhook) are wrapped with Polly Resilience Handlers providing exponential backoff retries, rate limiting, and circuit breaker protection.</w:t>
      </w:r>
    </w:p>
    <w:p>
      <w:pPr>
        <w:keepNext/>
        <w:spacing w:before="360" w:after="120"/>
      </w:pPr>
      <w:r>
        <w:rPr>
          <w:rFonts w:ascii="Segoe UI" w:hAnsi="Segoe UI"/>
          <w:b/>
          <w:color w:val="2B6CB0"/>
          <w:sz w:val="32"/>
        </w:rPr>
        <w:t>4. Technology Stack &amp; Component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Layer / Component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Technology Selected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Purpose &amp; Architectural Role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Runtime Framework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.NET 8.0 (LTS)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Core high-performance backend microservice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Event Store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MongoDB 3.9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Immutable append-only domain event storage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Read Repository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PostgreSQL 16 / EF Core 8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CQRS read model projections &amp; fast query indexing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Vector Engine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Qdrant gRPC (Client v1.19)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Semantic similarity retrieval &amp; Quantized embedding storage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Message Broker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MassTransit + RabbitMQ 9.2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Decoupled domain event broadcasting &amp; asynchronous processing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Resilience &amp; Fault Tolerance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Polly 8.8 / Microsoft.Extensions.Http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Circuit breaker, rate limiting, and backoff retries for external AI APIs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