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pPr>
      <w:r w:rsidDel="00000000" w:rsidR="00000000" w:rsidRPr="00000000">
        <w:rPr>
          <w:rtl w:val="0"/>
        </w:rPr>
        <w:t xml:space="preserve">Proyecto: Arte Generativo y Morfogénesis Digital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Institución:</w:t>
      </w:r>
      <w:r w:rsidDel="00000000" w:rsidR="00000000" w:rsidRPr="00000000">
        <w:rPr>
          <w:rtl w:val="0"/>
        </w:rPr>
        <w:t xml:space="preserve"> Universidad Autónoma de Querétaro (UAQ)</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Secretaría:</w:t>
      </w:r>
      <w:r w:rsidDel="00000000" w:rsidR="00000000" w:rsidRPr="00000000">
        <w:rPr>
          <w:rtl w:val="0"/>
        </w:rPr>
        <w:t xml:space="preserve"> Secretaría de Extensión y Cultura Universitaria</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Sede:</w:t>
      </w:r>
      <w:r w:rsidDel="00000000" w:rsidR="00000000" w:rsidRPr="00000000">
        <w:rPr>
          <w:rtl w:val="0"/>
        </w:rPr>
        <w:t xml:space="preserve"> Centro Cultural Hangar</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Centro:</w:t>
      </w:r>
      <w:r w:rsidDel="00000000" w:rsidR="00000000" w:rsidRPr="00000000">
        <w:rPr>
          <w:rtl w:val="0"/>
        </w:rPr>
        <w:t xml:space="preserve"> Centro de Estudios en Robótica y Ciencias (CEROC)</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b w:val="1"/>
          <w:bCs w:val="1"/>
          <w:rtl w:val="0"/>
        </w:rPr>
        <w:t xml:space="preserve">Responsable Técnico:</w:t>
      </w:r>
      <w:r w:rsidDel="00000000" w:rsidR="00000000" w:rsidRPr="00000000">
        <w:rPr>
          <w:rtl w:val="0"/>
        </w:rPr>
        <w:t xml:space="preserve"> M. en C. Jose De Jesus Santana Ramirez (Coordinador del CEROC)</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1. Resumen del Proyecto</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t xml:space="preserve">"Arte Generativo y Morfogénesis Digital" es una instalación inmersiva que explora la intersección entre la biología teórica y la computación avanzada. El proyecto utiliza algoritmos de morfogénesis (inspirados en la diferenciación celular y los patrones de Turing) para crear un ecosistema visual que evoluciona en tiempo real. Mediante la detección de múltiples usuarios, el sistema transforma el movimiento humano en "morfógenos digitales", permitiendo que el público co-cree formas orgánicas complejas dentro de un espacio inmersivo.</w:t>
      </w:r>
    </w:p>
    <w:p w:rsidR="00000000" w:rsidDel="00000000" w:rsidP="00000000" w:rsidRDefault="00000000" w:rsidRPr="00000000" w14:paraId="00000009">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2. Fundamento Científico y Artístico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El trasfondo científico se basa en los sistemas dinámicos y la teoría de la emergencia. Los esqueletos de pose detectados no son simples punteros, sino nodos de influencia en un campo de reacción-difusión.</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Génesis Local:</w:t>
      </w:r>
      <w:r w:rsidDel="00000000" w:rsidR="00000000" w:rsidRPr="00000000">
        <w:rPr>
          <w:rtl w:val="0"/>
        </w:rPr>
        <w:t xml:space="preserve"> Las extremidades y articulaciones de los usuarios dictan las reglas locales de crecimiento.</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Interacción Celular:</w:t>
      </w:r>
      <w:r w:rsidDel="00000000" w:rsidR="00000000" w:rsidRPr="00000000">
        <w:rPr>
          <w:rtl w:val="0"/>
        </w:rPr>
        <w:t xml:space="preserve"> Cada usuario es tratado como una "célula" o colonia. La proximidad entre personas genera hibridación de patrones, simulando procesos de simbiosis biológica.</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3. Infraestructura Técnica de Proyección</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El proyecto se monta sobre el stand reglamentario del evento (2.5 m de altura × 5 m de ancho × 2 m de profundidad, con acceso frontal). El diseño se centra en crear una zona de inmersión controlada dentro de ese volumen fijo, priorizando el contraste y la legibilidad del patrón generativo:</w:t>
      </w:r>
    </w:p>
    <w:p w:rsidR="00000000" w:rsidDel="00000000" w:rsidP="00000000" w:rsidRDefault="00000000" w:rsidRPr="00000000" w14:paraId="0000001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Superficie de Proyección Plana: Pared de fondo del stand cubierta con membrana textil tensada (Lycra Spandex blanca mate) que funciona como pantalla de retroproyección / proyección frontal según el acomodo del proyector aportado por el CEROC.</w:t>
      </w:r>
      <w:r w:rsidDel="00000000" w:rsidR="00000000" w:rsidRPr="00000000">
        <w:rPr>
          <w:rtl w:val="0"/>
        </w:rPr>
      </w:r>
    </w:p>
    <w:p w:rsidR="00000000" w:rsidDel="00000000" w:rsidP="00000000" w:rsidRDefault="00000000" w:rsidRPr="00000000" w14:paraId="0000001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Blackout Interior del Stand: Forrado en tela blackout negra mate de las paredes laterales y del techo visible, para reducir la luz ambiental y ganar contraste del patrón proyectado.</w:t>
      </w:r>
      <w:r w:rsidDel="00000000" w:rsidR="00000000" w:rsidRPr="00000000">
        <w:rPr>
          <w:rtl w:val="0"/>
        </w:rPr>
      </w:r>
    </w:p>
    <w:p w:rsidR="00000000" w:rsidDel="00000000" w:rsidP="00000000" w:rsidRDefault="00000000" w:rsidRPr="00000000" w14:paraId="0000001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Cableado y Señalización: Extensiones HDMI/UTP de largo adecuado al stand, señalización de la zona de captura sobre el piso y mamparas gráficas impresas con el fundamento científico del proyecto.</w:t>
      </w:r>
      <w:r w:rsidDel="00000000" w:rsidR="00000000" w:rsidRPr="00000000">
        <w:rPr>
          <w:rtl w:val="0"/>
        </w:rPr>
      </w:r>
    </w:p>
    <w:p w:rsidR="00000000" w:rsidDel="00000000" w:rsidP="00000000" w:rsidRDefault="00000000" w:rsidRPr="00000000" w14:paraId="00000013">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 Presupuesto Desglosado (Recurso de Escenario y Visualización)</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300" w:lineRule="auto"/>
        <w:rPr>
          <w:i w:val="1"/>
          <w:iCs w:val="1"/>
        </w:rPr>
      </w:pPr>
      <w:r w:rsidDel="00000000" w:rsidR="00000000" w:rsidRPr="00000000">
        <w:rPr>
          <w:i w:val="1"/>
          <w:iCs w:val="1"/>
          <w:rtl w:val="0"/>
        </w:rPr>
        <w:t>Nota: Este presupuesto considera únicamente partidas de GASTO CORRIENTE (materiales, suministros e impresos). El equipo tecnológico — proyector de corto alcance, Raspberry Pi 5, cámara OAK-D, acelerador Hailo-8, laptop Windows de renderizado y router de red local — es aportado en su totalidad por el CEROC y por el responsable técnico como equipo propio, por lo que no forma parte del recurso solicitado.</w:t>
      </w:r>
    </w:p>
    <w:tbl>
      <w:tblPr>
        <w:tblStyle w:val="Table1"/>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20" w:before="120" w:line="300" w:lineRule="auto"/>
              <w:rPr>
                <w:shd w:fill="auto" w:val="clear"/>
              </w:rPr>
            </w:pPr>
            <w:r w:rsidDel="00000000" w:rsidR="00000000" w:rsidRPr="00000000">
              <w:rPr>
                <w:shd w:fill="auto" w:val="clear"/>
                <w:rtl w:val="0"/>
              </w:rPr>
              <w:t xml:space="preserve">Concepto</w:t>
            </w:r>
          </w:p>
        </w:tc>
        <w:tc>
          <w:tcPr>
            <w:tcBorders>
              <w:top w:color="dddddd" w:space="0" w:sz="6" w:val="single"/>
              <w:left w:color="dddddd" w:space="0" w:sz="6" w:val="single"/>
              <w:bottom w:color="dddddd" w:space="0" w:sz="6" w:val="single"/>
              <w:right w:color="dddddd" w:space="0" w:sz="6"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20" w:before="120" w:line="300" w:lineRule="auto"/>
              <w:rPr>
                <w:shd w:fill="auto" w:val="clear"/>
              </w:rPr>
            </w:pPr>
            <w:r w:rsidDel="00000000" w:rsidR="00000000" w:rsidRPr="00000000">
              <w:rPr>
                <w:shd w:fill="auto" w:val="clear"/>
                <w:rtl w:val="0"/>
              </w:rPr>
              <w:t xml:space="preserve">Descripción Técnica</w:t>
            </w:r>
          </w:p>
        </w:tc>
        <w:tc>
          <w:tcPr>
            <w:tcBorders>
              <w:top w:color="dddddd" w:space="0" w:sz="6" w:val="single"/>
              <w:left w:color="dddddd" w:space="0" w:sz="6" w:val="single"/>
              <w:bottom w:color="dddddd" w:space="0" w:sz="6" w:val="single"/>
              <w:right w:color="dddddd" w:space="0" w:sz="6"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20" w:before="120" w:line="300" w:lineRule="auto"/>
              <w:rPr>
                <w:shd w:fill="auto" w:val="clear"/>
              </w:rPr>
            </w:pPr>
            <w:r w:rsidDel="00000000" w:rsidR="00000000" w:rsidRPr="00000000">
              <w:rPr>
                <w:shd w:fill="auto" w:val="clear"/>
                <w:rtl w:val="0"/>
              </w:rPr>
              <w:t xml:space="preserve">Inversión (MXN)</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Superficie de Proyección</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Lycra Spandex blanca mate 3 m × 2.5 m, repuesto idéntico ante deterioro, bastidor tubular ligero desarmable con tensores, ojillos y cordón elástico de tensado perimetral.</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$4,500.00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Blackout Interior del Stand</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Tela blackout negra mate (≈30 m lineales) para forrar laterales y techo del stand a doble capa, manta antillama de respaldo, abrazaderas, cinta de fijación textil y velcro perimetral.</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$3,800.00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Mamparas y Gráficos Impresos</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Banner principal del proyecto (2.5 m × 1 m) en lona mate alta resolución; serie de 6 infografías del modelo Gray-Scott, esqueleto digital, BlazePose y reacción-difusión sobre coroplast 3 mm; cédulas de sala y créditos institucionales.</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$3,200.00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Señalética de Zona Interactiva</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Vinil mate antideslizante de gran formato para marcar la zona de captura sobre el piso, cinta delimitadora reflejante y stickers de flujo del público con pictogramas de seguridad.</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$1,000.00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Iluminación Ambiental de Apoyo</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Tira LED RGB direccionable con fuente regulada, controlador consumible y kit de repuestos; luminaria LED de relleno de luz cálida y luminaria UV-A baja para realce escenográfico.</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$1,800.00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Cableado y Consumibles de Conectividad</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Cables HDMI 5 m, 10 m y 15 m con repuesto, extensiones eléctricas 3 m y 5 m, barras multicontacto con supresor, cable de red Cat 6 10 m y 20 m, adaptadores DisplayPort/USB-C, conectores HDMI hembra-hembra y rollo de cinta canalizadora.</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$2,200.00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Material de Montaje y Fijación</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Cinchos plásticos de varios calibres, velcro industrial, cinta doble cara de montaje pesado, tornillería, mosquetones, ganchos tipo 'S' y cordel de polipropileno.</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$900.00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Pintura y Acabados</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Pintura acrílica negro mate para panel de ocultamiento de equipo, esmalte de retoque, brochas, rodillos, charolas y cinta de enmascarar de baja adherencia.</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$700.00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Mediación Cultural Impresa</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Folletos del proyecto (1,000 pzs.) en papel reciclado, tarjetas con código QR al repositorio público (500 pzs.), gafetes para el equipo, tarjetas explicativas en español e inglés y guía rápida del visitante.</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$1,400.00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Material Fungible Operativo</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Pilas AA/AAA, microfibras, alcohol isopropílico, aire comprimido para limpieza de lentes, franelas, bolsas de resguardo y kit de primeros auxilios para la operación.</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t xml:space="preserve">$500.00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rPr>
                <w:b/>
              </w:rPr>
              <w:t xml:space="preserve">Total (Gasto Corriente):</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rPr>
                <w:b/>
              </w:rPr>
              <w:t xml:space="preserve">Monto total de la solicitud</w:t>
            </w:r>
          </w:p>
        </w:tc>
        <w:tc>
          <w:tcPr>
            <w:tcBorders>
              <w:top w:color="dddddd" w:space="0" w:sz="6" w:val="single"/>
              <w:left w:color="dddddd" w:space="0" w:sz="6" w:val="single"/>
              <w:bottom w:color="dddddd" w:space="0" w:sz="6" w:val="single"/>
              <w:right w:color="dddddd" w:space="0" w:sz="6" w:val="single"/>
            </w:tcBorders>
            <w:shd w:fill="auto" w:val="clear"/>
            <w:tcMar>
              <w:top w:w="120.0" w:type="dxa"/>
              <w:left w:w="120.0" w:type="dxa"/>
              <w:bottom w:w="120.0" w:type="dxa"/>
              <w:right w:w="120.0" w:type="dxa"/>
            </w:tcMar>
            <w:vAlign w:val="top"/>
          </w:tcPr>
          <w:p>
            <w:r>
              <w:rPr>
                <w:b/>
              </w:rPr>
              <w:t xml:space="preserve">$20,000.00</w:t>
            </w:r>
          </w:p>
        </w:tc>
      </w:tr>
    </w:tbl>
    <w:p w:rsidR="00000000" w:rsidDel="00000000" w:rsidP="00000000" w:rsidRDefault="00000000" w:rsidRPr="00000000" w14:paraId="0000002C">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5. Alcance Cultural y Mediación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Desde el Centro Cultural Hangar, este proyecto busca desmitificar la IA, presentándola como una herramienta de creación orgánica y colectiva. La "morfogénesis" se convierte en una metáfora de la sociedad queretana: individuos (células) que al interactuar generan patrones de identidad complejos y dinámicos.</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