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0"/>
        <w:jc w:val="left"/>
      </w:pPr>
      <w:r>
        <w:rPr>
          <w:rFonts w:ascii="Arial" w:hAnsi="Arial"/>
          <w:b/>
          <w:i w:val="0"/>
          <w:color w:val="17365D"/>
          <w:sz w:val="20"/>
        </w:rPr>
        <w:t>Universidad Nacional Autónoma de México</w:t>
      </w:r>
    </w:p>
    <w:p>
      <w:pPr>
        <w:spacing w:after="0"/>
        <w:jc w:val="left"/>
      </w:pPr>
      <w:r>
        <w:rPr>
          <w:rFonts w:ascii="Arial" w:hAnsi="Arial"/>
          <w:b w:val="0"/>
          <w:i w:val="0"/>
          <w:color w:val="000000"/>
          <w:sz w:val="19"/>
        </w:rPr>
        <w:t>Escuela Nacional de Estudios Superiores, Unidad Juriquilla</w:t>
      </w:r>
    </w:p>
    <w:p>
      <w:pPr>
        <w:spacing w:after="0"/>
        <w:jc w:val="left"/>
      </w:pPr>
      <w:r>
        <w:rPr>
          <w:rFonts w:ascii="Arial" w:hAnsi="Arial"/>
          <w:b w:val="0"/>
          <w:i w:val="0"/>
          <w:color w:val="000000"/>
          <w:sz w:val="19"/>
        </w:rPr>
        <w:t>Licenciatura en Ingeniería Aeroespacial</w:t>
      </w:r>
    </w:p>
    <w:p>
      <w:pPr>
        <w:spacing w:after="0"/>
        <w:jc w:val="left"/>
      </w:pPr>
      <w:r>
        <w:rPr>
          <w:rFonts w:ascii="Arial" w:hAnsi="Arial"/>
          <w:b w:val="0"/>
          <w:i w:val="0"/>
          <w:color w:val="000000"/>
          <w:sz w:val="19"/>
        </w:rPr>
        <w:t>Sistema escolarizado · Modalidad presencial</w:t>
      </w:r>
    </w:p>
    <w:p>
      <w:pPr>
        <w:spacing w:after="40"/>
      </w:pPr>
    </w:p>
    <w:p>
      <w:pPr>
        <w:pStyle w:val="FSEATitle"/>
        <w:jc w:val="center"/>
      </w:pPr>
      <w:r>
        <w:t>Lineamientos de clase, laboratorio y entrega</w:t>
      </w:r>
    </w:p>
    <w:p>
      <w:pPr>
        <w:pStyle w:val="FSEASubtitle"/>
        <w:jc w:val="center"/>
      </w:pPr>
      <w:r>
        <w:t>Fundamentos de Sistemas Electrónicos Analógicos</w:t>
      </w:r>
    </w:p>
    <w:p>
      <w:pPr>
        <w:pStyle w:val="FSEASubtitle"/>
        <w:jc w:val="center"/>
      </w:pPr>
      <w:r>
        <w:t>M. en C. José de Jesús Santana Ramírez</w:t>
      </w:r>
    </w:p>
    <w:p>
      <w:pPr>
        <w:pStyle w:val="FSEASubtitle"/>
        <w:jc w:val="center"/>
      </w:pPr>
      <w:r>
        <w:t>Semestre 2027-1 · agosto–diciembre de 2026</w:t>
      </w:r>
    </w:p>
    <w:p>
      <w:pPr>
        <w:pStyle w:val="FSEAH1"/>
        <w:pBdr>
          <w:bottom w:val="single" w:sz="5" w:space="2" w:color="B38E3E"/>
        </w:pBdr>
      </w:pPr>
      <w:r>
        <w:t>PROPÓSITO Y ALCANCE</w:t>
      </w:r>
    </w:p>
    <w:p>
      <w:pPr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Estos lineamientos adaptan el Reglamento de los Laboratorios de la ENES Juriquilla a las prácticas de electrónica analógica de baja tensión. Aplican a sesiones presenciales, simulaciones, uso de equipos, trabajo en equipo y entregas en Classroom. El reglamento institucional y las indicaciones del personal responsable prevalecen ante cualquier diferencia.</w:t>
      </w:r>
    </w:p>
    <w:p>
      <w:pPr>
        <w:pStyle w:val="FSEANote"/>
        <w:pBdr>
          <w:left w:val="single" w:sz="12" w:space="6" w:color="B38E3E"/>
        </w:pBdr>
        <w:spacing w:before="60" w:after="100"/>
        <w:ind w:left="230" w:right="115"/>
        <w:jc w:val="both"/>
      </w:pPr>
      <w:r>
        <w:rPr>
          <w:rFonts w:ascii="Times New Roman" w:hAnsi="Times New Roman"/>
          <w:b/>
          <w:i w:val="0"/>
          <w:color w:val="17365D"/>
          <w:sz w:val="22"/>
        </w:rPr>
        <w:t xml:space="preserve">Principio de seguridad: </w:t>
      </w:r>
      <w:r>
        <w:rPr>
          <w:rFonts w:ascii="Times New Roman" w:hAnsi="Times New Roman"/>
          <w:b w:val="0"/>
          <w:i w:val="0"/>
          <w:color w:val="000000"/>
          <w:sz w:val="21"/>
        </w:rPr>
        <w:t>Ninguna calificación justifica energizar un montaje inseguro. Cualquier persona puede pedir que se detenga una práctica cuando observe un riesgo; el circuito sólo se reanuda después de la revisión del responsable.</w:t>
      </w:r>
    </w:p>
    <w:p>
      <w:pPr>
        <w:pStyle w:val="FSEAH1"/>
        <w:pBdr>
          <w:bottom w:val="single" w:sz="5" w:space="2" w:color="B38E3E"/>
        </w:pBdr>
      </w:pPr>
      <w:r>
        <w:t>1. CONVIVENCIA Y TRABAJO EN CLASE</w:t>
      </w:r>
    </w:p>
    <w:p>
      <w:pPr>
        <w:numPr>
          <w:ilvl w:val="0"/>
          <w:numId w:val="4"/>
        </w:numPr>
        <w:spacing w:after="60"/>
      </w:pPr>
      <w:r>
        <w:rPr>
          <w:rFonts w:ascii="Times New Roman" w:hAnsi="Times New Roman"/>
          <w:b w:val="0"/>
          <w:i w:val="0"/>
          <w:color w:val="000000"/>
          <w:sz w:val="20"/>
        </w:rPr>
        <w:t>Asistir puntualmente y respetar el horario y el espacio asignados.</w:t>
      </w:r>
    </w:p>
    <w:p>
      <w:pPr>
        <w:numPr>
          <w:ilvl w:val="0"/>
          <w:numId w:val="4"/>
        </w:numPr>
        <w:spacing w:after="60"/>
      </w:pPr>
      <w:r>
        <w:rPr>
          <w:rFonts w:ascii="Times New Roman" w:hAnsi="Times New Roman"/>
          <w:b w:val="0"/>
          <w:i w:val="0"/>
          <w:color w:val="000000"/>
          <w:sz w:val="20"/>
        </w:rPr>
        <w:t>Mantener trato respetuoso; no correr, gritar, jugar ni realizar bromas que comprometan la seguridad.</w:t>
      </w:r>
    </w:p>
    <w:p>
      <w:pPr>
        <w:numPr>
          <w:ilvl w:val="0"/>
          <w:numId w:val="4"/>
        </w:numPr>
        <w:spacing w:after="60"/>
      </w:pPr>
      <w:r>
        <w:rPr>
          <w:rFonts w:ascii="Times New Roman" w:hAnsi="Times New Roman"/>
          <w:b w:val="0"/>
          <w:i w:val="0"/>
          <w:color w:val="000000"/>
          <w:sz w:val="20"/>
        </w:rPr>
        <w:t>Usar teléfonos, tabletas o computadoras únicamente para la actividad académica autorizada.</w:t>
      </w:r>
    </w:p>
    <w:p>
      <w:pPr>
        <w:numPr>
          <w:ilvl w:val="0"/>
          <w:numId w:val="4"/>
        </w:numPr>
        <w:spacing w:after="60"/>
      </w:pPr>
      <w:r>
        <w:rPr>
          <w:rFonts w:ascii="Times New Roman" w:hAnsi="Times New Roman"/>
          <w:b w:val="0"/>
          <w:i w:val="0"/>
          <w:color w:val="000000"/>
          <w:sz w:val="20"/>
        </w:rPr>
        <w:t>No grabar ni difundir imagen, voz, datos o trabajo de otra persona sin su consentimiento.</w:t>
      </w:r>
    </w:p>
    <w:p>
      <w:pPr>
        <w:numPr>
          <w:ilvl w:val="0"/>
          <w:numId w:val="4"/>
        </w:numPr>
        <w:spacing w:after="60"/>
      </w:pPr>
      <w:r>
        <w:rPr>
          <w:rFonts w:ascii="Times New Roman" w:hAnsi="Times New Roman"/>
          <w:b w:val="0"/>
          <w:i w:val="0"/>
          <w:color w:val="000000"/>
          <w:sz w:val="20"/>
        </w:rPr>
        <w:t>Plantear dudas y desacuerdos con base en cálculos, mediciones, hojas de datos o normativa.</w:t>
      </w:r>
    </w:p>
    <w:p>
      <w:pPr>
        <w:numPr>
          <w:ilvl w:val="0"/>
          <w:numId w:val="4"/>
        </w:numPr>
        <w:spacing w:after="60"/>
      </w:pPr>
      <w:r>
        <w:rPr>
          <w:rFonts w:ascii="Times New Roman" w:hAnsi="Times New Roman"/>
          <w:b w:val="0"/>
          <w:i w:val="0"/>
          <w:color w:val="000000"/>
          <w:sz w:val="20"/>
        </w:rPr>
        <w:t>Atender las medidas de accesibilidad y los ajustes razonables comunicados por los canales institucionales.</w:t>
      </w:r>
    </w:p>
    <w:p>
      <w:pPr>
        <w:pStyle w:val="FSEAH1"/>
        <w:pBdr>
          <w:bottom w:val="single" w:sz="5" w:space="2" w:color="B38E3E"/>
        </w:pBdr>
      </w:pPr>
      <w:r>
        <w:t>2. GOOGLE CLASSROOM Y COMUNICACIÓN</w:t>
      </w:r>
    </w:p>
    <w:p>
      <w:pPr>
        <w:numPr>
          <w:ilvl w:val="0"/>
          <w:numId w:val="4"/>
        </w:numPr>
        <w:spacing w:after="60"/>
      </w:pPr>
      <w:r>
        <w:rPr>
          <w:rFonts w:ascii="Times New Roman" w:hAnsi="Times New Roman"/>
          <w:b w:val="0"/>
          <w:i w:val="0"/>
          <w:color w:val="000000"/>
          <w:sz w:val="20"/>
        </w:rPr>
        <w:t>Classroom es el canal oficial para programa, lineamientos, prácticas, rúbricas, avisos y entregas.</w:t>
      </w:r>
    </w:p>
    <w:p>
      <w:pPr>
        <w:numPr>
          <w:ilvl w:val="0"/>
          <w:numId w:val="4"/>
        </w:numPr>
        <w:spacing w:after="60"/>
      </w:pPr>
      <w:r>
        <w:rPr>
          <w:rFonts w:ascii="Times New Roman" w:hAnsi="Times New Roman"/>
          <w:b w:val="0"/>
          <w:i w:val="0"/>
          <w:color w:val="000000"/>
          <w:sz w:val="20"/>
        </w:rPr>
        <w:t>El estudiante es responsable de revisar avisos y archivos publicados en su cuenta institucional.</w:t>
      </w:r>
    </w:p>
    <w:p>
      <w:pPr>
        <w:numPr>
          <w:ilvl w:val="0"/>
          <w:numId w:val="4"/>
        </w:numPr>
        <w:spacing w:after="60"/>
      </w:pPr>
      <w:r>
        <w:rPr>
          <w:rFonts w:ascii="Times New Roman" w:hAnsi="Times New Roman"/>
          <w:b w:val="0"/>
          <w:i w:val="0"/>
          <w:color w:val="000000"/>
          <w:sz w:val="20"/>
        </w:rPr>
        <w:t>Toda entrega debe abrir correctamente, corresponder a la versión final y conservar sus archivos fuente.</w:t>
      </w:r>
    </w:p>
    <w:p>
      <w:pPr>
        <w:numPr>
          <w:ilvl w:val="0"/>
          <w:numId w:val="4"/>
        </w:numPr>
        <w:spacing w:after="60"/>
      </w:pPr>
      <w:r>
        <w:rPr>
          <w:rFonts w:ascii="Times New Roman" w:hAnsi="Times New Roman"/>
          <w:b w:val="0"/>
          <w:i w:val="0"/>
          <w:color w:val="000000"/>
          <w:sz w:val="20"/>
        </w:rPr>
        <w:t>Las dudas sobre una calificación deben señalar actividad, criterio de rúbrica y evidencia concreta.</w:t>
      </w:r>
    </w:p>
    <w:p>
      <w:pPr>
        <w:numPr>
          <w:ilvl w:val="0"/>
          <w:numId w:val="4"/>
        </w:numPr>
        <w:spacing w:after="60"/>
      </w:pPr>
      <w:r>
        <w:rPr>
          <w:rFonts w:ascii="Times New Roman" w:hAnsi="Times New Roman"/>
          <w:b w:val="0"/>
          <w:i w:val="0"/>
          <w:color w:val="000000"/>
          <w:sz w:val="20"/>
        </w:rPr>
        <w:t>Los avisos generales que cambien una fecha o requisito se publicarán por escrito y aplicarán a todo el grupo.</w:t>
      </w:r>
    </w:p>
    <w:p>
      <w:pPr>
        <w:pStyle w:val="FSEAH1"/>
        <w:pBdr>
          <w:bottom w:val="single" w:sz="5" w:space="2" w:color="B38E3E"/>
        </w:pBdr>
      </w:pPr>
      <w:r>
        <w:t>3. ACCESO AL LABORATORIO</w:t>
      </w:r>
    </w:p>
    <w:p>
      <w:pPr>
        <w:numPr>
          <w:ilvl w:val="0"/>
          <w:numId w:val="4"/>
        </w:numPr>
        <w:spacing w:after="60"/>
      </w:pPr>
      <w:r>
        <w:rPr>
          <w:rFonts w:ascii="Times New Roman" w:hAnsi="Times New Roman"/>
          <w:b w:val="0"/>
          <w:i w:val="0"/>
          <w:color w:val="000000"/>
          <w:sz w:val="20"/>
        </w:rPr>
        <w:t>Acceso exclusivo para estudiantes inscritos y durante el horario programado, con presencia del docente o responsable.</w:t>
      </w:r>
    </w:p>
    <w:p>
      <w:pPr>
        <w:numPr>
          <w:ilvl w:val="0"/>
          <w:numId w:val="4"/>
        </w:numPr>
        <w:spacing w:after="60"/>
      </w:pPr>
      <w:r>
        <w:rPr>
          <w:rFonts w:ascii="Times New Roman" w:hAnsi="Times New Roman"/>
          <w:b w:val="0"/>
          <w:i w:val="0"/>
          <w:color w:val="000000"/>
          <w:sz w:val="20"/>
        </w:rPr>
        <w:t>Leer el instructivo y entregar el prelaboratorio antes de manipular equipo; quien desconozca el procedimiento podrá ser retirado de la práctica por seguridad.</w:t>
      </w:r>
    </w:p>
    <w:p>
      <w:pPr>
        <w:numPr>
          <w:ilvl w:val="0"/>
          <w:numId w:val="4"/>
        </w:numPr>
        <w:spacing w:after="60"/>
      </w:pPr>
      <w:r>
        <w:rPr>
          <w:rFonts w:ascii="Times New Roman" w:hAnsi="Times New Roman"/>
          <w:b w:val="0"/>
          <w:i w:val="0"/>
          <w:color w:val="000000"/>
          <w:sz w:val="20"/>
        </w:rPr>
        <w:t>No entrar al almacén ni retirar material sin autorización.</w:t>
      </w:r>
    </w:p>
    <w:p>
      <w:pPr>
        <w:numPr>
          <w:ilvl w:val="0"/>
          <w:numId w:val="4"/>
        </w:numPr>
        <w:spacing w:after="60"/>
      </w:pPr>
      <w:r>
        <w:rPr>
          <w:rFonts w:ascii="Times New Roman" w:hAnsi="Times New Roman"/>
          <w:b w:val="0"/>
          <w:i w:val="0"/>
          <w:color w:val="000000"/>
          <w:sz w:val="20"/>
        </w:rPr>
        <w:t>No introducir alimentos, bebidas, chicle, mascotas ni objetos que obstruyan pasillos o salidas.</w:t>
      </w:r>
    </w:p>
    <w:p>
      <w:pPr>
        <w:numPr>
          <w:ilvl w:val="0"/>
          <w:numId w:val="4"/>
        </w:numPr>
        <w:spacing w:after="60"/>
      </w:pPr>
      <w:r>
        <w:rPr>
          <w:rFonts w:ascii="Times New Roman" w:hAnsi="Times New Roman"/>
          <w:b w:val="0"/>
          <w:i w:val="0"/>
          <w:color w:val="000000"/>
          <w:sz w:val="20"/>
        </w:rPr>
        <w:t>Usar calzado cerrado; recoger cabello y retirar accesorios colgantes cuando puedan engancharse.</w:t>
      </w:r>
    </w:p>
    <w:p>
      <w:pPr>
        <w:numPr>
          <w:ilvl w:val="0"/>
          <w:numId w:val="4"/>
        </w:numPr>
        <w:spacing w:after="60"/>
      </w:pPr>
      <w:r>
        <w:rPr>
          <w:rFonts w:ascii="Times New Roman" w:hAnsi="Times New Roman"/>
          <w:b w:val="0"/>
          <w:i w:val="0"/>
          <w:color w:val="000000"/>
          <w:sz w:val="20"/>
        </w:rPr>
        <w:t>Mantener libres salidas, extintores, botiquín, interruptores y rutas de evacuación.</w:t>
      </w:r>
    </w:p>
    <w:p>
      <w:pPr>
        <w:pStyle w:val="FSEAH1"/>
        <w:pBdr>
          <w:bottom w:val="single" w:sz="5" w:space="2" w:color="B38E3E"/>
        </w:pBdr>
      </w:pPr>
      <w:r>
        <w:t>4. SEGURIDAD ELÉCTRICA Y ESD</w:t>
      </w:r>
    </w:p>
    <w:p>
      <w:pPr>
        <w:numPr>
          <w:ilvl w:val="0"/>
          <w:numId w:val="21"/>
        </w:numPr>
        <w:spacing w:after="60"/>
      </w:pPr>
      <w:r>
        <w:rPr>
          <w:rFonts w:ascii="Times New Roman" w:hAnsi="Times New Roman"/>
          <w:b w:val="0"/>
          <w:i w:val="0"/>
          <w:color w:val="000000"/>
          <w:sz w:val="20"/>
        </w:rPr>
        <w:t>Trabajar con la fuente apagada mientras se arma o modifica el circuito.</w:t>
      </w:r>
    </w:p>
    <w:p>
      <w:pPr>
        <w:numPr>
          <w:ilvl w:val="0"/>
          <w:numId w:val="21"/>
        </w:numPr>
        <w:spacing w:after="60"/>
      </w:pPr>
      <w:r>
        <w:rPr>
          <w:rFonts w:ascii="Times New Roman" w:hAnsi="Times New Roman"/>
          <w:b w:val="0"/>
          <w:i w:val="0"/>
          <w:color w:val="000000"/>
          <w:sz w:val="20"/>
        </w:rPr>
        <w:t>Antes de energizar, verificar polaridad, tierra común, valor de componentes, ausencia de cortocircuitos y rango de los instrumentos.</w:t>
      </w:r>
    </w:p>
    <w:p>
      <w:pPr>
        <w:numPr>
          <w:ilvl w:val="0"/>
          <w:numId w:val="21"/>
        </w:numPr>
        <w:spacing w:after="60"/>
      </w:pPr>
      <w:r>
        <w:rPr>
          <w:rFonts w:ascii="Times New Roman" w:hAnsi="Times New Roman"/>
          <w:b w:val="0"/>
          <w:i w:val="0"/>
          <w:color w:val="000000"/>
          <w:sz w:val="20"/>
        </w:rPr>
        <w:t>Ajustar primero el límite de corriente. En prácticas introductorias no superar 12 V DC salvo autorización e instructivo específico.</w:t>
      </w:r>
    </w:p>
    <w:p>
      <w:pPr>
        <w:numPr>
          <w:ilvl w:val="0"/>
          <w:numId w:val="21"/>
        </w:numPr>
        <w:spacing w:after="60"/>
      </w:pPr>
      <w:r>
        <w:rPr>
          <w:rFonts w:ascii="Times New Roman" w:hAnsi="Times New Roman"/>
          <w:b w:val="0"/>
          <w:i w:val="0"/>
          <w:color w:val="000000"/>
          <w:sz w:val="20"/>
        </w:rPr>
        <w:t>No puentear fusibles, protecciones, tierras de seguridad ni límites de corriente.</w:t>
      </w:r>
    </w:p>
    <w:p>
      <w:pPr>
        <w:numPr>
          <w:ilvl w:val="0"/>
          <w:numId w:val="21"/>
        </w:numPr>
        <w:spacing w:after="60"/>
      </w:pPr>
      <w:r>
        <w:rPr>
          <w:rFonts w:ascii="Times New Roman" w:hAnsi="Times New Roman"/>
          <w:b w:val="0"/>
          <w:i w:val="0"/>
          <w:color w:val="000000"/>
          <w:sz w:val="20"/>
        </w:rPr>
        <w:t>Descargar capacitores y comprobar tensión residual antes de tocar o retirar componentes.</w:t>
      </w:r>
    </w:p>
    <w:p>
      <w:pPr>
        <w:numPr>
          <w:ilvl w:val="0"/>
          <w:numId w:val="21"/>
        </w:numPr>
        <w:spacing w:after="60"/>
      </w:pPr>
      <w:r>
        <w:rPr>
          <w:rFonts w:ascii="Times New Roman" w:hAnsi="Times New Roman"/>
          <w:b w:val="0"/>
          <w:i w:val="0"/>
          <w:color w:val="000000"/>
          <w:sz w:val="20"/>
        </w:rPr>
        <w:t>Usar pulsera, tapete o procedimiento ESD cuando se manipulen MOSFET, circuitos integrados o tarjetas sensibles.</w:t>
      </w:r>
    </w:p>
    <w:p>
      <w:pPr>
        <w:numPr>
          <w:ilvl w:val="0"/>
          <w:numId w:val="21"/>
        </w:numPr>
        <w:spacing w:after="60"/>
      </w:pPr>
      <w:r>
        <w:rPr>
          <w:rFonts w:ascii="Times New Roman" w:hAnsi="Times New Roman"/>
          <w:b w:val="0"/>
          <w:i w:val="0"/>
          <w:color w:val="000000"/>
          <w:sz w:val="20"/>
        </w:rPr>
        <w:t>No conectar directamente a la red eléctrica ni trabajar con alta tensión. Fuentes conectadas a red sólo serán operadas según el instructivo y bajo supervisión.</w:t>
      </w:r>
    </w:p>
    <w:p>
      <w:pPr>
        <w:numPr>
          <w:ilvl w:val="0"/>
          <w:numId w:val="21"/>
        </w:numPr>
        <w:spacing w:after="60"/>
      </w:pPr>
      <w:r>
        <w:rPr>
          <w:rFonts w:ascii="Times New Roman" w:hAnsi="Times New Roman"/>
          <w:b w:val="0"/>
          <w:i w:val="0"/>
          <w:color w:val="000000"/>
          <w:sz w:val="20"/>
        </w:rPr>
        <w:t>Si hay olor, humo, calentamiento, ruido anormal, lectura inesperada o componente dañado: apagar, desconectar y avisar; no intentar repetir la falla.</w:t>
      </w:r>
    </w:p>
    <w:p>
      <w:pPr>
        <w:pStyle w:val="FSEAH1"/>
        <w:pBdr>
          <w:bottom w:val="single" w:sz="5" w:space="2" w:color="B38E3E"/>
        </w:pBdr>
      </w:pPr>
      <w:r>
        <w:t>5. USO DE INSTRUMENTOS Y MATERIAL</w:t>
      </w:r>
    </w:p>
    <w:p>
      <w:pPr>
        <w:numPr>
          <w:ilvl w:val="0"/>
          <w:numId w:val="4"/>
        </w:numPr>
        <w:spacing w:after="60"/>
      </w:pPr>
      <w:r>
        <w:rPr>
          <w:rFonts w:ascii="Times New Roman" w:hAnsi="Times New Roman"/>
          <w:b w:val="0"/>
          <w:i w:val="0"/>
          <w:color w:val="000000"/>
          <w:sz w:val="20"/>
        </w:rPr>
        <w:t>Inspeccionar puntas, cables, conectores, fuente, multímetro y osciloscopio antes de usarlos.</w:t>
      </w:r>
    </w:p>
    <w:p>
      <w:pPr>
        <w:numPr>
          <w:ilvl w:val="0"/>
          <w:numId w:val="4"/>
        </w:numPr>
        <w:spacing w:after="60"/>
      </w:pPr>
      <w:r>
        <w:rPr>
          <w:rFonts w:ascii="Times New Roman" w:hAnsi="Times New Roman"/>
          <w:b w:val="0"/>
          <w:i w:val="0"/>
          <w:color w:val="000000"/>
          <w:sz w:val="20"/>
        </w:rPr>
        <w:t>Seleccionar función y rango antes de medir; nunca colocar un amperímetro directamente en paralelo con una fuente.</w:t>
      </w:r>
    </w:p>
    <w:p>
      <w:pPr>
        <w:numPr>
          <w:ilvl w:val="0"/>
          <w:numId w:val="4"/>
        </w:numPr>
        <w:spacing w:after="60"/>
      </w:pPr>
      <w:r>
        <w:rPr>
          <w:rFonts w:ascii="Times New Roman" w:hAnsi="Times New Roman"/>
          <w:b w:val="0"/>
          <w:i w:val="0"/>
          <w:color w:val="000000"/>
          <w:sz w:val="20"/>
        </w:rPr>
        <w:t>Confirmar la referencia de tierra del osciloscopio para evitar cortocircuitos mediante la pinza de masa.</w:t>
      </w:r>
    </w:p>
    <w:p>
      <w:pPr>
        <w:numPr>
          <w:ilvl w:val="0"/>
          <w:numId w:val="4"/>
        </w:numPr>
        <w:spacing w:after="60"/>
      </w:pPr>
      <w:r>
        <w:rPr>
          <w:rFonts w:ascii="Times New Roman" w:hAnsi="Times New Roman"/>
          <w:b w:val="0"/>
          <w:i w:val="0"/>
          <w:color w:val="000000"/>
          <w:sz w:val="20"/>
        </w:rPr>
        <w:t>No exceder límites de entrada indicados por el fabricante o el responsable.</w:t>
      </w:r>
    </w:p>
    <w:p>
      <w:pPr>
        <w:numPr>
          <w:ilvl w:val="0"/>
          <w:numId w:val="4"/>
        </w:numPr>
        <w:spacing w:after="60"/>
      </w:pPr>
      <w:r>
        <w:rPr>
          <w:rFonts w:ascii="Times New Roman" w:hAnsi="Times New Roman"/>
          <w:b w:val="0"/>
          <w:i w:val="0"/>
          <w:color w:val="000000"/>
          <w:sz w:val="20"/>
        </w:rPr>
        <w:t>Registrar equipo, accesorios y estado inicial en la bitácora cuando corresponda.</w:t>
      </w:r>
    </w:p>
    <w:p>
      <w:pPr>
        <w:numPr>
          <w:ilvl w:val="0"/>
          <w:numId w:val="4"/>
        </w:numPr>
        <w:spacing w:after="60"/>
      </w:pPr>
      <w:r>
        <w:rPr>
          <w:rFonts w:ascii="Times New Roman" w:hAnsi="Times New Roman"/>
          <w:b w:val="0"/>
          <w:i w:val="0"/>
          <w:color w:val="000000"/>
          <w:sz w:val="20"/>
        </w:rPr>
        <w:t>Reportar inmediatamente fallas, desajustes, piezas faltantes o daños. No usar equipo en mal estado.</w:t>
      </w:r>
    </w:p>
    <w:p>
      <w:pPr>
        <w:numPr>
          <w:ilvl w:val="0"/>
          <w:numId w:val="4"/>
        </w:numPr>
        <w:spacing w:after="60"/>
      </w:pPr>
      <w:r>
        <w:rPr>
          <w:rFonts w:ascii="Times New Roman" w:hAnsi="Times New Roman"/>
          <w:b w:val="0"/>
          <w:i w:val="0"/>
          <w:color w:val="000000"/>
          <w:sz w:val="20"/>
        </w:rPr>
        <w:t>Al finalizar: desenergizar, retirar conexiones, devolver material, ordenar cables y dejar limpia el área.</w:t>
      </w:r>
    </w:p>
    <w:p>
      <w:pPr>
        <w:pStyle w:val="FSEAH1"/>
        <w:pBdr>
          <w:bottom w:val="single" w:sz="5" w:space="2" w:color="B38E3E"/>
        </w:pBdr>
      </w:pPr>
      <w:r>
        <w:t>6. BITÁCORA Y TRAZABILIDAD</w:t>
      </w:r>
    </w:p>
    <w:p>
      <w:pPr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Cada equipo mantendrá una bitácora fechada, legible y cronológica. Debe registrar objetivo, integrantes, esquema y versión, valores nominales y medidos, instrumentos utilizados, configuración, predicciones, datos crudos, cambios realizados, anomalías, fotografías autorizadas, análisis y conclusión. No se borran resultados adversos: se corrigen mediante una nueva entrada que explique la causa.</w:t>
      </w:r>
    </w:p>
    <w:p>
      <w:pPr>
        <w:pStyle w:val="FSEAH1"/>
        <w:pBdr>
          <w:bottom w:val="single" w:sz="5" w:space="2" w:color="B38E3E"/>
        </w:pBdr>
      </w:pPr>
      <w:r>
        <w:t>7. INFORMES DE PRÁCTICA</w:t>
      </w:r>
    </w:p>
    <w:p>
      <w:pPr>
        <w:numPr>
          <w:ilvl w:val="0"/>
          <w:numId w:val="4"/>
        </w:numPr>
        <w:spacing w:after="60"/>
      </w:pPr>
      <w:r>
        <w:rPr>
          <w:rFonts w:ascii="Times New Roman" w:hAnsi="Times New Roman"/>
          <w:b w:val="0"/>
          <w:i w:val="0"/>
          <w:color w:val="000000"/>
          <w:sz w:val="20"/>
        </w:rPr>
        <w:t>Portada breve con práctica, equipo, integrantes y fecha.</w:t>
      </w:r>
    </w:p>
    <w:p>
      <w:pPr>
        <w:numPr>
          <w:ilvl w:val="0"/>
          <w:numId w:val="4"/>
        </w:numPr>
        <w:spacing w:after="60"/>
      </w:pPr>
      <w:r>
        <w:rPr>
          <w:rFonts w:ascii="Times New Roman" w:hAnsi="Times New Roman"/>
          <w:b w:val="0"/>
          <w:i w:val="0"/>
          <w:color w:val="000000"/>
          <w:sz w:val="20"/>
        </w:rPr>
        <w:t>Objetivo y requisitos cuantificados.</w:t>
      </w:r>
    </w:p>
    <w:p>
      <w:pPr>
        <w:numPr>
          <w:ilvl w:val="0"/>
          <w:numId w:val="4"/>
        </w:numPr>
        <w:spacing w:after="60"/>
      </w:pPr>
      <w:r>
        <w:rPr>
          <w:rFonts w:ascii="Times New Roman" w:hAnsi="Times New Roman"/>
          <w:b w:val="0"/>
          <w:i w:val="0"/>
          <w:color w:val="000000"/>
          <w:sz w:val="20"/>
        </w:rPr>
        <w:t>Esquema legible, lista de componentes y condiciones de prueba.</w:t>
      </w:r>
    </w:p>
    <w:p>
      <w:pPr>
        <w:numPr>
          <w:ilvl w:val="0"/>
          <w:numId w:val="4"/>
        </w:numPr>
        <w:spacing w:after="60"/>
      </w:pPr>
      <w:r>
        <w:rPr>
          <w:rFonts w:ascii="Times New Roman" w:hAnsi="Times New Roman"/>
          <w:b w:val="0"/>
          <w:i w:val="0"/>
          <w:color w:val="000000"/>
          <w:sz w:val="20"/>
        </w:rPr>
        <w:t>Predicción y cálculo con unidades y supuestos.</w:t>
      </w:r>
    </w:p>
    <w:p>
      <w:pPr>
        <w:numPr>
          <w:ilvl w:val="0"/>
          <w:numId w:val="4"/>
        </w:numPr>
        <w:spacing w:after="60"/>
      </w:pPr>
      <w:r>
        <w:rPr>
          <w:rFonts w:ascii="Times New Roman" w:hAnsi="Times New Roman"/>
          <w:b w:val="0"/>
          <w:i w:val="0"/>
          <w:color w:val="000000"/>
          <w:sz w:val="20"/>
        </w:rPr>
        <w:t>Resultados de simulación y medición con datos suficientes para reproducirlos.</w:t>
      </w:r>
    </w:p>
    <w:p>
      <w:pPr>
        <w:numPr>
          <w:ilvl w:val="0"/>
          <w:numId w:val="4"/>
        </w:numPr>
        <w:spacing w:after="60"/>
      </w:pPr>
      <w:r>
        <w:rPr>
          <w:rFonts w:ascii="Times New Roman" w:hAnsi="Times New Roman"/>
          <w:b w:val="0"/>
          <w:i w:val="0"/>
          <w:color w:val="000000"/>
          <w:sz w:val="20"/>
        </w:rPr>
        <w:t>Error, incertidumbre, tolerancias, potencia y explicación de discrepancias.</w:t>
      </w:r>
    </w:p>
    <w:p>
      <w:pPr>
        <w:numPr>
          <w:ilvl w:val="0"/>
          <w:numId w:val="4"/>
        </w:numPr>
        <w:spacing w:after="60"/>
      </w:pPr>
      <w:r>
        <w:rPr>
          <w:rFonts w:ascii="Times New Roman" w:hAnsi="Times New Roman"/>
          <w:b w:val="0"/>
          <w:i w:val="0"/>
          <w:color w:val="000000"/>
          <w:sz w:val="20"/>
        </w:rPr>
        <w:t>Conclusión que responda si el diseño cumple, no sólo si 'funcionó'.</w:t>
      </w:r>
    </w:p>
    <w:p>
      <w:pPr>
        <w:numPr>
          <w:ilvl w:val="0"/>
          <w:numId w:val="4"/>
        </w:numPr>
        <w:spacing w:after="60"/>
      </w:pPr>
      <w:r>
        <w:rPr>
          <w:rFonts w:ascii="Times New Roman" w:hAnsi="Times New Roman"/>
          <w:b w:val="0"/>
          <w:i w:val="0"/>
          <w:color w:val="000000"/>
          <w:sz w:val="20"/>
        </w:rPr>
        <w:t>Anexos con archivos fuente, netlists, hojas de cálculo o código solicitado.</w:t>
      </w:r>
    </w:p>
    <w:p>
      <w:pPr>
        <w:pStyle w:val="FSEANote"/>
        <w:pBdr>
          <w:left w:val="single" w:sz="12" w:space="6" w:color="B38E3E"/>
        </w:pBdr>
        <w:spacing w:before="60" w:after="100"/>
        <w:ind w:left="230" w:right="115"/>
        <w:jc w:val="both"/>
      </w:pPr>
      <w:r>
        <w:rPr>
          <w:rFonts w:ascii="Times New Roman" w:hAnsi="Times New Roman"/>
          <w:b/>
          <w:i w:val="0"/>
          <w:color w:val="17365D"/>
          <w:sz w:val="22"/>
        </w:rPr>
        <w:t xml:space="preserve">Rúbrica de práctica: </w:t>
      </w:r>
      <w:r>
        <w:rPr>
          <w:rFonts w:ascii="Times New Roman" w:hAnsi="Times New Roman"/>
          <w:b w:val="0"/>
          <w:i w:val="0"/>
          <w:color w:val="000000"/>
          <w:sz w:val="21"/>
        </w:rPr>
        <w:t>15 % prelaboratorio; 20 % seguridad y bitácora; 25 % ejecución y datos; 25 % análisis; 15 % comunicación técnica.</w:t>
      </w:r>
    </w:p>
    <w:p>
      <w:pPr>
        <w:pStyle w:val="FSEAH1"/>
        <w:pBdr>
          <w:bottom w:val="single" w:sz="5" w:space="2" w:color="B38E3E"/>
        </w:pBdr>
      </w:pPr>
      <w:r>
        <w:t>8. TRABAJO EN EQUIPO</w:t>
      </w:r>
    </w:p>
    <w:p>
      <w:pPr>
        <w:numPr>
          <w:ilvl w:val="0"/>
          <w:numId w:val="4"/>
        </w:numPr>
        <w:spacing w:after="60"/>
      </w:pPr>
      <w:r>
        <w:rPr>
          <w:rFonts w:ascii="Times New Roman" w:hAnsi="Times New Roman"/>
          <w:b w:val="0"/>
          <w:i w:val="0"/>
          <w:color w:val="000000"/>
          <w:sz w:val="20"/>
        </w:rPr>
        <w:t>Rotar responsabilidades: armado, verificación, medición, simulación y registro.</w:t>
      </w:r>
    </w:p>
    <w:p>
      <w:pPr>
        <w:numPr>
          <w:ilvl w:val="0"/>
          <w:numId w:val="4"/>
        </w:numPr>
        <w:spacing w:after="60"/>
      </w:pPr>
      <w:r>
        <w:rPr>
          <w:rFonts w:ascii="Times New Roman" w:hAnsi="Times New Roman"/>
          <w:b w:val="0"/>
          <w:i w:val="0"/>
          <w:color w:val="000000"/>
          <w:sz w:val="20"/>
        </w:rPr>
        <w:t>Todas las personas deben comprender el circuito y podrán ser interrogadas durante la defensa.</w:t>
      </w:r>
    </w:p>
    <w:p>
      <w:pPr>
        <w:numPr>
          <w:ilvl w:val="0"/>
          <w:numId w:val="4"/>
        </w:numPr>
        <w:spacing w:after="60"/>
      </w:pPr>
      <w:r>
        <w:rPr>
          <w:rFonts w:ascii="Times New Roman" w:hAnsi="Times New Roman"/>
          <w:b w:val="0"/>
          <w:i w:val="0"/>
          <w:color w:val="000000"/>
          <w:sz w:val="20"/>
        </w:rPr>
        <w:t>La bitácora debe identificar contribuciones sin ocultar desacuerdos o retrabajo.</w:t>
      </w:r>
    </w:p>
    <w:p>
      <w:pPr>
        <w:numPr>
          <w:ilvl w:val="0"/>
          <w:numId w:val="4"/>
        </w:numPr>
        <w:spacing w:after="60"/>
      </w:pPr>
      <w:r>
        <w:rPr>
          <w:rFonts w:ascii="Times New Roman" w:hAnsi="Times New Roman"/>
          <w:b w:val="0"/>
          <w:i w:val="0"/>
          <w:color w:val="000000"/>
          <w:sz w:val="20"/>
        </w:rPr>
        <w:t>La calificación común puede ajustarse individualmente por evidencia, defensa o incumplimiento.</w:t>
      </w:r>
    </w:p>
    <w:p>
      <w:pPr>
        <w:pStyle w:val="FSEAH1"/>
        <w:pBdr>
          <w:bottom w:val="single" w:sz="5" w:space="2" w:color="B38E3E"/>
        </w:pBdr>
      </w:pPr>
      <w:r>
        <w:t>9. INTEGRIDAD ACADÉMICA Y HERRAMIENTAS DE IA</w:t>
      </w:r>
    </w:p>
    <w:p>
      <w:pPr>
        <w:numPr>
          <w:ilvl w:val="0"/>
          <w:numId w:val="4"/>
        </w:numPr>
        <w:spacing w:after="60"/>
      </w:pPr>
      <w:r>
        <w:rPr>
          <w:rFonts w:ascii="Times New Roman" w:hAnsi="Times New Roman"/>
          <w:b w:val="0"/>
          <w:i w:val="0"/>
          <w:color w:val="000000"/>
          <w:sz w:val="20"/>
        </w:rPr>
        <w:t>No copiar informes, datos, simulaciones, fotografías ni archivos de otro equipo o semestre.</w:t>
      </w:r>
    </w:p>
    <w:p>
      <w:pPr>
        <w:numPr>
          <w:ilvl w:val="0"/>
          <w:numId w:val="4"/>
        </w:numPr>
        <w:spacing w:after="60"/>
      </w:pPr>
      <w:r>
        <w:rPr>
          <w:rFonts w:ascii="Times New Roman" w:hAnsi="Times New Roman"/>
          <w:b w:val="0"/>
          <w:i w:val="0"/>
          <w:color w:val="000000"/>
          <w:sz w:val="20"/>
        </w:rPr>
        <w:t>No fabricar mediciones ni modificar datos para forzar coincidencia con la teoría.</w:t>
      </w:r>
    </w:p>
    <w:p>
      <w:pPr>
        <w:numPr>
          <w:ilvl w:val="0"/>
          <w:numId w:val="4"/>
        </w:numPr>
        <w:spacing w:after="60"/>
      </w:pPr>
      <w:r>
        <w:rPr>
          <w:rFonts w:ascii="Times New Roman" w:hAnsi="Times New Roman"/>
          <w:b w:val="0"/>
          <w:i w:val="0"/>
          <w:color w:val="000000"/>
          <w:sz w:val="20"/>
        </w:rPr>
        <w:t>Citar libros, hojas de datos, páginas, código y material audiovisual utilizados.</w:t>
      </w:r>
    </w:p>
    <w:p>
      <w:pPr>
        <w:numPr>
          <w:ilvl w:val="0"/>
          <w:numId w:val="4"/>
        </w:numPr>
        <w:spacing w:after="60"/>
      </w:pPr>
      <w:r>
        <w:rPr>
          <w:rFonts w:ascii="Times New Roman" w:hAnsi="Times New Roman"/>
          <w:b w:val="0"/>
          <w:i w:val="0"/>
          <w:color w:val="000000"/>
          <w:sz w:val="20"/>
        </w:rPr>
        <w:t>Declarar brevemente el uso de IA: herramienta, propósito y qué verificó el estudiante.</w:t>
      </w:r>
    </w:p>
    <w:p>
      <w:pPr>
        <w:numPr>
          <w:ilvl w:val="0"/>
          <w:numId w:val="4"/>
        </w:numPr>
        <w:spacing w:after="60"/>
      </w:pPr>
      <w:r>
        <w:rPr>
          <w:rFonts w:ascii="Times New Roman" w:hAnsi="Times New Roman"/>
          <w:b w:val="0"/>
          <w:i w:val="0"/>
          <w:color w:val="000000"/>
          <w:sz w:val="20"/>
        </w:rPr>
        <w:t>La IA no reemplaza la defensa individual ni autoriza a entregar contenido no comprendido.</w:t>
      </w:r>
    </w:p>
    <w:p>
      <w:pPr>
        <w:numPr>
          <w:ilvl w:val="0"/>
          <w:numId w:val="4"/>
        </w:numPr>
        <w:spacing w:after="60"/>
      </w:pPr>
      <w:r>
        <w:rPr>
          <w:rFonts w:ascii="Times New Roman" w:hAnsi="Times New Roman"/>
          <w:b w:val="0"/>
          <w:i w:val="0"/>
          <w:color w:val="000000"/>
          <w:sz w:val="20"/>
        </w:rPr>
        <w:t>Durante exámenes sólo se permiten herramientas expresamente autorizadas.</w:t>
      </w:r>
    </w:p>
    <w:p>
      <w:pPr>
        <w:pStyle w:val="FSEAH1"/>
        <w:pBdr>
          <w:bottom w:val="single" w:sz="5" w:space="2" w:color="B38E3E"/>
        </w:pBdr>
      </w:pPr>
      <w:r>
        <w:t>10. INCIDENTES, DAÑOS Y EMERGENCIAS</w:t>
      </w:r>
    </w:p>
    <w:p>
      <w:pPr>
        <w:numPr>
          <w:ilvl w:val="0"/>
          <w:numId w:val="22"/>
        </w:numPr>
        <w:spacing w:after="60"/>
      </w:pPr>
      <w:r>
        <w:rPr>
          <w:rFonts w:ascii="Times New Roman" w:hAnsi="Times New Roman"/>
          <w:b w:val="0"/>
          <w:i w:val="0"/>
          <w:color w:val="000000"/>
          <w:sz w:val="20"/>
        </w:rPr>
        <w:t>Detener la actividad y asegurar la zona sin exponerse a un riesgo adicional.</w:t>
      </w:r>
    </w:p>
    <w:p>
      <w:pPr>
        <w:numPr>
          <w:ilvl w:val="0"/>
          <w:numId w:val="22"/>
        </w:numPr>
        <w:spacing w:after="60"/>
      </w:pPr>
      <w:r>
        <w:rPr>
          <w:rFonts w:ascii="Times New Roman" w:hAnsi="Times New Roman"/>
          <w:b w:val="0"/>
          <w:i w:val="0"/>
          <w:color w:val="000000"/>
          <w:sz w:val="20"/>
        </w:rPr>
        <w:t>Cortar la energía si puede hacerse de forma segura y avisar inmediatamente al docente o responsable.</w:t>
      </w:r>
    </w:p>
    <w:p>
      <w:pPr>
        <w:numPr>
          <w:ilvl w:val="0"/>
          <w:numId w:val="22"/>
        </w:numPr>
        <w:spacing w:after="60"/>
      </w:pPr>
      <w:r>
        <w:rPr>
          <w:rFonts w:ascii="Times New Roman" w:hAnsi="Times New Roman"/>
          <w:b w:val="0"/>
          <w:i w:val="0"/>
          <w:color w:val="000000"/>
          <w:sz w:val="20"/>
        </w:rPr>
        <w:t>No mover a una persona lesionada salvo que permanezca en peligro inmediato.</w:t>
      </w:r>
    </w:p>
    <w:p>
      <w:pPr>
        <w:numPr>
          <w:ilvl w:val="0"/>
          <w:numId w:val="22"/>
        </w:numPr>
        <w:spacing w:after="60"/>
      </w:pPr>
      <w:r>
        <w:rPr>
          <w:rFonts w:ascii="Times New Roman" w:hAnsi="Times New Roman"/>
          <w:b w:val="0"/>
          <w:i w:val="0"/>
          <w:color w:val="000000"/>
          <w:sz w:val="20"/>
        </w:rPr>
        <w:t>Llamar al 911 ante una emergencia. El Reglamento de Laboratorios ENES Juriquilla también indica CAE UNAM extensión 34425 y directo 442 192 6325; confirmar siempre la señalización vigente del campus.</w:t>
      </w:r>
    </w:p>
    <w:p>
      <w:pPr>
        <w:numPr>
          <w:ilvl w:val="0"/>
          <w:numId w:val="22"/>
        </w:numPr>
        <w:spacing w:after="60"/>
      </w:pPr>
      <w:r>
        <w:rPr>
          <w:rFonts w:ascii="Times New Roman" w:hAnsi="Times New Roman"/>
          <w:b w:val="0"/>
          <w:i w:val="0"/>
          <w:color w:val="000000"/>
          <w:sz w:val="20"/>
        </w:rPr>
        <w:t>Documentar el incidente o daño en la bitácora y en el formato institucional aplicable.</w:t>
      </w:r>
    </w:p>
    <w:p>
      <w:pPr>
        <w:numPr>
          <w:ilvl w:val="0"/>
          <w:numId w:val="22"/>
        </w:numPr>
        <w:spacing w:after="60"/>
      </w:pPr>
      <w:r>
        <w:rPr>
          <w:rFonts w:ascii="Times New Roman" w:hAnsi="Times New Roman"/>
          <w:b w:val="0"/>
          <w:i w:val="0"/>
          <w:color w:val="000000"/>
          <w:sz w:val="20"/>
        </w:rPr>
        <w:t>El material dañado por mal uso deberá atenderse conforme al reglamento y a la legislación universitaria; no ocultar daños ni sustituir piezas sin autorización.</w:t>
      </w:r>
    </w:p>
    <w:p>
      <w:pPr>
        <w:pStyle w:val="FSEAH1"/>
        <w:pBdr>
          <w:bottom w:val="single" w:sz="5" w:space="2" w:color="B38E3E"/>
        </w:pBdr>
      </w:pPr>
      <w:r>
        <w:t>11. INCUMPLIMIENTO Y MEDIDAS</w:t>
      </w:r>
    </w:p>
    <w:p>
      <w:pPr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El incumplimiento se atenderá proporcionalmente a la gravedad y conforme a la normativa universitaria. Ante una conducta insegura, el responsable puede detener el trabajo, retirar temporalmente el acceso al montaje y solicitar una nueva verificación o capacitación. Los casos de daño, riesgo, deshonestidad o reincidencia se documentarán y canalizarán por las instancias correspondientes; este documento no sustituye los procedimientos institucionales.</w:t>
      </w:r>
    </w:p>
    <w:p>
      <w:pPr>
        <w:pStyle w:val="FSEAH1"/>
        <w:pBdr>
          <w:bottom w:val="single" w:sz="5" w:space="2" w:color="B38E3E"/>
        </w:pBdr>
      </w:pPr>
      <w:r>
        <w:t>12. ACUSE DE CONOCIMIENTO</w:t>
      </w:r>
    </w:p>
    <w:p>
      <w:pPr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La confirmación en Classroom indica que el estudiante recibió y leyó los documentos. No implica renuncia a derechos universitarios ni aceptación de reglas contrarias a la legislación vigente.</w:t>
      </w:r>
    </w:p>
    <w:p>
      <w:pPr>
        <w:pStyle w:val="FSEANote"/>
        <w:pBdr>
          <w:left w:val="single" w:sz="12" w:space="6" w:color="B38E3E"/>
        </w:pBdr>
        <w:spacing w:before="60" w:after="100"/>
        <w:ind w:left="230" w:right="115"/>
        <w:jc w:val="both"/>
      </w:pPr>
      <w:r>
        <w:rPr>
          <w:rFonts w:ascii="Times New Roman" w:hAnsi="Times New Roman"/>
          <w:b/>
          <w:i w:val="0"/>
          <w:color w:val="17365D"/>
          <w:sz w:val="22"/>
        </w:rPr>
        <w:t xml:space="preserve">Confirmación solicitada: </w:t>
      </w:r>
      <w:r>
        <w:rPr>
          <w:rFonts w:ascii="Times New Roman" w:hAnsi="Times New Roman"/>
          <w:b w:val="0"/>
          <w:i w:val="0"/>
          <w:color w:val="000000"/>
          <w:sz w:val="21"/>
        </w:rPr>
        <w:t>He leído y comprendido los lineamientos de clase y laboratorio. Conozco el procedimiento para detener una práctica y reportar una condición insegura.</w:t>
      </w:r>
    </w:p>
    <w:p>
      <w:pPr>
        <w:pStyle w:val="FSEAH1"/>
        <w:pBdr>
          <w:bottom w:val="single" w:sz="5" w:space="2" w:color="B38E3E"/>
        </w:pBdr>
      </w:pPr>
      <w:r>
        <w:t>REFERENCIAS INSTITUCIONALES</w:t>
      </w:r>
    </w:p>
    <w:p>
      <w:pPr>
        <w:numPr>
          <w:ilvl w:val="0"/>
          <w:numId w:val="4"/>
        </w:numPr>
        <w:spacing w:after="60"/>
      </w:pPr>
      <w:r>
        <w:rPr>
          <w:rFonts w:ascii="Times New Roman" w:hAnsi="Times New Roman"/>
          <w:b w:val="0"/>
          <w:i w:val="0"/>
          <w:color w:val="000000"/>
          <w:sz w:val="20"/>
        </w:rPr>
        <w:t>Reglamento de los Laboratorios de la ENES Juriquilla de la UNAM, enero de 2020.</w:t>
      </w:r>
    </w:p>
    <w:p>
      <w:pPr>
        <w:numPr>
          <w:ilvl w:val="0"/>
          <w:numId w:val="4"/>
        </w:numPr>
        <w:spacing w:after="60"/>
      </w:pPr>
      <w:r>
        <w:rPr>
          <w:rFonts w:ascii="Times New Roman" w:hAnsi="Times New Roman"/>
          <w:b w:val="0"/>
          <w:i w:val="0"/>
          <w:color w:val="000000"/>
          <w:sz w:val="20"/>
        </w:rPr>
        <w:t>Reglamento General de Exámenes de la UNAM.</w:t>
      </w:r>
    </w:p>
    <w:p>
      <w:pPr>
        <w:numPr>
          <w:ilvl w:val="0"/>
          <w:numId w:val="4"/>
        </w:numPr>
        <w:spacing w:after="60"/>
      </w:pPr>
      <w:r>
        <w:rPr>
          <w:rFonts w:ascii="Times New Roman" w:hAnsi="Times New Roman"/>
          <w:b w:val="0"/>
          <w:i w:val="0"/>
          <w:color w:val="000000"/>
          <w:sz w:val="20"/>
        </w:rPr>
        <w:t>Defensoría UNAM, guía de evaluación académica y acreditamiento.</w:t>
      </w:r>
    </w:p>
    <w:p>
      <w:pPr>
        <w:numPr>
          <w:ilvl w:val="0"/>
          <w:numId w:val="4"/>
        </w:numPr>
        <w:spacing w:after="60"/>
      </w:pPr>
      <w:r>
        <w:rPr>
          <w:rFonts w:ascii="Times New Roman" w:hAnsi="Times New Roman"/>
          <w:b w:val="0"/>
          <w:i w:val="0"/>
          <w:color w:val="000000"/>
          <w:sz w:val="20"/>
        </w:rPr>
        <w:t>Secretaría Administrativa ENES Juriquilla: https://www.enesjuriquilla.unam.mx/?page_id=5628</w:t>
      </w:r>
    </w:p>
    <w:sectPr w:rsidR="00A37826" w:rsidRPr="003334E8">
      <w:headerReference w:type="default" r:id="rId11"/>
      <w:foot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1BB823" w14:textId="77777777" w:rsidR="00831A4B" w:rsidRDefault="00831A4B" w:rsidP="00AC1EFA">
      <w:pPr>
        <w:spacing w:after="0" w:line="240" w:lineRule="auto"/>
      </w:pPr>
      <w:r>
        <w:separator/>
      </w:r>
    </w:p>
  </w:endnote>
  <w:endnote w:type="continuationSeparator" w:id="0">
    <w:p w14:paraId="6BF9FC95" w14:textId="77777777" w:rsidR="00831A4B" w:rsidRDefault="00831A4B" w:rsidP="00AC1E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47711796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C136825" w14:textId="513516A2" w:rsidR="00CF6663" w:rsidRDefault="00CF6663">
            <w:pPr>
              <w:pStyle w:val="Footer"/>
              <w:jc w:val="right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41917F2" w14:textId="77777777" w:rsidR="00CF6663" w:rsidRDefault="00CF6663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Times New Roman" w:hAnsi="Times New Roman"/>
        <w:b w:val="0"/>
        <w:i w:val="0"/>
        <w:color w:val="000000"/>
        <w:sz w:val="18"/>
      </w:rPr>
      <w:t xml:space="preserve">Página </w:t>
    </w:r>
    <w:r>
      <w:rPr>
        <w:rFonts w:ascii="Times New Roman" w:hAnsi="Times New Roman"/>
        <w:b w:val="0"/>
        <w:i w:val="0"/>
        <w:color w:val="000000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Times New Roman" w:hAnsi="Times New Roman"/>
        <w:b w:val="0"/>
        <w:i w:val="0"/>
        <w:color w:val="000000"/>
        <w:sz w:val="18"/>
      </w:rPr>
      <w:t xml:space="preserve"> de </w:t>
    </w:r>
    <w:r>
      <w:rPr>
        <w:rFonts w:ascii="Times New Roman" w:hAnsi="Times New Roman"/>
        <w:b w:val="0"/>
        <w:i w:val="0"/>
        <w:color w:val="000000"/>
        <w:sz w:val="18"/>
      </w:rPr>
      <w:fldChar w:fldCharType="begin"/>
      <w:instrText xml:space="preserve">NUMPAGES</w:instrText>
      <w:fldChar w:fldCharType="separate"/>
      <w:t>1</w: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CB76A1" w14:textId="77777777" w:rsidR="00831A4B" w:rsidRDefault="00831A4B" w:rsidP="00AC1EFA">
      <w:pPr>
        <w:spacing w:after="0" w:line="240" w:lineRule="auto"/>
      </w:pPr>
      <w:r>
        <w:separator/>
      </w:r>
    </w:p>
  </w:footnote>
  <w:footnote w:type="continuationSeparator" w:id="0">
    <w:p w14:paraId="02535FBB" w14:textId="77777777" w:rsidR="00831A4B" w:rsidRDefault="00831A4B" w:rsidP="00AC1E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4E8D0" w14:textId="495FEE83" w:rsidR="00B31E80" w:rsidRPr="00B31E80" w:rsidRDefault="00B31E80" w:rsidP="00B31E80">
    <w:pPr>
      <w:pStyle w:val="Header"/>
      <w:jc w:val="right"/>
      <w:rPr>
        <w:b/>
        <w:bCs/>
      </w:rPr>
    </w:pPr>
    <w:r w:rsidRPr="00B31E80">
      <w:rPr>
        <w:b/>
        <w:bCs/>
        <w:noProof/>
      </w:rPr>
      <w:drawing>
        <wp:anchor distT="0" distB="0" distL="114300" distR="114300" simplePos="0" relativeHeight="251660288" behindDoc="0" locked="0" layoutInCell="1" allowOverlap="1" wp14:anchorId="7DD53C6C" wp14:editId="0474FF68">
          <wp:simplePos x="0" y="0"/>
          <wp:positionH relativeFrom="column">
            <wp:posOffset>5354955</wp:posOffset>
          </wp:positionH>
          <wp:positionV relativeFrom="paragraph">
            <wp:posOffset>-389890</wp:posOffset>
          </wp:positionV>
          <wp:extent cx="1084587" cy="476250"/>
          <wp:effectExtent l="0" t="0" r="1270" b="0"/>
          <wp:wrapNone/>
          <wp:docPr id="625525100" name="Imagen 2" descr="Texto, 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4076697" name="Imagen 2" descr="Texto, Logotip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4587" cy="4762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31E80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5D357D53" wp14:editId="10900531">
          <wp:simplePos x="0" y="0"/>
          <wp:positionH relativeFrom="column">
            <wp:posOffset>-594360</wp:posOffset>
          </wp:positionH>
          <wp:positionV relativeFrom="paragraph">
            <wp:posOffset>-231775</wp:posOffset>
          </wp:positionV>
          <wp:extent cx="1181100" cy="535065"/>
          <wp:effectExtent l="0" t="0" r="0" b="0"/>
          <wp:wrapNone/>
          <wp:docPr id="1633385566" name="Imagen 1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3385566" name="Imagen 1" descr="Texto&#10;&#10;El contenido generado por IA puede ser incorrecto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81100" cy="5350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 xml:space="preserve"> </w:t>
    </w:r>
    <w:r w:rsidR="00BC79C2">
      <w:t xml:space="preserve">     </w:t>
    </w:r>
    <w:r w:rsidR="00425A3B" w:rsidRPr="00B31E80">
      <w:rPr>
        <w:b/>
        <w:bCs/>
      </w:rPr>
      <w:t xml:space="preserve">PROGRAMA DE ESTUDIOS </w:t>
    </w:r>
    <w:r w:rsidR="00BC79C2" w:rsidRPr="00BC79C2">
      <w:rPr>
        <w:b/>
        <w:bCs/>
      </w:rPr>
      <w:t>ANÁLISIS DE SISTEMAS Y SEÑALES</w:t>
    </w:r>
  </w:p>
  <w:p w14:paraId="320859CF" w14:textId="76982AEC" w:rsidR="00425A3B" w:rsidRPr="00B31E80" w:rsidRDefault="00425A3B" w:rsidP="00B31E80">
    <w:pPr>
      <w:pStyle w:val="Header"/>
      <w:jc w:val="right"/>
      <w:rPr>
        <w:b/>
        <w:bCs/>
      </w:rPr>
    </w:pPr>
    <w:r w:rsidRPr="00B31E80">
      <w:rPr>
        <w:b/>
        <w:bCs/>
      </w:rPr>
      <w:t>CRITERIOS DE EVALUACIÓN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17365D"/>
        <w:sz w:val="17"/>
      </w:rPr>
      <w:t>LINEAMIENTOS DE CLASE Y LABORATORIO - FUNDAMENTOS ANALÓGICOS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506A57B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061AD3"/>
    <w:multiLevelType w:val="multilevel"/>
    <w:tmpl w:val="A18E4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081C79"/>
    <w:multiLevelType w:val="multilevel"/>
    <w:tmpl w:val="066E1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B6E55"/>
    <w:multiLevelType w:val="multilevel"/>
    <w:tmpl w:val="0A969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3A705C"/>
    <w:multiLevelType w:val="multilevel"/>
    <w:tmpl w:val="AE465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636732"/>
    <w:multiLevelType w:val="multilevel"/>
    <w:tmpl w:val="7020D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9E14C8"/>
    <w:multiLevelType w:val="multilevel"/>
    <w:tmpl w:val="AE465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74B80"/>
    <w:multiLevelType w:val="hybridMultilevel"/>
    <w:tmpl w:val="78FAA12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FB35C0"/>
    <w:multiLevelType w:val="multilevel"/>
    <w:tmpl w:val="AE465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8D4D89"/>
    <w:multiLevelType w:val="multilevel"/>
    <w:tmpl w:val="89040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A918BF"/>
    <w:multiLevelType w:val="multilevel"/>
    <w:tmpl w:val="AE465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4B5542"/>
    <w:multiLevelType w:val="multilevel"/>
    <w:tmpl w:val="09CE7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896BFD"/>
    <w:multiLevelType w:val="multilevel"/>
    <w:tmpl w:val="14A6A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DB6FA5"/>
    <w:multiLevelType w:val="multilevel"/>
    <w:tmpl w:val="CDFE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2A1D2C"/>
    <w:multiLevelType w:val="multilevel"/>
    <w:tmpl w:val="AE465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D71DA5"/>
    <w:multiLevelType w:val="multilevel"/>
    <w:tmpl w:val="AE465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1B5F4F"/>
    <w:multiLevelType w:val="multilevel"/>
    <w:tmpl w:val="AE465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401C3E"/>
    <w:multiLevelType w:val="multilevel"/>
    <w:tmpl w:val="7A52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875D18"/>
    <w:multiLevelType w:val="hybridMultilevel"/>
    <w:tmpl w:val="6E1C9B8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F52CEF"/>
    <w:multiLevelType w:val="multilevel"/>
    <w:tmpl w:val="FD065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2170788">
    <w:abstractNumId w:val="19"/>
  </w:num>
  <w:num w:numId="2" w16cid:durableId="1913272116">
    <w:abstractNumId w:val="12"/>
  </w:num>
  <w:num w:numId="3" w16cid:durableId="1109197727">
    <w:abstractNumId w:val="1"/>
  </w:num>
  <w:num w:numId="4" w16cid:durableId="974868945">
    <w:abstractNumId w:val="3"/>
  </w:num>
  <w:num w:numId="5" w16cid:durableId="1268344665">
    <w:abstractNumId w:val="5"/>
  </w:num>
  <w:num w:numId="6" w16cid:durableId="153376751">
    <w:abstractNumId w:val="2"/>
  </w:num>
  <w:num w:numId="7" w16cid:durableId="1858736924">
    <w:abstractNumId w:val="11"/>
  </w:num>
  <w:num w:numId="8" w16cid:durableId="162547989">
    <w:abstractNumId w:val="18"/>
  </w:num>
  <w:num w:numId="9" w16cid:durableId="973145857">
    <w:abstractNumId w:val="13"/>
  </w:num>
  <w:num w:numId="10" w16cid:durableId="742873669">
    <w:abstractNumId w:val="4"/>
  </w:num>
  <w:num w:numId="11" w16cid:durableId="134033367">
    <w:abstractNumId w:val="10"/>
  </w:num>
  <w:num w:numId="12" w16cid:durableId="2079671497">
    <w:abstractNumId w:val="6"/>
  </w:num>
  <w:num w:numId="13" w16cid:durableId="593127777">
    <w:abstractNumId w:val="16"/>
  </w:num>
  <w:num w:numId="14" w16cid:durableId="1794326502">
    <w:abstractNumId w:val="15"/>
  </w:num>
  <w:num w:numId="15" w16cid:durableId="1370257170">
    <w:abstractNumId w:val="8"/>
  </w:num>
  <w:num w:numId="16" w16cid:durableId="1371107996">
    <w:abstractNumId w:val="14"/>
  </w:num>
  <w:num w:numId="17" w16cid:durableId="994643738">
    <w:abstractNumId w:val="17"/>
  </w:num>
  <w:num w:numId="18" w16cid:durableId="510996472">
    <w:abstractNumId w:val="9"/>
  </w:num>
  <w:num w:numId="19" w16cid:durableId="1041781639">
    <w:abstractNumId w:val="7"/>
  </w:num>
  <w:num w:numId="20" w16cid:durableId="1821728432">
    <w:abstractNumId w:val="0"/>
  </w:num>
  <w:num w:numId="21">
    <w:abstractNumId w:val="1"/>
    <w:lvlOverride w:ilvl="0">
      <w:startOverride w:val="1"/>
    </w:lvlOverride>
  </w:num>
  <w:num w:numId="2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A04"/>
    <w:rsid w:val="0000500A"/>
    <w:rsid w:val="000819BE"/>
    <w:rsid w:val="0009000E"/>
    <w:rsid w:val="0009440A"/>
    <w:rsid w:val="00095CC8"/>
    <w:rsid w:val="000A2E2E"/>
    <w:rsid w:val="000D6DB6"/>
    <w:rsid w:val="000E1D04"/>
    <w:rsid w:val="00122BA8"/>
    <w:rsid w:val="00154CBB"/>
    <w:rsid w:val="00197D07"/>
    <w:rsid w:val="001A2D54"/>
    <w:rsid w:val="001D7ABD"/>
    <w:rsid w:val="001E5D2C"/>
    <w:rsid w:val="00231109"/>
    <w:rsid w:val="0025762A"/>
    <w:rsid w:val="00263CED"/>
    <w:rsid w:val="002B5386"/>
    <w:rsid w:val="002B6EFA"/>
    <w:rsid w:val="00330955"/>
    <w:rsid w:val="003334E8"/>
    <w:rsid w:val="00341D1A"/>
    <w:rsid w:val="00366EAB"/>
    <w:rsid w:val="003F3AE5"/>
    <w:rsid w:val="00425A3B"/>
    <w:rsid w:val="004352F8"/>
    <w:rsid w:val="00447790"/>
    <w:rsid w:val="004B63C0"/>
    <w:rsid w:val="004C6DA1"/>
    <w:rsid w:val="004D1E59"/>
    <w:rsid w:val="004E2835"/>
    <w:rsid w:val="0050525A"/>
    <w:rsid w:val="00514B8E"/>
    <w:rsid w:val="00520DCD"/>
    <w:rsid w:val="00527BAF"/>
    <w:rsid w:val="00535FAD"/>
    <w:rsid w:val="00556229"/>
    <w:rsid w:val="00563650"/>
    <w:rsid w:val="005F03D4"/>
    <w:rsid w:val="0060004B"/>
    <w:rsid w:val="006106D0"/>
    <w:rsid w:val="006129E5"/>
    <w:rsid w:val="00666386"/>
    <w:rsid w:val="00687028"/>
    <w:rsid w:val="006B1FC8"/>
    <w:rsid w:val="006F6ABF"/>
    <w:rsid w:val="0071658E"/>
    <w:rsid w:val="00725D24"/>
    <w:rsid w:val="0074073B"/>
    <w:rsid w:val="007468FB"/>
    <w:rsid w:val="00763AFE"/>
    <w:rsid w:val="007778D2"/>
    <w:rsid w:val="00781027"/>
    <w:rsid w:val="00783FA8"/>
    <w:rsid w:val="00785618"/>
    <w:rsid w:val="00791D5C"/>
    <w:rsid w:val="00795C5C"/>
    <w:rsid w:val="00797FBE"/>
    <w:rsid w:val="007C04BD"/>
    <w:rsid w:val="007E1785"/>
    <w:rsid w:val="00823A40"/>
    <w:rsid w:val="00831A4B"/>
    <w:rsid w:val="00841641"/>
    <w:rsid w:val="0087664B"/>
    <w:rsid w:val="0088106F"/>
    <w:rsid w:val="008A4C4E"/>
    <w:rsid w:val="008F5C08"/>
    <w:rsid w:val="00900138"/>
    <w:rsid w:val="00901331"/>
    <w:rsid w:val="00906F2B"/>
    <w:rsid w:val="009736F8"/>
    <w:rsid w:val="00973EB5"/>
    <w:rsid w:val="009B5095"/>
    <w:rsid w:val="00A367BF"/>
    <w:rsid w:val="00A37826"/>
    <w:rsid w:val="00A94243"/>
    <w:rsid w:val="00AC1EFA"/>
    <w:rsid w:val="00AF2FA0"/>
    <w:rsid w:val="00AF37DF"/>
    <w:rsid w:val="00B12E69"/>
    <w:rsid w:val="00B31E80"/>
    <w:rsid w:val="00B5001A"/>
    <w:rsid w:val="00B51AE0"/>
    <w:rsid w:val="00B66E62"/>
    <w:rsid w:val="00BC79C2"/>
    <w:rsid w:val="00BD7105"/>
    <w:rsid w:val="00C234E0"/>
    <w:rsid w:val="00C52561"/>
    <w:rsid w:val="00CB20EE"/>
    <w:rsid w:val="00CB4A04"/>
    <w:rsid w:val="00CF04E0"/>
    <w:rsid w:val="00CF6663"/>
    <w:rsid w:val="00CF7DC9"/>
    <w:rsid w:val="00D25C77"/>
    <w:rsid w:val="00D5005F"/>
    <w:rsid w:val="00D65657"/>
    <w:rsid w:val="00D7595D"/>
    <w:rsid w:val="00D95661"/>
    <w:rsid w:val="00DA000B"/>
    <w:rsid w:val="00E258DD"/>
    <w:rsid w:val="00E31B06"/>
    <w:rsid w:val="00E77487"/>
    <w:rsid w:val="00E81E65"/>
    <w:rsid w:val="00E94D3D"/>
    <w:rsid w:val="00EA6E4C"/>
    <w:rsid w:val="00EB451D"/>
    <w:rsid w:val="00EC124A"/>
    <w:rsid w:val="00ED097A"/>
    <w:rsid w:val="00ED6624"/>
    <w:rsid w:val="00EF3880"/>
    <w:rsid w:val="00F03407"/>
    <w:rsid w:val="00F0727D"/>
    <w:rsid w:val="00F2242A"/>
    <w:rsid w:val="00F323C7"/>
    <w:rsid w:val="00F36981"/>
    <w:rsid w:val="00F433D7"/>
    <w:rsid w:val="00F84B1B"/>
    <w:rsid w:val="00F926DF"/>
    <w:rsid w:val="00FC0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A94D1"/>
  <w15:chartTrackingRefBased/>
  <w15:docId w15:val="{88FE0E12-CB59-4E19-8EEE-9A4BB2EC0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0" w:line="240" w:lineRule="auto"/>
    </w:pPr>
    <w:rPr>
      <w:rFonts w:ascii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4A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4A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A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A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A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A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A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A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A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A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B4A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A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A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A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A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A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A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A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A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A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A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A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A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A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A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A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A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A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A0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1EF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1EFA"/>
  </w:style>
  <w:style w:type="paragraph" w:styleId="Footer">
    <w:name w:val="footer"/>
    <w:basedOn w:val="Normal"/>
    <w:link w:val="FooterChar"/>
    <w:uiPriority w:val="99"/>
    <w:unhideWhenUsed/>
    <w:rsid w:val="00AC1EF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1EFA"/>
  </w:style>
  <w:style w:type="table" w:styleId="TableGrid">
    <w:name w:val="Table Grid"/>
    <w:basedOn w:val="TableNormal"/>
    <w:uiPriority w:val="59"/>
    <w:rsid w:val="00AF2FA0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258D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58DD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qFormat/>
    <w:rsid w:val="00BC79C2"/>
    <w:pPr>
      <w:spacing w:before="180" w:after="180" w:line="240" w:lineRule="auto"/>
    </w:pPr>
    <w:rPr>
      <w:kern w:val="0"/>
      <w:sz w:val="24"/>
      <w:szCs w:val="24"/>
      <w:lang w:val="es"/>
      <w14:ligatures w14:val="none"/>
    </w:rPr>
  </w:style>
  <w:style w:type="character" w:customStyle="1" w:styleId="BodyTextChar">
    <w:name w:val="Body Text Char"/>
    <w:basedOn w:val="DefaultParagraphFont"/>
    <w:link w:val="BodyText"/>
    <w:rsid w:val="00BC79C2"/>
    <w:rPr>
      <w:kern w:val="0"/>
      <w:sz w:val="24"/>
      <w:szCs w:val="24"/>
      <w:lang w:val="es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BC79C2"/>
  </w:style>
  <w:style w:type="paragraph" w:styleId="BlockText">
    <w:name w:val="Block Text"/>
    <w:basedOn w:val="BodyText"/>
    <w:next w:val="BodyText"/>
    <w:uiPriority w:val="9"/>
    <w:unhideWhenUsed/>
    <w:qFormat/>
    <w:rsid w:val="00BC79C2"/>
    <w:pPr>
      <w:spacing w:before="100" w:after="100"/>
      <w:ind w:left="480" w:right="480"/>
    </w:pPr>
  </w:style>
  <w:style w:type="character" w:customStyle="1" w:styleId="VerbatimChar">
    <w:name w:val="Verbatim Char"/>
    <w:basedOn w:val="DefaultParagraphFont"/>
    <w:link w:val="SourceCode"/>
    <w:rsid w:val="00BC79C2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BC79C2"/>
    <w:pPr>
      <w:wordWrap w:val="0"/>
      <w:spacing w:after="200" w:line="240" w:lineRule="auto"/>
    </w:pPr>
    <w:rPr>
      <w:rFonts w:ascii="Consolas" w:hAnsi="Consolas"/>
    </w:rPr>
  </w:style>
  <w:style w:type="paragraph" w:customStyle="1" w:styleId="FSEATitle">
    <w:name w:val="FSEA Title"/>
    <w:pPr>
      <w:keepNext/>
      <w:spacing w:before="0" w:after="160"/>
    </w:pPr>
    <w:rPr>
      <w:rFonts w:ascii="Arial" w:hAnsi="Arial"/>
      <w:b/>
      <w:color w:val="17365D"/>
      <w:sz w:val="34"/>
    </w:rPr>
  </w:style>
  <w:style w:type="paragraph" w:customStyle="1" w:styleId="FSEASubtitle">
    <w:name w:val="FSEA Subtitle"/>
    <w:pPr>
      <w:keepNext/>
      <w:spacing w:before="0" w:after="80"/>
    </w:pPr>
    <w:rPr>
      <w:rFonts w:ascii="Arial" w:hAnsi="Arial"/>
      <w:b w:val="0"/>
      <w:color w:val="000000"/>
      <w:sz w:val="21"/>
    </w:rPr>
  </w:style>
  <w:style w:type="paragraph" w:customStyle="1" w:styleId="FSEAH1">
    <w:name w:val="FSEA H1"/>
    <w:pPr>
      <w:keepNext/>
      <w:spacing w:before="160" w:after="60"/>
    </w:pPr>
    <w:rPr>
      <w:rFonts w:ascii="Arial" w:hAnsi="Arial"/>
      <w:b/>
      <w:color w:val="17365D"/>
      <w:sz w:val="24"/>
    </w:rPr>
  </w:style>
  <w:style w:type="paragraph" w:customStyle="1" w:styleId="FSEAH2">
    <w:name w:val="FSEA H2"/>
    <w:pPr>
      <w:keepNext/>
      <w:spacing w:before="160" w:after="60"/>
    </w:pPr>
    <w:rPr>
      <w:rFonts w:ascii="Arial" w:hAnsi="Arial"/>
      <w:b/>
      <w:color w:val="17365D"/>
      <w:sz w:val="22"/>
    </w:rPr>
  </w:style>
  <w:style w:type="paragraph" w:customStyle="1" w:styleId="FSEAWeek">
    <w:name w:val="FSEA Week"/>
    <w:pPr>
      <w:keepNext/>
      <w:spacing w:before="120" w:after="40"/>
    </w:pPr>
    <w:rPr>
      <w:rFonts w:ascii="Arial" w:hAnsi="Arial"/>
      <w:b/>
      <w:color w:val="000000"/>
      <w:sz w:val="21"/>
    </w:rPr>
  </w:style>
  <w:style w:type="paragraph" w:customStyle="1" w:styleId="FSEANote">
    <w:name w:val="FSEA Note"/>
    <w:pPr>
      <w:keepNext/>
      <w:spacing w:before="120" w:after="120"/>
    </w:pPr>
    <w:rPr>
      <w:rFonts w:ascii="Times New Roman" w:hAnsi="Times New Roman"/>
      <w:b w:val="0"/>
      <w:color w:val="17365D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62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01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4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558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979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350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18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221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1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9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08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09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635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572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5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072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610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1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9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0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11</Pages>
  <Words>3623</Words>
  <Characters>21307</Characters>
  <Application>Microsoft Office Word</Application>
  <DocSecurity>0</DocSecurity>
  <Lines>426</Lines>
  <Paragraphs>164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Lineamientos de clase, laboratorio y entrega</dc:title>
  <dc:subject>Fundamentos de Sistemas Electrónicos Analógicos, semestre 2027-1</dc:subject>
  <dc:creator>José de Jesús Santana Ramírez</dc:creator>
  <cp:keywords>UNAM, ENES Juriquilla, Ingeniería Aeroespacial, electrónica analógica</cp:keywords>
  <dc:description/>
  <cp:lastModifiedBy>José de Jesús Santana Ramírez</cp:lastModifiedBy>
  <cp:revision>10</cp:revision>
  <cp:lastPrinted>2025-08-20T04:48:00Z</cp:lastPrinted>
  <dcterms:created xsi:type="dcterms:W3CDTF">2026-02-03T14:59:00Z</dcterms:created>
  <dcterms:modified xsi:type="dcterms:W3CDTF">2026-02-03T16:21:00Z</dcterms:modified>
</cp:coreProperties>
</file>