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color w:val="5B6472"/>
          <w:sz w:val="30"/>
          <w:szCs w:val="30"/>
        </w:rPr>
        <w:t xml:space="preserve">TP Integrador</w:t>
      </w:r>
    </w:p>
    <w:p>
      <w:pPr>
        <w:pBdr>
          <w:bottom w:val="single" w:color="FF6B4A" w:sz="18" w:space="8"/>
        </w:pBdr>
        <w:spacing w:after="400"/>
      </w:pPr>
      <w:r>
        <w:rPr>
          <w:b/>
          <w:bCs/>
          <w:color w:val="1B3A6B"/>
          <w:sz w:val="44"/>
          <w:szCs w:val="44"/>
        </w:rPr>
        <w:t xml:space="preserve">Plataforma de búsqueda de primera experiencia laboral</w:t>
      </w:r>
    </w:p>
    <w:p>
      <w:pPr>
        <w:spacing w:after="1400"/>
      </w:pPr>
      <w:r>
        <w:rPr>
          <w:color w:val="14181F"/>
          <w:sz w:val="30"/>
          <w:szCs w:val="30"/>
        </w:rPr>
        <w:t xml:space="preserve">Etapa 2 — Producto e Identidad Visual</w:t>
      </w:r>
    </w:p>
    <w:p>
      <w:pPr>
        <w:spacing w:after="20"/>
      </w:pPr>
      <w:r>
        <w:rPr>
          <w:b/>
          <w:bCs/>
          <w:color w:val="5B6472"/>
          <w:sz w:val="16"/>
          <w:szCs w:val="16"/>
        </w:rPr>
        <w:t xml:space="preserve">CURSO</w:t>
      </w:r>
    </w:p>
    <w:p>
      <w:pPr>
        <w:spacing w:after="220"/>
      </w:pPr>
      <w:r>
        <w:rPr>
          <w:color w:val="14181F"/>
          <w:sz w:val="24"/>
          <w:szCs w:val="24"/>
        </w:rPr>
        <w:t xml:space="preserve">Diseño y Maquetado Web</w:t>
      </w:r>
    </w:p>
    <w:p>
      <w:pPr>
        <w:spacing w:after="20"/>
      </w:pPr>
      <w:r>
        <w:rPr>
          <w:b/>
          <w:bCs/>
          <w:color w:val="5B6472"/>
          <w:sz w:val="16"/>
          <w:szCs w:val="16"/>
        </w:rPr>
        <w:t xml:space="preserve">PROFESORA</w:t>
      </w:r>
    </w:p>
    <w:p>
      <w:pPr>
        <w:spacing w:after="220"/>
      </w:pPr>
      <w:r>
        <w:rPr>
          <w:color w:val="14181F"/>
          <w:sz w:val="24"/>
          <w:szCs w:val="24"/>
        </w:rPr>
        <w:t xml:space="preserve">Mailén Brandao</w:t>
      </w:r>
    </w:p>
    <w:p>
      <w:pPr>
        <w:spacing w:after="20"/>
      </w:pPr>
      <w:r>
        <w:rPr>
          <w:b/>
          <w:bCs/>
          <w:color w:val="5B6472"/>
          <w:sz w:val="16"/>
          <w:szCs w:val="16"/>
        </w:rPr>
        <w:t xml:space="preserve">CICLO LECTIVO</w:t>
      </w:r>
    </w:p>
    <w:p>
      <w:pPr>
        <w:spacing w:after="220"/>
      </w:pPr>
      <w:r>
        <w:rPr>
          <w:color w:val="14181F"/>
          <w:sz w:val="24"/>
          <w:szCs w:val="24"/>
        </w:rPr>
        <w:t xml:space="preserve">2026</w:t>
      </w:r>
    </w:p>
    <w:p>
      <w:pPr>
        <w:spacing w:after="20"/>
      </w:pPr>
      <w:r>
        <w:rPr>
          <w:b/>
          <w:bCs/>
          <w:color w:val="5B6472"/>
          <w:sz w:val="16"/>
          <w:szCs w:val="16"/>
        </w:rPr>
        <w:t xml:space="preserve">INTEGRANTES</w:t>
      </w:r>
    </w:p>
    <w:p>
      <w:pPr>
        <w:spacing w:after="220"/>
      </w:pPr>
      <w:r>
        <w:rPr>
          <w:color w:val="14181F"/>
          <w:sz w:val="24"/>
          <w:szCs w:val="24"/>
        </w:rPr>
        <w:t xml:space="preserve">Regidor, Lazzatti y Guerra</w:t>
      </w:r>
    </w:p>
    <w:p>
      <w:pPr>
        <w:spacing w:after="20"/>
      </w:pPr>
      <w:r>
        <w:rPr>
          <w:b/>
          <w:bCs/>
          <w:color w:val="5B6472"/>
          <w:sz w:val="16"/>
          <w:szCs w:val="16"/>
        </w:rPr>
        <w:t xml:space="preserve">GUÍA VISUAL EN FIGMA</w:t>
      </w:r>
    </w:p>
    <w:p>
      <w:pPr>
        <w:spacing w:after="220"/>
      </w:pPr>
      <w:hyperlink w:history="1" r:id="rIdnztzh463crcnjuxebdslq">
        <w:r>
          <w:rPr>
            <w:b/>
            <w:bCs/>
            <w:color w:val="1B3A6B"/>
            <w:u w:val="single"/>
          </w:rPr>
          <w:t xml:space="preserve">Labor.io – Guía de estilo (prototipo en Figma)</w:t>
        </w:r>
      </w:hyperlink>
    </w:p>
    <w:p>
      <w:r>
        <w:br w:type="page"/>
      </w:r>
    </w:p>
    <w:p>
      <w:pPr>
        <w:sectPr>
          <w:pgSz w:w="11906" w:h="16838" w:orient="portrait"/>
          <w:pgMar w:top="1134" w:right="1134" w:bottom="1134" w:left="1134" w:header="708" w:footer="708" w:gutter="0"/>
          <w:pgNumType/>
          <w:docGrid w:linePitch="360"/>
        </w:sectPr>
      </w:pPr>
    </w:p>
    <w:p>
      <w:pPr>
        <w:spacing w:after="60"/>
      </w:pPr>
      <w:r>
        <w:rPr>
          <w:b/>
          <w:bCs/>
          <w:color w:val="1B3A6B"/>
          <w:sz w:val="52"/>
          <w:szCs w:val="52"/>
        </w:rPr>
        <w:t xml:space="preserve">Labor.io</w:t>
      </w:r>
    </w:p>
    <w:p>
      <w:pPr>
        <w:spacing w:after="320"/>
      </w:pPr>
      <w:r>
        <w:rPr>
          <w:color w:val="5B6472"/>
          <w:sz w:val="24"/>
          <w:szCs w:val="24"/>
        </w:rPr>
        <w:t xml:space="preserve">Sistema de diseño y definición del producto</w:t>
      </w:r>
    </w:p>
    <w:p>
      <w:pPr>
        <w:pStyle w:val="Heading1"/>
      </w:pPr>
      <w:r>
        <w:t xml:space="preserve">1. Definición del producto</w:t>
      </w:r>
    </w:p>
    <w:p>
      <w:pPr>
        <w:pStyle w:val="Heading2"/>
      </w:pPr>
      <w:r>
        <w:t xml:space="preserve">1.1 Concepto</w:t>
      </w:r>
    </w:p>
    <w:p>
      <w:pPr>
        <w:spacing w:after="140" w:line="300"/>
      </w:pPr>
      <w:r>
        <w:t xml:space="preserve">Labor.io es una plataforma web responsive de búsqueda de empleo pensada para perfiles junior: personas que buscan su primer empleo, una pasantía o un puesto de entrada. Su idea central es simple: que buscar trabajo por primera vez se sienta como un proceso acompañado y claro, no como un examen.</w:t>
      </w:r>
    </w:p>
    <w:p>
      <w:pPr>
        <w:spacing w:after="140" w:line="300"/>
      </w:pPr>
      <w:r>
        <w:rPr>
          <w:b/>
          <w:bCs/>
          <w:color w:val="1B3A6B"/>
        </w:rPr>
        <w:t xml:space="preserve">Público objetivo: </w:t>
      </w:r>
      <w:r>
        <w:t xml:space="preserve">personas de 18 a 35 años, con foco en quienes no tienen experiencia laboral formal o tienen muy poca. Usan la plataforma principalmente desde el celular, por lo que el diseño parte de mobile y luego se adapta a escritorio.</w:t>
      </w:r>
    </w:p>
    <w:p>
      <w:pPr>
        <w:pStyle w:val="Heading2"/>
      </w:pPr>
      <w:r>
        <w:t xml:space="preserve">1.2 Problema principal a resolver</w:t>
      </w:r>
    </w:p>
    <w:p>
      <w:pPr>
        <w:spacing w:after="140" w:line="300"/>
      </w:pPr>
      <w:r>
        <w:t xml:space="preserve">Las plataformas tradicionales de empleo están pensadas para perfiles con trayectoria. Para una persona junior, eso se traduce en cuatro dificultades concretas:</w:t>
      </w:r>
    </w:p>
    <w:p>
      <w:pPr>
        <w:pStyle w:val="ListParagraph"/>
        <w:numPr>
          <w:ilvl w:val="0"/>
          <w:numId w:val="2"/>
        </w:numPr>
        <w:spacing w:after="80" w:line="290"/>
      </w:pPr>
      <w:r>
        <w:rPr>
          <w:b/>
          <w:bCs/>
        </w:rPr>
        <w:t xml:space="preserve">Perfiles interminables: </w:t>
      </w:r>
      <w:r>
        <w:t xml:space="preserve">la creación de perfil pide decenas de campos, muchos de ellos pensados para gente con experiencia, y termina abandonándose a mitad de camino.</w:t>
      </w:r>
    </w:p>
    <w:p>
      <w:pPr>
        <w:pStyle w:val="ListParagraph"/>
        <w:numPr>
          <w:ilvl w:val="0"/>
          <w:numId w:val="2"/>
        </w:numPr>
        <w:spacing w:after="80" w:line="290"/>
      </w:pPr>
      <w:r>
        <w:rPr>
          <w:b/>
          <w:bCs/>
        </w:rPr>
        <w:t xml:space="preserve">Poca información sobre las empresas: </w:t>
      </w:r>
      <w:r>
        <w:t xml:space="preserve">las ofertas muestran el puesto, pero casi nada sobre quién publica, cómo trabaja o cómo es su proceso de selección.</w:t>
      </w:r>
    </w:p>
    <w:p>
      <w:pPr>
        <w:pStyle w:val="ListParagraph"/>
        <w:numPr>
          <w:ilvl w:val="0"/>
          <w:numId w:val="2"/>
        </w:numPr>
        <w:spacing w:after="80" w:line="290"/>
      </w:pPr>
      <w:r>
        <w:rPr>
          <w:b/>
          <w:bCs/>
        </w:rPr>
        <w:t xml:space="preserve">Interfaces densas: </w:t>
      </w:r>
      <w:r>
        <w:t xml:space="preserve">mucho texto, jerga corporativa y demasiadas opciones al mismo tiempo, lo que hace que el usuario no sepa por dónde empezar.</w:t>
      </w:r>
    </w:p>
    <w:p>
      <w:pPr>
        <w:pStyle w:val="ListParagraph"/>
        <w:numPr>
          <w:ilvl w:val="0"/>
          <w:numId w:val="2"/>
        </w:numPr>
        <w:spacing w:after="80" w:line="290"/>
      </w:pPr>
      <w:r>
        <w:rPr>
          <w:b/>
          <w:bCs/>
        </w:rPr>
        <w:t xml:space="preserve">Falta de guía: </w:t>
      </w:r>
      <w:r>
        <w:t xml:space="preserve">el usuario no sabe qué paso sigue, si su perfil está bien armado ni qué pasó con sus postulaciones.</w:t>
      </w:r>
    </w:p>
    <w:p>
      <w:pPr>
        <w:spacing w:after="140" w:line="300"/>
      </w:pPr>
      <w:r>
        <w:t xml:space="preserve">El resultado es que la persona se siente perdida y evaluada, justo en el momento en que más necesita orientación.</w:t>
      </w:r>
    </w:p>
    <w:p>
      <w:pPr>
        <w:pStyle w:val="Heading2"/>
      </w:pPr>
      <w:r>
        <w:t xml:space="preserve">1.3 Principios de experiencia (UX)</w:t>
      </w:r>
    </w:p>
    <w:p>
      <w:pPr>
        <w:spacing w:after="140" w:line="300"/>
      </w:pPr>
      <w:r>
        <w:t xml:space="preserve">Estos tres principios guían todas las decisiones de diseño. Si una pantalla o funcionalidad no cumple con alguno, se revisa.</w:t>
      </w:r>
    </w:p>
    <w:p>
      <w:pPr>
        <w:pStyle w:val="ListParagraph"/>
        <w:numPr>
          <w:ilvl w:val="0"/>
          <w:numId w:val="2"/>
        </w:numPr>
        <w:spacing w:after="80" w:line="290"/>
      </w:pPr>
      <w:r>
        <w:rPr>
          <w:b/>
          <w:bCs/>
        </w:rPr>
        <w:t xml:space="preserve">Minimalista y pragmático: </w:t>
      </w:r>
      <w:r>
        <w:t xml:space="preserve">cada pantalla tiene un objetivo y una sola acción principal. Se muestra solo la información necesaria para decidir; el resto queda a un toque de distancia.</w:t>
      </w:r>
    </w:p>
    <w:p>
      <w:pPr>
        <w:pStyle w:val="ListParagraph"/>
        <w:numPr>
          <w:ilvl w:val="0"/>
          <w:numId w:val="2"/>
        </w:numPr>
        <w:spacing w:after="80" w:line="290"/>
      </w:pPr>
      <w:r>
        <w:rPr>
          <w:b/>
          <w:bCs/>
        </w:rPr>
        <w:t xml:space="preserve">Guiado: </w:t>
      </w:r>
      <w:r>
        <w:t xml:space="preserve">el usuario siempre sabe dónde está, qué tiene que hacer y qué viene después. Para eso se usan pasos numerados, barras de progreso y estados visibles.</w:t>
      </w:r>
    </w:p>
    <w:p>
      <w:pPr>
        <w:pStyle w:val="ListParagraph"/>
        <w:numPr>
          <w:ilvl w:val="0"/>
          <w:numId w:val="2"/>
        </w:numPr>
        <w:spacing w:after="80" w:line="290"/>
      </w:pPr>
      <w:r>
        <w:rPr>
          <w:b/>
          <w:bCs/>
        </w:rPr>
        <w:t xml:space="preserve">Pensado para juniors: </w:t>
      </w:r>
      <w:r>
        <w:t xml:space="preserve">lenguaje simple y cercano (voseo), sin jerga corporativa. Se valoran la formación, los proyectos personales y las habilidades, no solo la experiencia previa.</w:t>
      </w:r>
    </w:p>
    <w:p>
      <w:pPr>
        <w:pStyle w:val="Heading2"/>
      </w:pPr>
      <w:r>
        <w:t xml:space="preserve">1.4 Funcionalidades clave</w:t>
      </w:r>
    </w:p>
    <w:p>
      <w:pPr>
        <w:spacing w:after="140" w:line="300"/>
      </w:pPr>
      <w:r>
        <w:rPr>
          <w:b/>
          <w:bCs/>
          <w:color w:val="1B3A6B"/>
        </w:rPr>
        <w:t xml:space="preserve">Creación de perfil guiada. </w:t>
      </w:r>
      <w:r>
        <w:t xml:space="preserve">En lugar de un formulario largo, el perfil se arma respondiendo preguntas concretas, de a bloques cortos y con una barra de progreso. Solo los datos esenciales son obligatorios; el resto se puede completar después, sin bloquear el uso de la plataforma.</w:t>
      </w:r>
    </w:p>
    <w:p>
      <w:pPr>
        <w:spacing w:after="140" w:line="300"/>
      </w:pPr>
      <w:r>
        <w:rPr>
          <w:b/>
          <w:bCs/>
          <w:color w:val="1B3A6B"/>
        </w:rPr>
        <w:t xml:space="preserve">Constructor de CV. </w:t>
      </w:r>
      <w:r>
        <w:t xml:space="preserve">El usuario completa un formulario (datos personales, formación, experiencia o proyectos, habilidades e idiomas) y la plataforma genera automáticamente un CV con formato prolijo. Ese CV se adjunta solo en cada postulación dentro de Labor.io y también se puede exportar como PDF para usarlo afuera. Así, nadie tiene que diseñar un CV desde cero para empezar a postularse.</w:t>
      </w:r>
    </w:p>
    <w:p>
      <w:pPr>
        <w:spacing w:after="140" w:line="300"/>
      </w:pPr>
      <w:r>
        <w:rPr>
          <w:b/>
          <w:bCs/>
          <w:color w:val="1B3A6B"/>
        </w:rPr>
        <w:t xml:space="preserve">Análisis de perfil con IA. </w:t>
      </w:r>
      <w:r>
        <w:t xml:space="preserve">Una IA revisa el perfil y el CV y devuelve sugerencias concretas: qué datos faltan, cómo describir mejor un proyecto o qué habilidades conviene destacar según las ofertas que el usuario busca. Funciona como asistente: sugiere, pero la decisión final siempre es del usuario.</w:t>
      </w:r>
    </w:p>
    <w:p>
      <w:pPr>
        <w:spacing w:after="140" w:line="300"/>
      </w:pPr>
      <w:r>
        <w:rPr>
          <w:b/>
          <w:bCs/>
          <w:color w:val="1B3A6B"/>
        </w:rPr>
        <w:t xml:space="preserve">Ficha de empresa. </w:t>
      </w:r>
      <w:r>
        <w:t xml:space="preserve">Cada oferta lleva a una ficha con información clara de la empresa que publica: a qué se dedica, tamaño, ubicación, modalidad de trabajo y cómo es su proceso de selección. Ataca directamente la falta de información sobre las empresas.</w:t>
      </w:r>
    </w:p>
    <w:p>
      <w:pPr>
        <w:spacing w:after="140" w:line="300"/>
      </w:pPr>
      <w:r>
        <w:rPr>
          <w:b/>
          <w:bCs/>
          <w:color w:val="1B3A6B"/>
        </w:rPr>
        <w:t xml:space="preserve">Postulación simple con seguimiento. </w:t>
      </w:r>
      <w:r>
        <w:t xml:space="preserve">El botón «Postularme» envía el CV generado sin formularios extra. Después, un panel de postulaciones muestra el estado de cada una (por ejemplo, «Enviada», «Vista», «En revisión») para que el usuario no quede sin respuesta.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Problema detectado</w:t>
            </w:r>
          </w:p>
        </w:tc>
        <w:tc>
          <w:tcPr>
            <w:tcW w:type="dxa" w:w="6038"/>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Funcionalidad que lo resuelve</w:t>
            </w:r>
          </w:p>
        </w:tc>
      </w:tr>
      <w:tr>
        <w:tc>
          <w:tcPr>
            <w:tcW w:type="dxa" w:w="36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Perfiles interminables</w:t>
            </w:r>
          </w:p>
        </w:tc>
        <w:tc>
          <w:tcPr>
            <w:tcW w:type="dxa" w:w="60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Creación de perfil guiada + constructor de CV</w:t>
            </w:r>
          </w:p>
        </w:tc>
      </w:tr>
      <w:tr>
        <w:tc>
          <w:tcPr>
            <w:tcW w:type="dxa" w:w="36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Poca información sobre las empresas</w:t>
            </w:r>
          </w:p>
        </w:tc>
        <w:tc>
          <w:tcPr>
            <w:tcW w:type="dxa" w:w="60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Ficha de empresa</w:t>
            </w:r>
          </w:p>
        </w:tc>
      </w:tr>
      <w:tr>
        <w:tc>
          <w:tcPr>
            <w:tcW w:type="dxa" w:w="36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No saber si el perfil está bien armado</w:t>
            </w:r>
          </w:p>
        </w:tc>
        <w:tc>
          <w:tcPr>
            <w:tcW w:type="dxa" w:w="60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Análisis de perfil con IA</w:t>
            </w:r>
          </w:p>
        </w:tc>
      </w:tr>
      <w:tr>
        <w:tc>
          <w:tcPr>
            <w:tcW w:type="dxa" w:w="36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No saber qué pasó con una postulación</w:t>
            </w:r>
          </w:p>
        </w:tc>
        <w:tc>
          <w:tcPr>
            <w:tcW w:type="dxa" w:w="60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Postulación simple con seguimiento de estados</w:t>
            </w:r>
          </w:p>
        </w:tc>
      </w:tr>
    </w:tbl>
    <w:p>
      <w:pPr>
        <w:spacing w:after="220" w:before="60"/>
      </w:pPr>
      <w:r>
        <w:rPr>
          <w:i/>
          <w:iCs/>
          <w:color w:val="5B6472"/>
          <w:sz w:val="17"/>
          <w:szCs w:val="17"/>
        </w:rPr>
        <w:t xml:space="preserve">Tabla 1 — Relación entre los problemas detectados y las funcionalidades de Labor.io.</w:t>
      </w:r>
    </w:p>
    <w:p>
      <w:pPr>
        <w:pStyle w:val="Heading1"/>
      </w:pPr>
      <w:r>
        <w:t xml:space="preserve">2. Identidad visual y paleta (regla 60-30-10)</w:t>
      </w:r>
    </w:p>
    <w:p>
      <w:pPr>
        <w:spacing w:after="140" w:line="300"/>
      </w:pPr>
      <w:r>
        <w:t xml:space="preserve">La paleta sigue la regla 60-30-10: un color neutro domina la pantalla, un color de marca estructura la interfaz y un acento se reserva para las acciones importantes. Cada color tiene una versión para modo claro y otra para modo oscuro. El modo oscuro no es una simple inversión: cada color se redefine para mantener la proporción y el contraste.</w:t>
      </w:r>
    </w:p>
    <w:p>
      <w:pPr>
        <w:spacing w:after="140" w:line="300"/>
      </w:pPr>
      <w:r>
        <w:t xml:space="preserve">La guía visual completa, con las muestras de color aplicadas a pantallas reales en ambos modos, se puede ver en </w:t>
      </w:r>
      <w:hyperlink w:history="1" r:id="rIdtamq_ei2ocp-fgd0ablzg">
        <w:r>
          <w:rPr>
            <w:b/>
            <w:bCs/>
            <w:color w:val="1B3A6B"/>
            <w:u w:val="single"/>
          </w:rPr>
          <w:t xml:space="preserve">el prototipo de Figma</w:t>
        </w:r>
      </w:hyperlink>
      <w:r>
        <w:t xml:space="preserve">.</w:t>
      </w:r>
    </w:p>
    <w:p>
      <w:pPr>
        <w:pStyle w:val="Heading2"/>
      </w:pPr>
      <w:r>
        <w:t xml:space="preserve">2.1 Modo claro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00"/>
        <w:gridCol w:w="4838"/>
      </w:tblGrid>
      <w:tr>
        <w:trPr>
          <w:tblHeader/>
        </w:trPr>
        <w:tc>
          <w:tcPr>
            <w:tcW w:type="dxa" w:w="13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Muestra</w:t>
            </w:r>
          </w:p>
        </w:tc>
        <w:tc>
          <w:tcPr>
            <w:tcW w:type="dxa" w:w="20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Rol</w:t>
            </w:r>
          </w:p>
        </w:tc>
        <w:tc>
          <w:tcPr>
            <w:tcW w:type="dxa" w:w="15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Color</w:t>
            </w:r>
          </w:p>
        </w:tc>
        <w:tc>
          <w:tcPr>
            <w:tcW w:type="dxa" w:w="4838"/>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Dónde se usa y por qué</w:t>
            </w:r>
          </w:p>
        </w:tc>
      </w:tr>
      <w:tr>
        <w:tc>
          <w:tcPr>
            <w:tcW w:type="dxa" w:w="1300"/>
            <w:tcBorders>
              <w:top w:val="single" w:color="E2DED4" w:sz="4"/>
              <w:left w:val="single" w:color="E2DED4" w:sz="4"/>
              <w:bottom w:val="single" w:color="E2DED4" w:sz="4"/>
              <w:right w:val="single" w:color="E2DED4" w:sz="4"/>
            </w:tcBorders>
            <w:shd w:fill="F6F4EF" w:color="auto" w:val="clear"/>
            <w:tcMar>
              <w:top w:type="dxa" w:w="90"/>
              <w:left w:type="dxa" w:w="120"/>
              <w:bottom w:type="dxa" w:w="90"/>
              <w:right w:type="dxa" w:w="120"/>
            </w:tcMar>
            <w:vAlign w:val="center"/>
          </w:tcPr>
          <w:p>
            <w:pPr>
              <w:spacing w:after="40" w:line="260"/>
              <w:jc w:val="center"/>
            </w:pPr>
            <w:r>
              <w:rPr>
                <w:b/>
                <w:bCs/>
                <w:color w:val="14181F"/>
                <w:sz w:val="24"/>
                <w:szCs w:val="24"/>
              </w:rPr>
              <w:t xml:space="preserve">60%</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Neutro base · fondos</w:t>
            </w:r>
          </w:p>
        </w:tc>
        <w:tc>
          <w:tcPr>
            <w:tcW w:type="dxa" w:w="15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Crema</w:t>
            </w:r>
          </w:p>
          <w:p>
            <w:pPr>
              <w:spacing w:after="40" w:line="260"/>
              <w:jc w:val="left"/>
            </w:pPr>
            <w:r>
              <w:rPr>
                <w:b w:val="false"/>
                <w:bCs w:val="false"/>
                <w:sz w:val="19"/>
                <w:szCs w:val="19"/>
              </w:rPr>
              <w:t xml:space="preserve">#F6F4EF</w:t>
            </w:r>
          </w:p>
        </w:tc>
        <w:tc>
          <w:tcPr>
            <w:tcW w:type="dxa" w:w="4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Fondo de todas las pantallas y espacios en blanco. Es más cálido y cansa menos la vista que el blanco puro al revisar muchas ofertas seguidas. Las tarjetas blancas se apoyan sobre él.</w:t>
            </w:r>
          </w:p>
        </w:tc>
      </w:tr>
      <w:tr>
        <w:tc>
          <w:tcPr>
            <w:tcW w:type="dxa" w:w="13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center"/>
            </w:pPr>
            <w:r>
              <w:rPr>
                <w:b/>
                <w:bCs/>
                <w:color w:val="FFFFFF"/>
                <w:sz w:val="24"/>
                <w:szCs w:val="24"/>
              </w:rPr>
              <w:t xml:space="preserve">30%</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Color de marca · secundario</w:t>
            </w:r>
          </w:p>
        </w:tc>
        <w:tc>
          <w:tcPr>
            <w:tcW w:type="dxa" w:w="15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Azul profundo</w:t>
            </w:r>
          </w:p>
          <w:p>
            <w:pPr>
              <w:spacing w:after="40" w:line="260"/>
              <w:jc w:val="left"/>
            </w:pPr>
            <w:r>
              <w:rPr>
                <w:b w:val="false"/>
                <w:bCs w:val="false"/>
                <w:sz w:val="19"/>
                <w:szCs w:val="19"/>
              </w:rPr>
              <w:t xml:space="preserve">#1B3A6B</w:t>
            </w:r>
          </w:p>
        </w:tc>
        <w:tc>
          <w:tcPr>
            <w:tcW w:type="dxa" w:w="4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Barra de navegación, títulos, chips de información y bloques destacados. Transmite confianza y seriedad, que es lo que más pesa al decidir sobre un trabajo.</w:t>
            </w:r>
          </w:p>
        </w:tc>
      </w:tr>
      <w:tr>
        <w:tc>
          <w:tcPr>
            <w:tcW w:type="dxa" w:w="1300"/>
            <w:tcBorders>
              <w:top w:val="single" w:color="E2DED4" w:sz="4"/>
              <w:left w:val="single" w:color="E2DED4" w:sz="4"/>
              <w:bottom w:val="single" w:color="E2DED4" w:sz="4"/>
              <w:right w:val="single" w:color="E2DED4" w:sz="4"/>
            </w:tcBorders>
            <w:shd w:fill="FF6B4A" w:color="auto" w:val="clear"/>
            <w:tcMar>
              <w:top w:type="dxa" w:w="90"/>
              <w:left w:type="dxa" w:w="120"/>
              <w:bottom w:type="dxa" w:w="90"/>
              <w:right w:type="dxa" w:w="120"/>
            </w:tcMar>
            <w:vAlign w:val="center"/>
          </w:tcPr>
          <w:p>
            <w:pPr>
              <w:spacing w:after="40" w:line="260"/>
              <w:jc w:val="center"/>
            </w:pPr>
            <w:r>
              <w:rPr>
                <w:b/>
                <w:bCs/>
                <w:color w:val="14181F"/>
                <w:sz w:val="24"/>
                <w:szCs w:val="24"/>
              </w:rPr>
              <w:t xml:space="preserve">10%</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Acento · acciones</w:t>
            </w:r>
          </w:p>
        </w:tc>
        <w:tc>
          <w:tcPr>
            <w:tcW w:type="dxa" w:w="15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Coral</w:t>
            </w:r>
          </w:p>
          <w:p>
            <w:pPr>
              <w:spacing w:after="40" w:line="260"/>
              <w:jc w:val="left"/>
            </w:pPr>
            <w:r>
              <w:rPr>
                <w:b w:val="false"/>
                <w:bCs w:val="false"/>
                <w:sz w:val="19"/>
                <w:szCs w:val="19"/>
              </w:rPr>
              <w:t xml:space="preserve">#FF6B4A</w:t>
            </w:r>
          </w:p>
        </w:tc>
        <w:tc>
          <w:tcPr>
            <w:tcW w:type="dxa" w:w="4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Botón «Postularme», botón «Buscar», alertas nuevas y estados activos. Al ser escaso, guía el ojo hacia la acción principal de cada pantalla. Suma calidez y cercanía para un público joven.</w:t>
            </w:r>
          </w:p>
        </w:tc>
      </w:tr>
    </w:tbl>
    <w:p>
      <w:pPr>
        <w:spacing w:after="120"/>
      </w:pPr>
    </w:p>
    <w:p>
      <w:pPr>
        <w:pStyle w:val="Heading2"/>
      </w:pPr>
      <w:r>
        <w:t xml:space="preserve">2.2 Modo oscuro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00"/>
        <w:gridCol w:w="4838"/>
      </w:tblGrid>
      <w:tr>
        <w:trPr>
          <w:tblHeader/>
        </w:trPr>
        <w:tc>
          <w:tcPr>
            <w:tcW w:type="dxa" w:w="13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Muestra</w:t>
            </w:r>
          </w:p>
        </w:tc>
        <w:tc>
          <w:tcPr>
            <w:tcW w:type="dxa" w:w="20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Rol</w:t>
            </w:r>
          </w:p>
        </w:tc>
        <w:tc>
          <w:tcPr>
            <w:tcW w:type="dxa" w:w="15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Color</w:t>
            </w:r>
          </w:p>
        </w:tc>
        <w:tc>
          <w:tcPr>
            <w:tcW w:type="dxa" w:w="4838"/>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Dónde se usa y por qué</w:t>
            </w:r>
          </w:p>
        </w:tc>
      </w:tr>
      <w:tr>
        <w:tc>
          <w:tcPr>
            <w:tcW w:type="dxa" w:w="1300"/>
            <w:tcBorders>
              <w:top w:val="single" w:color="E2DED4" w:sz="4"/>
              <w:left w:val="single" w:color="E2DED4" w:sz="4"/>
              <w:bottom w:val="single" w:color="E2DED4" w:sz="4"/>
              <w:right w:val="single" w:color="E2DED4" w:sz="4"/>
            </w:tcBorders>
            <w:shd w:fill="0E1320" w:color="auto" w:val="clear"/>
            <w:tcMar>
              <w:top w:type="dxa" w:w="90"/>
              <w:left w:type="dxa" w:w="120"/>
              <w:bottom w:type="dxa" w:w="90"/>
              <w:right w:type="dxa" w:w="120"/>
            </w:tcMar>
            <w:vAlign w:val="center"/>
          </w:tcPr>
          <w:p>
            <w:pPr>
              <w:spacing w:after="40" w:line="260"/>
              <w:jc w:val="center"/>
            </w:pPr>
            <w:r>
              <w:rPr>
                <w:b/>
                <w:bCs/>
                <w:color w:val="FFFFFF"/>
                <w:sz w:val="24"/>
                <w:szCs w:val="24"/>
              </w:rPr>
              <w:t xml:space="preserve">60%</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Neutro base · fondos</w:t>
            </w:r>
          </w:p>
        </w:tc>
        <w:tc>
          <w:tcPr>
            <w:tcW w:type="dxa" w:w="15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Azul noche</w:t>
            </w:r>
          </w:p>
          <w:p>
            <w:pPr>
              <w:spacing w:after="40" w:line="260"/>
              <w:jc w:val="left"/>
            </w:pPr>
            <w:r>
              <w:rPr>
                <w:b w:val="false"/>
                <w:bCs w:val="false"/>
                <w:sz w:val="19"/>
                <w:szCs w:val="19"/>
              </w:rPr>
              <w:t xml:space="preserve">#0E1320</w:t>
            </w:r>
          </w:p>
        </w:tc>
        <w:tc>
          <w:tcPr>
            <w:tcW w:type="dxa" w:w="4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Fondo general. Es un azul casi negro en lugar de negro puro: mantiene la identidad de marca y reduce el brillo en uso nocturno o en el celular.</w:t>
            </w:r>
          </w:p>
        </w:tc>
      </w:tr>
      <w:tr>
        <w:tc>
          <w:tcPr>
            <w:tcW w:type="dxa" w:w="1300"/>
            <w:tcBorders>
              <w:top w:val="single" w:color="E2DED4" w:sz="4"/>
              <w:left w:val="single" w:color="E2DED4" w:sz="4"/>
              <w:bottom w:val="single" w:color="E2DED4" w:sz="4"/>
              <w:right w:val="single" w:color="E2DED4" w:sz="4"/>
            </w:tcBorders>
            <w:shd w:fill="1C2B4A" w:color="auto" w:val="clear"/>
            <w:tcMar>
              <w:top w:type="dxa" w:w="90"/>
              <w:left w:type="dxa" w:w="120"/>
              <w:bottom w:type="dxa" w:w="90"/>
              <w:right w:type="dxa" w:w="120"/>
            </w:tcMar>
            <w:vAlign w:val="center"/>
          </w:tcPr>
          <w:p>
            <w:pPr>
              <w:spacing w:after="40" w:line="260"/>
              <w:jc w:val="center"/>
            </w:pPr>
            <w:r>
              <w:rPr>
                <w:b/>
                <w:bCs/>
                <w:color w:val="FFFFFF"/>
                <w:sz w:val="24"/>
                <w:szCs w:val="24"/>
              </w:rPr>
              <w:t xml:space="preserve">30%</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Color de marca · superficies</w:t>
            </w:r>
          </w:p>
        </w:tc>
        <w:tc>
          <w:tcPr>
            <w:tcW w:type="dxa" w:w="15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Azul superficie</w:t>
            </w:r>
          </w:p>
          <w:p>
            <w:pPr>
              <w:spacing w:after="40" w:line="260"/>
              <w:jc w:val="left"/>
            </w:pPr>
            <w:r>
              <w:rPr>
                <w:b w:val="false"/>
                <w:bCs w:val="false"/>
                <w:sz w:val="19"/>
                <w:szCs w:val="19"/>
              </w:rPr>
              <w:t xml:space="preserve">#1C2B4A</w:t>
            </w:r>
          </w:p>
        </w:tc>
        <w:tc>
          <w:tcPr>
            <w:tcW w:type="dxa" w:w="4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Navegación, tarjetas de oferta, buscador y campos. Separa los elementos del fondo por tono, sin necesidad de bordes duros.</w:t>
            </w:r>
          </w:p>
        </w:tc>
      </w:tr>
      <w:tr>
        <w:tc>
          <w:tcPr>
            <w:tcW w:type="dxa" w:w="1300"/>
            <w:tcBorders>
              <w:top w:val="single" w:color="E2DED4" w:sz="4"/>
              <w:left w:val="single" w:color="E2DED4" w:sz="4"/>
              <w:bottom w:val="single" w:color="E2DED4" w:sz="4"/>
              <w:right w:val="single" w:color="E2DED4" w:sz="4"/>
            </w:tcBorders>
            <w:shd w:fill="FF7A5C" w:color="auto" w:val="clear"/>
            <w:tcMar>
              <w:top w:type="dxa" w:w="90"/>
              <w:left w:type="dxa" w:w="120"/>
              <w:bottom w:type="dxa" w:w="90"/>
              <w:right w:type="dxa" w:w="120"/>
            </w:tcMar>
            <w:vAlign w:val="center"/>
          </w:tcPr>
          <w:p>
            <w:pPr>
              <w:spacing w:after="40" w:line="260"/>
              <w:jc w:val="center"/>
            </w:pPr>
            <w:r>
              <w:rPr>
                <w:b/>
                <w:bCs/>
                <w:color w:val="14181F"/>
                <w:sz w:val="24"/>
                <w:szCs w:val="24"/>
              </w:rPr>
              <w:t xml:space="preserve">10%</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Acento · acciones</w:t>
            </w:r>
          </w:p>
        </w:tc>
        <w:tc>
          <w:tcPr>
            <w:tcW w:type="dxa" w:w="15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Coral claro</w:t>
            </w:r>
          </w:p>
          <w:p>
            <w:pPr>
              <w:spacing w:after="40" w:line="260"/>
              <w:jc w:val="left"/>
            </w:pPr>
            <w:r>
              <w:rPr>
                <w:b w:val="false"/>
                <w:bCs w:val="false"/>
                <w:sz w:val="19"/>
                <w:szCs w:val="19"/>
              </w:rPr>
              <w:t xml:space="preserve">#FF7A5C</w:t>
            </w:r>
          </w:p>
        </w:tc>
        <w:tc>
          <w:tcPr>
            <w:tcW w:type="dxa" w:w="4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Botones primarios, alertas y estados activos. Es levemente más luminoso que el coral original para sostener el contraste sobre fondo oscuro.</w:t>
            </w:r>
          </w:p>
        </w:tc>
      </w:tr>
    </w:tbl>
    <w:p>
      <w:pPr>
        <w:spacing w:after="120"/>
      </w:pPr>
    </w:p>
    <w:p>
      <w:pPr>
        <w:pStyle w:val="Heading2"/>
      </w:pPr>
      <w:r>
        <w:t xml:space="preserve">2.3 Colores de apoyo para texto y bordes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38"/>
      </w:tblGrid>
      <w:tr>
        <w:trPr>
          <w:tblHeader/>
        </w:trPr>
        <w:tc>
          <w:tcPr>
            <w:tcW w:type="dxa" w:w="22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Nombre</w:t>
            </w:r>
          </w:p>
        </w:tc>
        <w:tc>
          <w:tcPr>
            <w:tcW w:type="dxa" w:w="16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Color</w:t>
            </w:r>
          </w:p>
        </w:tc>
        <w:tc>
          <w:tcPr>
            <w:tcW w:type="dxa" w:w="5838"/>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Uso</w:t>
            </w:r>
          </w:p>
        </w:tc>
      </w:tr>
      <w:tr>
        <w:tc>
          <w:tcPr>
            <w:tcW w:type="dxa" w:w="22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Tinta</w:t>
            </w:r>
          </w:p>
        </w:tc>
        <w:tc>
          <w:tcPr>
            <w:tcW w:type="dxa" w:w="16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#14181F</w:t>
            </w:r>
          </w:p>
        </w:tc>
        <w:tc>
          <w:tcPr>
            <w:tcW w:type="dxa" w:w="5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Texto principal en modo claro y texto sobre coral. Máximo contraste.</w:t>
            </w:r>
          </w:p>
        </w:tc>
      </w:tr>
      <w:tr>
        <w:tc>
          <w:tcPr>
            <w:tcW w:type="dxa" w:w="22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Gris azulado</w:t>
            </w:r>
          </w:p>
        </w:tc>
        <w:tc>
          <w:tcPr>
            <w:tcW w:type="dxa" w:w="16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#5B6472</w:t>
            </w:r>
          </w:p>
        </w:tc>
        <w:tc>
          <w:tcPr>
            <w:tcW w:type="dxa" w:w="5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Texto secundario y descripciones.</w:t>
            </w:r>
          </w:p>
        </w:tc>
      </w:tr>
      <w:tr>
        <w:tc>
          <w:tcPr>
            <w:tcW w:type="dxa" w:w="22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Blanco</w:t>
            </w:r>
          </w:p>
        </w:tc>
        <w:tc>
          <w:tcPr>
            <w:tcW w:type="dxa" w:w="16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#FFFFFF</w:t>
            </w:r>
          </w:p>
        </w:tc>
        <w:tc>
          <w:tcPr>
            <w:tcW w:type="dxa" w:w="5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Tarjetas y campos sobre el fondo crema, para dar jerarquía.</w:t>
            </w:r>
          </w:p>
        </w:tc>
      </w:tr>
      <w:tr>
        <w:tc>
          <w:tcPr>
            <w:tcW w:type="dxa" w:w="22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Línea</w:t>
            </w:r>
          </w:p>
        </w:tc>
        <w:tc>
          <w:tcPr>
            <w:tcW w:type="dxa" w:w="16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#E2DED4</w:t>
            </w:r>
          </w:p>
        </w:tc>
        <w:tc>
          <w:tcPr>
            <w:tcW w:type="dxa" w:w="5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Bordes y divisores suaves en modo claro.</w:t>
            </w:r>
          </w:p>
        </w:tc>
      </w:tr>
      <w:tr>
        <w:tc>
          <w:tcPr>
            <w:tcW w:type="dxa" w:w="22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Texto claro</w:t>
            </w:r>
          </w:p>
        </w:tc>
        <w:tc>
          <w:tcPr>
            <w:tcW w:type="dxa" w:w="16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#F1EEE7</w:t>
            </w:r>
          </w:p>
        </w:tc>
        <w:tc>
          <w:tcPr>
            <w:tcW w:type="dxa" w:w="5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Texto principal en modo oscuro.</w:t>
            </w:r>
          </w:p>
        </w:tc>
      </w:tr>
    </w:tbl>
    <w:p>
      <w:pPr>
        <w:spacing w:after="120"/>
      </w:pPr>
    </w:p>
    <w:p>
      <w:pPr>
        <w:pStyle w:val="Heading2"/>
      </w:pPr>
      <w:r>
        <w:t xml:space="preserve">2.4 Por qué estos colores</w:t>
      </w:r>
    </w:p>
    <w:p>
      <w:pPr>
        <w:pStyle w:val="ListParagraph"/>
        <w:numPr>
          <w:ilvl w:val="0"/>
          <w:numId w:val="2"/>
        </w:numPr>
        <w:spacing w:after="80" w:line="290"/>
      </w:pPr>
      <w:r>
        <w:rPr>
          <w:b/>
          <w:bCs/>
        </w:rPr>
        <w:t xml:space="preserve">Azul como marca: </w:t>
      </w:r>
      <w:r>
        <w:t xml:space="preserve">buscar trabajo es una decisión seria; el azul comunica confianza y estabilidad sin resultar frío.</w:t>
      </w:r>
    </w:p>
    <w:p>
      <w:pPr>
        <w:pStyle w:val="ListParagraph"/>
        <w:numPr>
          <w:ilvl w:val="0"/>
          <w:numId w:val="2"/>
        </w:numPr>
        <w:spacing w:after="80" w:line="290"/>
      </w:pPr>
      <w:r>
        <w:rPr>
          <w:b/>
          <w:bCs/>
        </w:rPr>
        <w:t xml:space="preserve">Coral como acento: </w:t>
      </w:r>
      <w:r>
        <w:t xml:space="preserve">es un color cálido y energético que contrasta fuertemente con el azul. Al usarse poco, cada botón coral se lee como «esta es la acción importante».</w:t>
      </w:r>
    </w:p>
    <w:p>
      <w:pPr>
        <w:pStyle w:val="ListParagraph"/>
        <w:numPr>
          <w:ilvl w:val="0"/>
          <w:numId w:val="2"/>
        </w:numPr>
        <w:spacing w:after="80" w:line="290"/>
      </w:pPr>
      <w:r>
        <w:rPr>
          <w:b/>
          <w:bCs/>
        </w:rPr>
        <w:t xml:space="preserve">Crema en lugar de blanco: </w:t>
      </w:r>
      <w:r>
        <w:t xml:space="preserve">reduce la fatiga visual en listados largos y le da a la plataforma un tono más cálido y humano.</w:t>
      </w:r>
    </w:p>
    <w:p>
      <w:pPr>
        <w:pStyle w:val="Heading2"/>
      </w:pPr>
      <w:r>
        <w:t xml:space="preserve">2.5 Contraste y accesibilidad (WCAG AA)</w:t>
      </w:r>
    </w:p>
    <w:p>
      <w:pPr>
        <w:spacing w:after="140" w:line="300"/>
      </w:pPr>
      <w:r>
        <w:t xml:space="preserve">Todas las combinaciones de texto se validaron contra el mínimo de 4,5:1 que pide WCAG AA para texto normal.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000"/>
        <w:gridCol w:w="3000"/>
      </w:tblGrid>
      <w:tr>
        <w:trPr>
          <w:tblHeader/>
        </w:trPr>
        <w:tc>
          <w:tcPr>
            <w:tcW w:type="dxa" w:w="4638"/>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Combinación</w:t>
            </w:r>
          </w:p>
        </w:tc>
        <w:tc>
          <w:tcPr>
            <w:tcW w:type="dxa" w:w="20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Contraste</w:t>
            </w:r>
          </w:p>
        </w:tc>
        <w:tc>
          <w:tcPr>
            <w:tcW w:type="dxa" w:w="30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Resultado</w:t>
            </w:r>
          </w:p>
        </w:tc>
      </w:tr>
      <w:tr>
        <w:tc>
          <w:tcPr>
            <w:tcW w:type="dxa" w:w="46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Azul profundo sobre crema</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10,3:1</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Cumple</w:t>
            </w:r>
          </w:p>
        </w:tc>
      </w:tr>
      <w:tr>
        <w:tc>
          <w:tcPr>
            <w:tcW w:type="dxa" w:w="46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Gris azulado sobre crema</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5,4:1</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Cumple</w:t>
            </w:r>
          </w:p>
        </w:tc>
      </w:tr>
      <w:tr>
        <w:tc>
          <w:tcPr>
            <w:tcW w:type="dxa" w:w="46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Tinta sobre coral (botones)</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6,3:1</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Cumple</w:t>
            </w:r>
          </w:p>
        </w:tc>
      </w:tr>
      <w:tr>
        <w:tc>
          <w:tcPr>
            <w:tcW w:type="dxa" w:w="46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Blanco sobre coral</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2,8:1</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No cumple → se descarta</w:t>
            </w:r>
          </w:p>
        </w:tc>
      </w:tr>
      <w:tr>
        <w:tc>
          <w:tcPr>
            <w:tcW w:type="dxa" w:w="46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Texto claro sobre azul noche</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16:1</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Cumple</w:t>
            </w:r>
          </w:p>
        </w:tc>
      </w:tr>
      <w:tr>
        <w:tc>
          <w:tcPr>
            <w:tcW w:type="dxa" w:w="46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Coral claro sobre azul noche</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7,2:1</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Cumple</w:t>
            </w:r>
          </w:p>
        </w:tc>
      </w:tr>
      <w:tr>
        <w:tc>
          <w:tcPr>
            <w:tcW w:type="dxa" w:w="46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Tinta sobre coral claro</w:t>
            </w:r>
          </w:p>
        </w:tc>
        <w:tc>
          <w:tcPr>
            <w:tcW w:type="dxa" w:w="2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6,9:1</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Cumple</w:t>
            </w:r>
          </w:p>
        </w:tc>
      </w:tr>
    </w:tbl>
    <w:p>
      <w:pPr>
        <w:spacing w:after="220" w:before="60"/>
      </w:pPr>
      <w:r>
        <w:rPr>
          <w:i/>
          <w:iCs/>
          <w:color w:val="5B6472"/>
          <w:sz w:val="17"/>
          <w:szCs w:val="17"/>
        </w:rPr>
        <w:t xml:space="preserve">Tabla 2 — Ratios de contraste calculados con la fórmula de luminancia relativa de WCAG 2.x.</w:t>
      </w:r>
    </w:p>
    <w:p>
      <w:pPr>
        <w:spacing w:after="140" w:line="300"/>
      </w:pPr>
      <w:r>
        <w:rPr>
          <w:b/>
          <w:bCs/>
          <w:color w:val="1B3A6B"/>
        </w:rPr>
        <w:t xml:space="preserve">Reglas que se desprenden: </w:t>
      </w:r>
      <w:r>
        <w:t xml:space="preserve">el texto sobre coral siempre es tinta (#14181F), nunca blanco. Además, el coral no se usa como color de texto sobre crema (da 2,6:1): los mensajes de alerta se escriben en tinta y el coral queda como fondo, borde o ícono, siempre acompañado de texto para que el estado no dependa solo del color.</w:t>
      </w:r>
    </w:p>
    <w:p>
      <w:pPr>
        <w:pStyle w:val="Heading1"/>
      </w:pPr>
      <w:r>
        <w:t xml:space="preserve">3. Tipografía y legibilidad</w:t>
      </w:r>
    </w:p>
    <w:p>
      <w:pPr>
        <w:spacing w:after="140" w:line="300"/>
      </w:pPr>
      <w:r>
        <w:t xml:space="preserve">Se usan dos familias con roles distintos: una con personalidad para los títulos y otra neutra y muy legible para leer ofertas. El contraste entre ambas crea una jerarquía clara sin necesidad de agregar colores o decoración.</w:t>
      </w:r>
    </w:p>
    <w:p>
      <w:pPr>
        <w:spacing w:after="140" w:line="300"/>
      </w:pPr>
      <w:r>
        <w:rPr>
          <w:b/>
          <w:bCs/>
          <w:color w:val="1B3A6B"/>
        </w:rPr>
        <w:t xml:space="preserve">Plus Jakarta Sans (títulos). </w:t>
      </w:r>
      <w:r>
        <w:t xml:space="preserve">Geométrica, moderna y amigable. Sus formas redondeadas transmiten cercanía y energía para un público joven, y en tamaños grandes se lee con carácter. Incluye tildes, ñ y signos de apertura, necesarios en español. Pesos: ExtraBold, Bold y SemiBold.</w:t>
      </w:r>
    </w:p>
    <w:p>
      <w:pPr>
        <w:spacing w:after="140" w:line="300"/>
      </w:pPr>
      <w:r>
        <w:rPr>
          <w:b/>
          <w:bCs/>
          <w:color w:val="1B3A6B"/>
        </w:rPr>
        <w:t xml:space="preserve">Inter (texto, datos y botones). </w:t>
      </w:r>
      <w:r>
        <w:t xml:space="preserve">Diseñada para pantallas. Su gran altura de x y sus formas abiertas la hacen muy legible en tamaños chicos y en celular, y sus números alinean bien, algo clave para leer salarios y rangos. Es neutra y deja que la marca hable a través de los títulos. Pesos: SemiBold, Medium y Regular.</w:t>
      </w:r>
    </w:p>
    <w:p>
      <w:pPr>
        <w:pStyle w:val="Heading2"/>
      </w:pPr>
      <w:r>
        <w:t xml:space="preserve">3.1 Escala tipográfica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1800"/>
        <w:gridCol w:w="3538"/>
      </w:tblGrid>
      <w:tr>
        <w:trPr>
          <w:tblHeader/>
        </w:trPr>
        <w:tc>
          <w:tcPr>
            <w:tcW w:type="dxa" w:w="13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Nivel</w:t>
            </w:r>
          </w:p>
        </w:tc>
        <w:tc>
          <w:tcPr>
            <w:tcW w:type="dxa" w:w="30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Fuente y peso</w:t>
            </w:r>
          </w:p>
        </w:tc>
        <w:tc>
          <w:tcPr>
            <w:tcW w:type="dxa" w:w="18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Tamaño / interlineado</w:t>
            </w:r>
          </w:p>
        </w:tc>
        <w:tc>
          <w:tcPr>
            <w:tcW w:type="dxa" w:w="3538"/>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Uso</w:t>
            </w:r>
          </w:p>
        </w:tc>
      </w:tr>
      <w:tr>
        <w:tc>
          <w:tcPr>
            <w:tcW w:type="dxa" w:w="13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H1</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Plus Jakarta Sans ExtraBold</w:t>
            </w:r>
          </w:p>
        </w:tc>
        <w:tc>
          <w:tcPr>
            <w:tcW w:type="dxa" w:w="18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56 / 64 px</w:t>
            </w:r>
          </w:p>
        </w:tc>
        <w:tc>
          <w:tcPr>
            <w:tcW w:type="dxa" w:w="35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Título principal de pantalla.</w:t>
            </w:r>
          </w:p>
        </w:tc>
      </w:tr>
      <w:tr>
        <w:tc>
          <w:tcPr>
            <w:tcW w:type="dxa" w:w="13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H2</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Plus Jakarta Sans Bold</w:t>
            </w:r>
          </w:p>
        </w:tc>
        <w:tc>
          <w:tcPr>
            <w:tcW w:type="dxa" w:w="18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36 / 44 px</w:t>
            </w:r>
          </w:p>
        </w:tc>
        <w:tc>
          <w:tcPr>
            <w:tcW w:type="dxa" w:w="35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Títulos de sección.</w:t>
            </w:r>
          </w:p>
        </w:tc>
      </w:tr>
      <w:tr>
        <w:tc>
          <w:tcPr>
            <w:tcW w:type="dxa" w:w="13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H3</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Plus Jakarta Sans Bold</w:t>
            </w:r>
          </w:p>
        </w:tc>
        <w:tc>
          <w:tcPr>
            <w:tcW w:type="dxa" w:w="18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24 / 32 px</w:t>
            </w:r>
          </w:p>
        </w:tc>
        <w:tc>
          <w:tcPr>
            <w:tcW w:type="dxa" w:w="35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Título de tarjeta de oferta.</w:t>
            </w:r>
          </w:p>
        </w:tc>
      </w:tr>
      <w:tr>
        <w:tc>
          <w:tcPr>
            <w:tcW w:type="dxa" w:w="13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Botón</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Inter SemiBold</w:t>
            </w:r>
          </w:p>
        </w:tc>
        <w:tc>
          <w:tcPr>
            <w:tcW w:type="dxa" w:w="18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15 / 20 px</w:t>
            </w:r>
          </w:p>
        </w:tc>
        <w:tc>
          <w:tcPr>
            <w:tcW w:type="dxa" w:w="35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Botones y enlaces.</w:t>
            </w:r>
          </w:p>
        </w:tc>
      </w:tr>
      <w:tr>
        <w:tc>
          <w:tcPr>
            <w:tcW w:type="dxa" w:w="13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Cuerpo L</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Inter Regular</w:t>
            </w:r>
          </w:p>
        </w:tc>
        <w:tc>
          <w:tcPr>
            <w:tcW w:type="dxa" w:w="18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18 / 28 px</w:t>
            </w:r>
          </w:p>
        </w:tc>
        <w:tc>
          <w:tcPr>
            <w:tcW w:type="dxa" w:w="35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Textos introductorios.</w:t>
            </w:r>
          </w:p>
        </w:tc>
      </w:tr>
      <w:tr>
        <w:tc>
          <w:tcPr>
            <w:tcW w:type="dxa" w:w="13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Cuerpo</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Inter Regular</w:t>
            </w:r>
          </w:p>
        </w:tc>
        <w:tc>
          <w:tcPr>
            <w:tcW w:type="dxa" w:w="18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16 / 24 px</w:t>
            </w:r>
          </w:p>
        </w:tc>
        <w:tc>
          <w:tcPr>
            <w:tcW w:type="dxa" w:w="35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Texto general y descripciones de oferta.</w:t>
            </w:r>
          </w:p>
        </w:tc>
      </w:tr>
      <w:tr>
        <w:tc>
          <w:tcPr>
            <w:tcW w:type="dxa" w:w="13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Caption</w:t>
            </w:r>
          </w:p>
        </w:tc>
        <w:tc>
          <w:tcPr>
            <w:tcW w:type="dxa" w:w="30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Inter Medium</w:t>
            </w:r>
          </w:p>
        </w:tc>
        <w:tc>
          <w:tcPr>
            <w:tcW w:type="dxa" w:w="18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13 / 18 px</w:t>
            </w:r>
          </w:p>
        </w:tc>
        <w:tc>
          <w:tcPr>
            <w:tcW w:type="dxa" w:w="35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Datos secundarios, chips y metadatos.</w:t>
            </w:r>
          </w:p>
        </w:tc>
      </w:tr>
    </w:tbl>
    <w:p>
      <w:pPr>
        <w:spacing w:after="220" w:before="60"/>
      </w:pPr>
      <w:r>
        <w:rPr>
          <w:i/>
          <w:iCs/>
          <w:color w:val="5B6472"/>
          <w:sz w:val="17"/>
          <w:szCs w:val="17"/>
        </w:rPr>
        <w:t xml:space="preserve">Tabla 3 — Escala tipográfica. En mobile, H1 y H2 se reducen proporcionalmente para no ocupar toda la pantalla.</w:t>
      </w:r>
    </w:p>
    <w:p>
      <w:pPr>
        <w:pStyle w:val="Heading2"/>
      </w:pPr>
      <w:r>
        <w:t xml:space="preserve">3.2 Ancho de línea: 50 a 75 caracteres</w:t>
      </w:r>
    </w:p>
    <w:p>
      <w:pPr>
        <w:spacing w:after="140" w:line="300"/>
      </w:pPr>
      <w:r>
        <w:t xml:space="preserve">Por debajo de 50 caracteres por línea se corta el ritmo de lectura; por encima de 75, el ojo se pierde al saltar de una línea a la siguiente. Por eso:</w:t>
      </w:r>
    </w:p>
    <w:p>
      <w:pPr>
        <w:pStyle w:val="ListParagraph"/>
        <w:numPr>
          <w:ilvl w:val="0"/>
          <w:numId w:val="2"/>
        </w:numPr>
        <w:spacing w:after="80" w:line="290"/>
      </w:pPr>
      <w:r>
        <w:rPr>
          <w:b/>
          <w:bCs/>
        </w:rPr>
        <w:t xml:space="preserve">Escritorio: </w:t>
      </w:r>
      <w:r>
        <w:t xml:space="preserve">las descripciones de oferta tienen un ancho máximo de 510 px. Con Inter a 16 px, eso da entre 53 y 66 caracteres por línea, dentro del rango.</w:t>
      </w:r>
    </w:p>
    <w:p>
      <w:pPr>
        <w:pStyle w:val="ListParagraph"/>
        <w:numPr>
          <w:ilvl w:val="0"/>
          <w:numId w:val="2"/>
        </w:numPr>
        <w:spacing w:after="80" w:line="290"/>
      </w:pPr>
      <w:r>
        <w:rPr>
          <w:b/>
          <w:bCs/>
        </w:rPr>
        <w:t xml:space="preserve">Mobile: </w:t>
      </w:r>
      <w:r>
        <w:t xml:space="preserve">la columna ocupa el ancho de la pantalla menos los márgenes laterales, lo que da unos 40 a 45 caracteres por línea. Queda algo por debajo del rango, pero es lo esperable en pantallas chicas; se prioriza mantener el texto a 16 px en lugar de achicarlo solo para llegar a 50 caracteres.</w:t>
      </w:r>
    </w:p>
    <w:p>
      <w:pPr>
        <w:pStyle w:val="Heading1"/>
      </w:pPr>
      <w:r>
        <w:t xml:space="preserve">4. Estilo visual</w:t>
      </w:r>
    </w:p>
    <w:p>
      <w:pPr>
        <w:spacing w:after="140" w:line="300"/>
      </w:pPr>
      <w:r>
        <w:t xml:space="preserve">Un estilo moderno, cálido y confiable, pensado para personas que buscan su primer empleo y necesitan sentirse acompañadas, no evaluadas.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838"/>
      </w:tblGrid>
      <w:tr>
        <w:trPr>
          <w:tblHeader/>
        </w:trPr>
        <w:tc>
          <w:tcPr>
            <w:tcW w:type="dxa" w:w="17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Aspecto</w:t>
            </w:r>
          </w:p>
        </w:tc>
        <w:tc>
          <w:tcPr>
            <w:tcW w:type="dxa" w:w="4100"/>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Decisión</w:t>
            </w:r>
          </w:p>
        </w:tc>
        <w:tc>
          <w:tcPr>
            <w:tcW w:type="dxa" w:w="3838"/>
            <w:tcBorders>
              <w:top w:val="single" w:color="E2DED4" w:sz="4"/>
              <w:left w:val="single" w:color="E2DED4" w:sz="4"/>
              <w:bottom w:val="single" w:color="E2DED4" w:sz="4"/>
              <w:right w:val="single" w:color="E2DED4" w:sz="4"/>
            </w:tcBorders>
            <w:shd w:fill="1B3A6B" w:color="auto" w:val="clear"/>
            <w:tcMar>
              <w:top w:type="dxa" w:w="90"/>
              <w:left w:type="dxa" w:w="120"/>
              <w:bottom w:type="dxa" w:w="90"/>
              <w:right w:type="dxa" w:w="120"/>
            </w:tcMar>
            <w:vAlign w:val="center"/>
          </w:tcPr>
          <w:p>
            <w:pPr>
              <w:spacing w:after="40" w:line="260"/>
              <w:jc w:val="left"/>
            </w:pPr>
            <w:r>
              <w:rPr>
                <w:b/>
                <w:bCs/>
                <w:color w:val="FFFFFF"/>
                <w:sz w:val="18"/>
                <w:szCs w:val="18"/>
              </w:rPr>
              <w:t xml:space="preserve">Por qué</w:t>
            </w:r>
          </w:p>
        </w:tc>
      </w:tr>
      <w:tr>
        <w:tc>
          <w:tcPr>
            <w:tcW w:type="dxa" w:w="17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Formas</w:t>
            </w:r>
          </w:p>
        </w:tc>
        <w:tc>
          <w:tcPr>
            <w:tcW w:type="dxa" w:w="41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Esquinas redondeadas (12 a 20 px) y tarjetas blancas con borde fino, sin sombras pesadas.</w:t>
            </w:r>
          </w:p>
        </w:tc>
        <w:tc>
          <w:tcPr>
            <w:tcW w:type="dxa" w:w="3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Transmite amabilidad y orden.</w:t>
            </w:r>
          </w:p>
        </w:tc>
      </w:tr>
      <w:tr>
        <w:tc>
          <w:tcPr>
            <w:tcW w:type="dxa" w:w="17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Espaciado</w:t>
            </w:r>
          </w:p>
        </w:tc>
        <w:tc>
          <w:tcPr>
            <w:tcW w:type="dxa" w:w="41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Base de 8 px y mucho aire entre elementos.</w:t>
            </w:r>
          </w:p>
        </w:tc>
        <w:tc>
          <w:tcPr>
            <w:tcW w:type="dxa" w:w="3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Cada oferta se escanea rápido sin sentirse abarrotada.</w:t>
            </w:r>
          </w:p>
        </w:tc>
      </w:tr>
      <w:tr>
        <w:tc>
          <w:tcPr>
            <w:tcW w:type="dxa" w:w="17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Iconografía</w:t>
            </w:r>
          </w:p>
        </w:tc>
        <w:tc>
          <w:tcPr>
            <w:tcW w:type="dxa" w:w="41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Íconos lineales simples, de trazo uniforme y siempre acompañados de texto.</w:t>
            </w:r>
          </w:p>
        </w:tc>
        <w:tc>
          <w:tcPr>
            <w:tcW w:type="dxa" w:w="3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Evita ambigüedades y la ilustración recargada.</w:t>
            </w:r>
          </w:p>
        </w:tc>
      </w:tr>
      <w:tr>
        <w:tc>
          <w:tcPr>
            <w:tcW w:type="dxa" w:w="17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Tono de voz</w:t>
            </w:r>
          </w:p>
        </w:tc>
        <w:tc>
          <w:tcPr>
            <w:tcW w:type="dxa" w:w="41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Voseo argentino, directo y cálido: «Postulate», «Encontrá», «Seguí tu proceso».</w:t>
            </w:r>
          </w:p>
        </w:tc>
        <w:tc>
          <w:tcPr>
            <w:tcW w:type="dxa" w:w="3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Cercano sin perder seriedad.</w:t>
            </w:r>
          </w:p>
        </w:tc>
      </w:tr>
      <w:tr>
        <w:tc>
          <w:tcPr>
            <w:tcW w:type="dxa" w:w="17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Mobile first</w:t>
            </w:r>
          </w:p>
        </w:tc>
        <w:tc>
          <w:tcPr>
            <w:tcW w:type="dxa" w:w="41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Se diseña primero para el celular y luego se adapta a escritorio.</w:t>
            </w:r>
          </w:p>
        </w:tc>
        <w:tc>
          <w:tcPr>
            <w:tcW w:type="dxa" w:w="3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Es donde este público busca trabajo.</w:t>
            </w:r>
          </w:p>
        </w:tc>
      </w:tr>
      <w:tr>
        <w:tc>
          <w:tcPr>
            <w:tcW w:type="dxa" w:w="17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bCs/>
                <w:sz w:val="19"/>
                <w:szCs w:val="19"/>
              </w:rPr>
              <w:t xml:space="preserve">Accesibilidad</w:t>
            </w:r>
          </w:p>
        </w:tc>
        <w:tc>
          <w:tcPr>
            <w:tcW w:type="dxa" w:w="4100"/>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Contraste mínimo de 4,5:1, botones de al menos 44 px de alto y estados que no dependen solo del color.</w:t>
            </w:r>
          </w:p>
        </w:tc>
        <w:tc>
          <w:tcPr>
            <w:tcW w:type="dxa" w:w="3838"/>
            <w:tcBorders>
              <w:top w:val="single" w:color="E2DED4" w:sz="4"/>
              <w:left w:val="single" w:color="E2DED4" w:sz="4"/>
              <w:bottom w:val="single" w:color="E2DED4" w:sz="4"/>
              <w:right w:val="single" w:color="E2DED4" w:sz="4"/>
            </w:tcBorders>
            <w:tcMar>
              <w:top w:type="dxa" w:w="90"/>
              <w:left w:type="dxa" w:w="120"/>
              <w:bottom w:type="dxa" w:w="90"/>
              <w:right w:type="dxa" w:w="120"/>
            </w:tcMar>
            <w:vAlign w:val="center"/>
          </w:tcPr>
          <w:p>
            <w:pPr>
              <w:spacing w:after="40" w:line="260"/>
              <w:jc w:val="left"/>
            </w:pPr>
            <w:r>
              <w:rPr>
                <w:b w:val="false"/>
                <w:bCs w:val="false"/>
                <w:sz w:val="19"/>
                <w:szCs w:val="19"/>
              </w:rPr>
              <w:t xml:space="preserve">La plataforma tiene que poder usarla cualquier persona.</w:t>
            </w:r>
          </w:p>
        </w:tc>
      </w:tr>
    </w:tbl>
    <w:p>
      <w:pPr>
        <w:spacing w:after="120"/>
      </w:pPr>
    </w:p>
    <w:p>
      <w:pPr>
        <w:pStyle w:val="Heading1"/>
      </w:pPr>
      <w:r>
        <w:t xml:space="preserve">5. Qué tomamos, qué modificamos y qué descartamos (de la propuesta de IA)</w:t>
      </w:r>
    </w:p>
    <w:p>
      <w:pPr>
        <w:spacing w:after="140" w:line="300"/>
      </w:pPr>
      <w:r>
        <w:t xml:space="preserve">Usamos una IA como mentora de UX/UI para explorar direcciones visuales. Estas son las decisiones que tomamos sobre su propuesta:</w:t>
      </w:r>
    </w:p>
    <w:p>
      <w:pPr>
        <w:pStyle w:val="Heading2"/>
      </w:pPr>
      <w:r>
        <w:t xml:space="preserve">Tomamos</w:t>
      </w:r>
    </w:p>
    <w:p>
      <w:pPr>
        <w:pStyle w:val="ListParagraph"/>
        <w:numPr>
          <w:ilvl w:val="0"/>
          <w:numId w:val="2"/>
        </w:numPr>
        <w:spacing w:after="80" w:line="290"/>
      </w:pPr>
      <w:r>
        <w:rPr>
          <w:b/>
          <w:bCs/>
        </w:rPr>
        <w:t xml:space="preserve">Azul como color de marca: </w:t>
      </w:r>
      <w:r>
        <w:t xml:space="preserve">transmite confianza, que es lo que más pesa al decidir sobre un trabajo.</w:t>
      </w:r>
    </w:p>
    <w:p>
      <w:pPr>
        <w:pStyle w:val="ListParagraph"/>
        <w:numPr>
          <w:ilvl w:val="0"/>
          <w:numId w:val="2"/>
        </w:numPr>
        <w:spacing w:after="80" w:line="290"/>
      </w:pPr>
      <w:r>
        <w:rPr>
          <w:b/>
          <w:bCs/>
        </w:rPr>
        <w:t xml:space="preserve">Regla 60-30-10 con neutro dominante: </w:t>
      </w:r>
      <w:r>
        <w:t xml:space="preserve">ordena la interfaz y evita saturar de color un listado largo de ofertas.</w:t>
      </w:r>
    </w:p>
    <w:p>
      <w:pPr>
        <w:pStyle w:val="Heading2"/>
      </w:pPr>
      <w:r>
        <w:t xml:space="preserve">Modificamos</w:t>
      </w:r>
    </w:p>
    <w:p>
      <w:pPr>
        <w:pStyle w:val="ListParagraph"/>
        <w:numPr>
          <w:ilvl w:val="0"/>
          <w:numId w:val="2"/>
        </w:numPr>
        <w:spacing w:after="80" w:line="290"/>
      </w:pPr>
      <w:r>
        <w:rPr>
          <w:b/>
          <w:bCs/>
        </w:rPr>
        <w:t xml:space="preserve">Acento naranja → coral con texto oscuro: </w:t>
      </w:r>
      <w:r>
        <w:t xml:space="preserve">el naranja saturado no lograba buen contraste con texto blanco; el coral con texto tinta llega a 6,3:1.</w:t>
      </w:r>
    </w:p>
    <w:p>
      <w:pPr>
        <w:pStyle w:val="ListParagraph"/>
        <w:numPr>
          <w:ilvl w:val="0"/>
          <w:numId w:val="2"/>
        </w:numPr>
        <w:spacing w:after="80" w:line="290"/>
      </w:pPr>
      <w:r>
        <w:rPr>
          <w:b/>
          <w:bCs/>
        </w:rPr>
        <w:t xml:space="preserve">Fondo blanco → crema: </w:t>
      </w:r>
      <w:r>
        <w:t xml:space="preserve">reduce la fatiga visual y suma calidez sin perder claridad.</w:t>
      </w:r>
    </w:p>
    <w:p>
      <w:pPr>
        <w:pStyle w:val="ListParagraph"/>
        <w:numPr>
          <w:ilvl w:val="0"/>
          <w:numId w:val="2"/>
        </w:numPr>
        <w:spacing w:after="80" w:line="290"/>
      </w:pPr>
      <w:r>
        <w:rPr>
          <w:b/>
          <w:bCs/>
        </w:rPr>
        <w:t xml:space="preserve">Una sola tipografía → dos familias: </w:t>
      </w:r>
      <w:r>
        <w:t xml:space="preserve">sumamos Plus Jakarta Sans para títulos y dejamos Inter para leer: personalidad sin perder legibilidad.</w:t>
      </w:r>
    </w:p>
    <w:p>
      <w:pPr>
        <w:pStyle w:val="Heading2"/>
      </w:pPr>
      <w:r>
        <w:t xml:space="preserve">Descartamos</w:t>
      </w:r>
    </w:p>
    <w:p>
      <w:pPr>
        <w:pStyle w:val="ListParagraph"/>
        <w:numPr>
          <w:ilvl w:val="0"/>
          <w:numId w:val="2"/>
        </w:numPr>
        <w:spacing w:after="80" w:line="290"/>
      </w:pPr>
      <w:r>
        <w:rPr>
          <w:b/>
          <w:bCs/>
        </w:rPr>
        <w:t xml:space="preserve">Estilo corporativo gris y verde: </w:t>
      </w:r>
      <w:r>
        <w:t xml:space="preserve">se siente frío y formal para quienes buscan su primer empleo.</w:t>
      </w:r>
    </w:p>
    <w:p>
      <w:pPr>
        <w:pStyle w:val="ListParagraph"/>
        <w:numPr>
          <w:ilvl w:val="0"/>
          <w:numId w:val="2"/>
        </w:numPr>
        <w:spacing w:after="80" w:line="290"/>
      </w:pPr>
      <w:r>
        <w:rPr>
          <w:b/>
          <w:bCs/>
        </w:rPr>
        <w:t xml:space="preserve">Gamificación con puntos e insignias: </w:t>
      </w:r>
      <w:r>
        <w:t xml:space="preserve">distrae de una decisión seria; el foco está en la claridad, no en el juego.</w:t>
      </w:r>
    </w:p>
    <w:p>
      <w:pPr>
        <w:pStyle w:val="ListParagraph"/>
        <w:numPr>
          <w:ilvl w:val="0"/>
          <w:numId w:val="2"/>
        </w:numPr>
        <w:spacing w:after="80" w:line="290"/>
      </w:pPr>
      <w:r>
        <w:rPr>
          <w:b/>
          <w:bCs/>
        </w:rPr>
        <w:t xml:space="preserve">Chat con reclutadores en la primera versión: </w:t>
      </w:r>
      <w:r>
        <w:t xml:space="preserve">amplía demasiado el alcance; se prioriza la búsqueda, el perfil y el seguimiento de postulaciones.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Labor.io · Etapa 2 — Producto e Identidad Visual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FF6B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DED4" w:sz="6" w:space="4"/>
      </w:pBd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ztzh463crcnjuxebdslq" Type="http://schemas.openxmlformats.org/officeDocument/2006/relationships/hyperlink" Target="https://www.figma.com/proto/fJcm436ydDb9jAMEe4kmI8/Labor.io-%E2%80%93-Gu%C3%ADa-de-estilo--b%C3%BAsqueda-laboral-?node-id=6-2&amp;t=s24oB1n4hHHKzcq1-1&amp;scaling=scale-down&amp;content-scaling=fixed" TargetMode="External"/><Relationship Id="rIdtamq_ei2ocp-fgd0ablzg" Type="http://schemas.openxmlformats.org/officeDocument/2006/relationships/hyperlink" Target="https://www.figma.com/proto/fJcm436ydDb9jAMEe4kmI8/Labor.io-%E2%80%93-Gu%C3%ADa-de-estilo--b%C3%BAsqueda-laboral-?node-id=6-2&amp;t=s24oB1n4hHHKzcq1-1&amp;scaling=scale-down&amp;content-scaling=fixed"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Labor.io — Etapa 2: Producto e Identidad Visual</dc:title>
  <dc:creator>Labor.io</dc:creator>
  <cp:lastModifiedBy>Un-named</cp:lastModifiedBy>
  <cp:revision>1</cp:revision>
  <dcterms:created xsi:type="dcterms:W3CDTF">2026-09-23T00:50:49.473Z</dcterms:created>
  <dcterms:modified xsi:type="dcterms:W3CDTF">2026-09-23T00:50:49.482Z</dcterms:modified>
</cp:coreProperties>
</file>

<file path=docProps/custom.xml><?xml version="1.0" encoding="utf-8"?>
<Properties xmlns="http://schemas.openxmlformats.org/officeDocument/2006/custom-properties" xmlns:vt="http://schemas.openxmlformats.org/officeDocument/2006/docPropsVTypes"/>
</file>