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Maps Data structures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Very useful structure, with their variations (read).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Maps are an old form of a data to help with computer languages. (Compiler and interpreter).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O(1) operations for all map operations.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Hash function is mapping the data with the hashcode to an index.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 mapping of a key to a value.  Meaning that the method will specify both!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MapEntry – is a class that represents the pair, and is like a row in a table.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MapEntry(k,v) – key and value parameters, which are generic types.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Unique keys are the identifiers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E.g. ArrayListMap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MapEntry inside of ArrayList is basically a collection with the mapping inside the collection.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NOTE: Building on top of the existing java classes/structures by referencing/using them inside a user-defined data type.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Hashing and collissions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Heavy topic of algorithms.  Knowing the application can help to determine the efficient choice.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Same map, but introduces the O(1) with the key code.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Compression function ?? – a way of hashing the values???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one possible implementation is with the modulus operator to dividing and getting the remainder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another solution is to concatenate the string entries one on top of the other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Hashing function vs. Compression function??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Since hash codes do not have to be unique, because they can be handled when there arise.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Using randomness helps to make less collisions overall.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Two entries that are equal should have hash of same value.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Fit the size of the hash code solution to the problem.  It shouldn’t be too big or too small for the given application.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Properties of a good hash mapping...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Minimizes collission.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Uniform spread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