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24"/>
          <w:szCs w:val="24"/>
        </w:rPr>
        <w:t xml:space="preserve">POLÍCIA MILITAR DO DISTRITO FEDERAL</w:t>
      </w:r>
    </w:p>
    <w:p>
      <w:pPr>
        <w:spacing w:after="480" w:line="360"/>
        <w:jc w:val="center"/>
      </w:pPr>
      <w:r>
        <w:rPr>
          <w:rFonts w:ascii="Times New Roman" w:cs="Times New Roman" w:eastAsia="Times New Roman" w:hAnsi="Times New Roman"/>
          <w:sz w:val="24"/>
          <w:szCs w:val="24"/>
        </w:rPr>
        <w:t xml:space="preserve">DEPARTAMENTO DE EDUCAÇÃO E CULTURA</w:t>
      </w:r>
    </w:p>
    <w:p>
      <w:pPr>
        <w:spacing w:after="120" w:line="360"/>
        <w:jc w:val="center"/>
      </w:pPr>
      <w:r>
        <w:rPr>
          <w:rFonts w:ascii="Times New Roman" w:cs="Times New Roman" w:eastAsia="Times New Roman" w:hAnsi="Times New Roman"/>
          <w:b/>
          <w:bCs/>
          <w:sz w:val="24"/>
          <w:szCs w:val="24"/>
        </w:rPr>
        <w:t xml:space="preserve">GERENCIAMENTO DE CRISES NA POLÍCIA MILITAR DO DISTRITO FEDERAL:</w:t>
      </w:r>
    </w:p>
    <w:p>
      <w:pPr>
        <w:spacing w:after="480" w:line="360"/>
        <w:jc w:val="center"/>
      </w:pPr>
      <w:r>
        <w:rPr>
          <w:rFonts w:ascii="Times New Roman" w:cs="Times New Roman" w:eastAsia="Times New Roman" w:hAnsi="Times New Roman"/>
          <w:sz w:val="24"/>
          <w:szCs w:val="24"/>
        </w:rPr>
        <w:t xml:space="preserve">defesa da unidade policial-militar, agressor ativo, primeiro interventor e primeira resposta com explosivos</w:t>
      </w:r>
    </w:p>
    <w:p>
      <w:pPr>
        <w:spacing w:after="240" w:line="360"/>
        <w:jc w:val="center"/>
      </w:pPr>
      <w:r>
        <w:rPr>
          <w:rFonts w:ascii="Times New Roman" w:cs="Times New Roman" w:eastAsia="Times New Roman" w:hAnsi="Times New Roman"/>
          <w:b/>
          <w:bCs/>
          <w:sz w:val="24"/>
          <w:szCs w:val="24"/>
        </w:rPr>
        <w:t xml:space="preserve">RESUMO</w:t>
      </w:r>
    </w:p>
    <w:p>
      <w:pPr>
        <w:spacing w:after="240" w:line="240"/>
        <w:jc w:val="both"/>
      </w:pPr>
      <w:r>
        <w:rPr>
          <w:rFonts w:ascii="Times New Roman" w:cs="Times New Roman" w:eastAsia="Times New Roman" w:hAnsi="Times New Roman"/>
          <w:sz w:val="24"/>
          <w:szCs w:val="24"/>
        </w:rPr>
        <w:t xml:space="preserve">O presente trabalho examina, de forma integrada, quatro protocolos de resposta a eventos críticos aplicáveis à Polícia Militar do Distrito Federal: as ações defensivas do Plano de Defesa da Unidade Policial Militar frente a confrontos com grupos criminosos especializados, no fenômeno conhecido como Novo Cangaço ou domínio de cidades; as diretrizes do Procedimento Operacional Padrão do Agressor Ativo, veiculadas pela Instrução Normativa EM nº 11/2023; as ações do Primeiro Interventor em Crise, disciplinadas pela Portaria PMDF nº 1.218/2021, que institui a Operação Gerente; e as regras de Primeira Resposta com Explosivos, previstas na Portaria Conjunta SSP nº 07/2019, que institui a Operação Petardo. A metodologia adotada é a pesquisa bibliográfica e documental, de natureza qualitativa e finalidade aplicada, com análise do material de apoio do curso, dos normativos corporativos e distritais de regência, da legislação penal e processual penal, dos atos que disciplinam o uso diferenciado da força e da jurisprudência mais recente sobre letalidade policial. O desenvolvimento percorre, em cada protocolo, a caracterização da ameaça, as ações imediatas exigidas do primeiro interventor e os limites jurídicos da resposta; apresenta, em seguida, um mapa mental integrado que evidencia o núcleo comum às normas de crise e de explosivos, a bifurcação determinada pela natureza da ameaça e a única contradição direta entre elas, relativa ao emprego do rádio; analisa caso real ocorrido no Distrito Federal em que as medidas da Operação Petardo foram aplicadas pela Corporação; e propõe quiz de quatro questões inéditas com gabarito comentado e fundamentado. Conclui-se que a competência exigida do policial-militar em serviço não é a memorização isolada de listas de procedimentos, mas a correta classificação do evento nos primeiros segundos e o reconhecimento tempestivo das transições de natureza, uma vez que os protocolos examinados são, entre si, mutuamente excludentes.</w:t>
      </w:r>
    </w:p>
    <w:p>
      <w:pPr>
        <w:spacing w:after="240" w:line="240"/>
        <w:jc w:val="both"/>
      </w:pPr>
      <w:r>
        <w:rPr>
          <w:rFonts w:ascii="Times New Roman" w:cs="Times New Roman" w:eastAsia="Times New Roman" w:hAnsi="Times New Roman"/>
          <w:b/>
          <w:bCs/>
          <w:sz w:val="24"/>
          <w:szCs w:val="24"/>
        </w:rPr>
        <w:t xml:space="preserve">Palavras-chave: </w:t>
      </w:r>
      <w:r>
        <w:rPr>
          <w:rFonts w:ascii="Times New Roman" w:cs="Times New Roman" w:eastAsia="Times New Roman" w:hAnsi="Times New Roman"/>
          <w:sz w:val="24"/>
          <w:szCs w:val="24"/>
        </w:rPr>
        <w:t xml:space="preserve">Gerenciamento de crises. Plano de Defesa da UPM. Agressor ativo. Operação Gerente. Operação Petardo.</w:t>
      </w:r>
    </w:p>
    <w:p>
      <w:pPr>
        <w:pStyle w:val="Heading1"/>
        <w:spacing w:after="240" w:before="480" w:line="360"/>
      </w:pPr>
      <w:r>
        <w:rPr>
          <w:rFonts w:ascii="Times New Roman" w:cs="Times New Roman" w:eastAsia="Times New Roman" w:hAnsi="Times New Roman"/>
          <w:b/>
          <w:bCs/>
          <w:color w:val="000000"/>
          <w:sz w:val="24"/>
          <w:szCs w:val="24"/>
        </w:rPr>
        <w:t xml:space="preserve">1 INTRODUÇÃO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atividade de polícia ostensiva e de preservação da ordem pública convive, em sua rotina, com ocorrências de gravidade variável que se resolvem pelos procedimentos comuns de policiamento. Existe, contudo, uma classe de eventos que escapa integralmente a essa lógica: aqueles que ameaçam a vida de forma imediata, comprimem o tempo disponível para a deliberação e exigem da instituição uma postura organizacional que não é a habitual. São os eventos críticos, objeto do campo doutrinário do gerenciamento de crises.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que distingue esses eventos não é apenas a gravidade, mas a circunstância de que o erro cometido nos dois primeiros minutos raramente é corrigível nas duas horas seguintes. A guarnição que sai fracionada do quartel sob ataque de grupo com armamento de guerra, o policial que interrompe a progressão para socorrer um ferido enquanto o agressor prossegue atirando e o interventor que aciona o rádio portátil ao lado de um artefato com iniciação por radiofrequência praticam, cada um a seu modo, decisões cujas consequências se medem em vidas.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Há, porém, um segundo problema, menos evidente e de consequências igualmente graves: os protocolos de resposta a eventos críticos não apenas diferem entre si — eles se contradizem. Isolar o perímetro e negociar constitui a regra de ouro diante da crise com reféns e é precisamente o erro fatal diante do agressor ativo. Difundir de imediato os dados pela rede de rádio é dever inafastável no ataque à unidade policial-militar e é conduta proibida nas proximidades de um artefato explosivo. Por essa razão, a primeira decisão do policial que chega ao local nunca é o que fazer, e sim qual protocolo se aplica.</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objetivo geral deste trabalho é sistematizar, de modo integrado, os quatro protocolos de resposta a eventos críticos indicados na atividade e demonstrar sua aplicabilidade concreta ao serviço operacional da Polícia Militar do Distrito Federal. Como objetivos específicos, pretende-se: descrever as ações defensivas do Plano de Defesa da Unidade Policial Militar frente ao ataque de grupos criminosos especializados, com ênfase na autoproteção das instalações, na difusão imediata de dados ao Centro de Operações Policiais Militares e no estabelecimento do cerco nos pontos de estrangulamento; expor as diretrizes do Procedimento Operacional Padrão do Agressor Ativo, quanto à formação de contato, à progressão tática em direção ao som dos disparos e à intervenção direta; construir mapa mental integrado que relacione a atuação do Primeiro Interventor em Crise e a Primeira Resposta com Explosivos; analisar caso real ocorrido no Distrito Federal com aplicação das medidas da Operação Petardo; e elaborar quiz de quatro questões inéditas com gabarito comentado e fundamentado.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metodologia empregada é a pesquisa bibliográfica e documental, de abordagem qualitativa e finalidade aplicada. Foram consultados o material de apoio do curso, os normativos corporativos e distritais de regência, a legislação constitucional, penal e processual penal, os atos normativos federais e internacionais que disciplinam o uso da força por agentes de segurança pública e precedentes recentes do Supremo Tribunal Federal e da Corte Interamericana de Direitos Humanos sobre planejamento, registro e controle das operações policiais.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Cabe registrar, desde logo, uma advertência metodológica. Os procedimentos aqui sistematizados foram organizados a partir do material de apoio do curso e da doutrina consolidada de gerenciamento de crises, primeira resposta a explosivos e resposta a agressor ativo. A numeração de itens, os valores de distância de segurança e a distribuição de atribuições devem ser conferidos diretamente no texto vigente do Plano de Defesa da Unidade Policial Militar, da Instrução Normativa EM nº 11/2023, da Portaria PMDF nº 1.218/2021 e da Portaria Conjunta SSP nº 07/2019, bem como nas instruções técnicas do Esquadrão Antibombas do Batalhão de Operações Policiais Especiais.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trabalho estrutura-se em sete seções. Após esta introdução, a segunda seção trata das ações defensivas do Plano de Defesa da UPM; a terceira, das diretrizes do POP do Agressor Ativo; a quarta apresenta o mapa mental integrado entre a Operação Gerente e a Operação Petardo; a quinta analisa o caso real ocorrido no Distrito Federal; a sexta traz o quiz com gabarito comentado; e a sétima apresenta as considerações finais, seguidas da relação das fontes consultadas.</w:t>
      </w:r>
    </w:p>
    <w:p>
      <w:pPr>
        <w:pStyle w:val="Heading1"/>
        <w:spacing w:after="240" w:before="480" w:line="360"/>
      </w:pPr>
      <w:r>
        <w:rPr>
          <w:rFonts w:ascii="Times New Roman" w:cs="Times New Roman" w:eastAsia="Times New Roman" w:hAnsi="Times New Roman"/>
          <w:b/>
          <w:bCs/>
          <w:color w:val="000000"/>
          <w:sz w:val="24"/>
          <w:szCs w:val="24"/>
        </w:rPr>
        <w:t xml:space="preserve">2 AÇÕES DEFENSIVAS DO PLANO DE DEFESA DA UNIDADE POLICIAL MILITAR</w:t>
      </w:r>
    </w:p>
    <w:p>
      <w:pPr>
        <w:pStyle w:val="Heading2"/>
        <w:spacing w:after="180" w:before="360" w:line="360"/>
      </w:pPr>
      <w:r>
        <w:rPr>
          <w:rFonts w:ascii="Times New Roman" w:cs="Times New Roman" w:eastAsia="Times New Roman" w:hAnsi="Times New Roman"/>
          <w:b/>
          <w:bCs/>
          <w:color w:val="000000"/>
          <w:sz w:val="24"/>
          <w:szCs w:val="24"/>
        </w:rPr>
        <w:t xml:space="preserve">2.1 Caracterização da ameaça: o Novo Cangaço e o domínio de cidades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expressão Novo Cangaço designa a modalidade criminosa caracterizada pelo ataque simultâneo e coordenado a instituições financeiras e a estabelecimentos depositários de valores, executado por grupo numeroso, com armamento de guerra, elevado grau de planejamento e emprego deliberado de técnicas de negação de mobilidade e de comunicação contra a resposta estatal. Quando a ação se estende ao controle temporário de vias, de serviços e da própria circulação de pessoas em determinada localidade, fala-se em domínio de cidade.</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primeiro equívoco a ser afastado é o de tratar tais ocorrências como roubo de maiores proporções. Trata-se de operação militarizada, desenvolvida em fases sucessivas, e o reconhecimento da fase em curso é o que permite ao policial antecipar a fase seguinte, em vez de reagir a ela. A doutrina policial brasileira identifica, a partir de ocorrências registradas em diversas unidades da Federação, um padrão consistente de execução, sintetizado no Quadro 1.</w:t>
      </w:r>
    </w:p>
    <w:p>
      <w:pPr>
        <w:spacing w:after="120" w:before="240" w:line="240"/>
        <w:jc w:val="left"/>
      </w:pPr>
      <w:r>
        <w:rPr>
          <w:rFonts w:ascii="Times New Roman" w:cs="Times New Roman" w:eastAsia="Times New Roman" w:hAnsi="Times New Roman"/>
          <w:sz w:val="20"/>
          <w:szCs w:val="20"/>
        </w:rPr>
        <w:t xml:space="preserve">Quadro 1 – Fases e características do ataque de grupo criminoso especializado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6670"/>
      </w:tblGrid>
      <w:tr>
        <w:tc>
          <w:tcPr>
            <w:tcW w:type="dxa" w:w="2400"/>
            <w:shd w:fill="D9D9D9" w:color="auto" w:val="clear"/>
            <w:tcMar>
              <w:top w:type="dxa" w:w="60"/>
              <w:left w:type="dxa" w:w="100"/>
              <w:bottom w:type="dxa" w:w="60"/>
              <w:right w:type="dxa" w:w="100"/>
            </w:tcMar>
            <w:vAlign w:val="center"/>
          </w:tcPr>
          <w:p>
            <w:pPr>
              <w:spacing w:line="240"/>
              <w:jc w:val="left"/>
            </w:pPr>
            <w:r>
              <w:rPr>
                <w:rFonts w:ascii="Times New Roman" w:cs="Times New Roman" w:eastAsia="Times New Roman" w:hAnsi="Times New Roman"/>
                <w:b/>
                <w:bCs/>
                <w:sz w:val="20"/>
                <w:szCs w:val="20"/>
              </w:rPr>
              <w:t xml:space="preserve">Fase / elemento</w:t>
            </w:r>
          </w:p>
        </w:tc>
        <w:tc>
          <w:tcPr>
            <w:tcW w:type="dxa" w:w="6670"/>
            <w:shd w:fill="D9D9D9" w:color="auto" w:val="clear"/>
            <w:tcMar>
              <w:top w:type="dxa" w:w="60"/>
              <w:left w:type="dxa" w:w="100"/>
              <w:bottom w:type="dxa" w:w="60"/>
              <w:right w:type="dxa" w:w="100"/>
            </w:tcMar>
            <w:vAlign w:val="center"/>
          </w:tcPr>
          <w:p>
            <w:pPr>
              <w:spacing w:line="240"/>
              <w:jc w:val="left"/>
            </w:pPr>
            <w:r>
              <w:rPr>
                <w:rFonts w:ascii="Times New Roman" w:cs="Times New Roman" w:eastAsia="Times New Roman" w:hAnsi="Times New Roman"/>
                <w:b/>
                <w:bCs/>
                <w:sz w:val="20"/>
                <w:szCs w:val="20"/>
              </w:rPr>
              <w:t xml:space="preserve">Caracterização operacional</w:t>
            </w:r>
          </w:p>
        </w:tc>
      </w:tr>
      <w:tr>
        <w:tc>
          <w:tcPr>
            <w:tcW w:type="dxa" w:w="24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Escolha do horário e do efetivo</w:t>
            </w:r>
          </w:p>
        </w:tc>
        <w:tc>
          <w:tcPr>
            <w:tcW w:type="dxa" w:w="66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Madrugada, entre 02h e 05h, período de menor densidade policial e de menor circulação de testemunhas. Grupo de dez a trinta criminosos, em múltiplos veículos, com fuzis de calibre 5,56 mm e 7,62 mm, por vezes armamento de calibre .50, e explosivos destinados ao arrombamento de cofres e caixas eletrônicos.</w:t>
            </w:r>
          </w:p>
        </w:tc>
      </w:tr>
      <w:tr>
        <w:tc>
          <w:tcPr>
            <w:tcW w:type="dxa" w:w="24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Neutralização prévia da resposta policial</w:t>
            </w:r>
          </w:p>
        </w:tc>
        <w:tc>
          <w:tcPr>
            <w:tcW w:type="dxa" w:w="66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Ataque, cerco ou fixação da unidade policial-militar antes do golpe principal. O objetivo raramente é a conquista do quartel: é impedir que a tropa saia dele de forma organizada.</w:t>
            </w:r>
          </w:p>
        </w:tc>
      </w:tr>
      <w:tr>
        <w:tc>
          <w:tcPr>
            <w:tcW w:type="dxa" w:w="24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Negação de mobilidade</w:t>
            </w:r>
          </w:p>
        </w:tc>
        <w:tc>
          <w:tcPr>
            <w:tcW w:type="dxa" w:w="66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Veículos incendiados atravessados nas vias, dispersão de miguelitos, derrubada de postes e árvores e instalação de artefatos improvisados nas rotas de aproximação do reforço.</w:t>
            </w:r>
          </w:p>
        </w:tc>
      </w:tr>
      <w:tr>
        <w:tc>
          <w:tcPr>
            <w:tcW w:type="dxa" w:w="24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Negação de comunicação</w:t>
            </w:r>
          </w:p>
        </w:tc>
        <w:tc>
          <w:tcPr>
            <w:tcW w:type="dxa" w:w="66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Ataque a torres e antenas, emprego de bloqueadores de sinal e monitoramento da rede de rádio policial por meio de receptores ou equipamentos clonados.</w:t>
            </w:r>
          </w:p>
        </w:tc>
      </w:tr>
      <w:tr>
        <w:tc>
          <w:tcPr>
            <w:tcW w:type="dxa" w:w="24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Emprego de escudo humano</w:t>
            </w:r>
          </w:p>
        </w:tc>
        <w:tc>
          <w:tcPr>
            <w:tcW w:type="dxa" w:w="66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Reféns colhidos na via pública e distribuídos sobre os veículos e ao longo das rotas de fuga, com a finalidade específica de inibir o emprego de fogo pela polícia.</w:t>
            </w:r>
          </w:p>
        </w:tc>
      </w:tr>
      <w:tr>
        <w:tc>
          <w:tcPr>
            <w:tcW w:type="dxa" w:w="24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Dispersão planejada</w:t>
            </w:r>
          </w:p>
        </w:tc>
        <w:tc>
          <w:tcPr>
            <w:tcW w:type="dxa" w:w="66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Troca de veículos em ponto previamente definido, abandono parcial do produto do crime, fuga por área rural ou de mata e evasão para unidade federativa limítrofe.</w:t>
            </w:r>
          </w:p>
        </w:tc>
      </w:tr>
    </w:tbl>
    <w:p>
      <w:pPr>
        <w:spacing w:after="240" w:before="120" w:line="240"/>
        <w:jc w:val="left"/>
      </w:pPr>
      <w:r>
        <w:rPr>
          <w:rFonts w:ascii="Times New Roman" w:cs="Times New Roman" w:eastAsia="Times New Roman" w:hAnsi="Times New Roman"/>
          <w:sz w:val="20"/>
          <w:szCs w:val="20"/>
        </w:rPr>
        <w:t xml:space="preserve">Fonte: elaborado pelo autor com base no material de apoio do curso e na doutrina policial sobre o fenômeno.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Distrito Federal apresenta, quanto a essa ameaça, uma particularidade geográfica relevante: a extensão territorial reduzida e a contiguidade com os municípios goianos do Entorno comprimem drasticamente o tempo disponível para a resposta. Um grupo que conclua a ação em região administrativa periférica alcança divisa estadual em poucos minutos, o que desloca o eixo da eficácia policial da perseguição para a interceptação antecipada.</w:t>
      </w:r>
    </w:p>
    <w:p>
      <w:pPr>
        <w:pStyle w:val="Heading2"/>
        <w:spacing w:after="180" w:before="360" w:line="360"/>
      </w:pPr>
      <w:r>
        <w:rPr>
          <w:rFonts w:ascii="Times New Roman" w:cs="Times New Roman" w:eastAsia="Times New Roman" w:hAnsi="Times New Roman"/>
          <w:b/>
          <w:bCs/>
          <w:color w:val="000000"/>
          <w:sz w:val="24"/>
          <w:szCs w:val="24"/>
        </w:rPr>
        <w:t xml:space="preserve">2.2 Procedimentos de autoproteção do quartel e das instalações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autoproteção da unidade não é medida de conveniência, mas condição de possibilidade da resposta. A instalação que perde sua integridade deixa de ser base de irradiação do policiamento e converte-se em ocorrência adicional, consumindo os mesmos meios que deveriam estar sendo empregados no alvo principal. As medidas a seguir integram o dispositivo defensivo previsto no Plano de Defesa da UPM.</w:t>
      </w:r>
    </w:p>
    <w:p>
      <w:pPr>
        <w:spacing w:line="360"/>
        <w:ind w:left="709" w:firstLine="0"/>
        <w:jc w:val="both"/>
      </w:pPr>
      <w:r>
        <w:rPr>
          <w:rFonts w:ascii="Times New Roman" w:cs="Times New Roman" w:eastAsia="Times New Roman" w:hAnsi="Times New Roman"/>
          <w:b/>
          <w:bCs/>
          <w:sz w:val="24"/>
          <w:szCs w:val="24"/>
        </w:rPr>
        <w:t xml:space="preserve">a) Alarme e cerramento. </w:t>
      </w:r>
      <w:r>
        <w:rPr>
          <w:rFonts w:ascii="Times New Roman" w:cs="Times New Roman" w:eastAsia="Times New Roman" w:hAnsi="Times New Roman"/>
          <w:sz w:val="24"/>
          <w:szCs w:val="24"/>
        </w:rPr>
        <w:t xml:space="preserve">Acionamento do alerta interno, travamento de portões, cancelas e acessos secundários e recolhimento ao perímetro de tudo o que estiver exposto, especialmente pessoal em atividade externa junto à instalação.</w:t>
      </w:r>
    </w:p>
    <w:p>
      <w:pPr>
        <w:spacing w:line="360"/>
        <w:ind w:left="709" w:firstLine="0"/>
        <w:jc w:val="both"/>
      </w:pPr>
      <w:r>
        <w:rPr>
          <w:rFonts w:ascii="Times New Roman" w:cs="Times New Roman" w:eastAsia="Times New Roman" w:hAnsi="Times New Roman"/>
          <w:b/>
          <w:bCs/>
          <w:sz w:val="24"/>
          <w:szCs w:val="24"/>
        </w:rPr>
        <w:t xml:space="preserve">b) Iluminação a favor da defesa. </w:t>
      </w:r>
      <w:r>
        <w:rPr>
          <w:rFonts w:ascii="Times New Roman" w:cs="Times New Roman" w:eastAsia="Times New Roman" w:hAnsi="Times New Roman"/>
          <w:sz w:val="24"/>
          <w:szCs w:val="24"/>
        </w:rPr>
        <w:t xml:space="preserve">Supressão das luzes que recortam a silhueta do defensor e manutenção ou acionamento daquelas que iluminam o atacante nas vias de aproximação. A iluminação mal empregada transforma o defensor em alvo iluminado contra fundo escuro.</w:t>
      </w:r>
    </w:p>
    <w:p>
      <w:pPr>
        <w:spacing w:line="360"/>
        <w:ind w:left="709" w:firstLine="0"/>
        <w:jc w:val="both"/>
      </w:pPr>
      <w:r>
        <w:rPr>
          <w:rFonts w:ascii="Times New Roman" w:cs="Times New Roman" w:eastAsia="Times New Roman" w:hAnsi="Times New Roman"/>
          <w:b/>
          <w:bCs/>
          <w:sz w:val="24"/>
          <w:szCs w:val="24"/>
        </w:rPr>
        <w:t xml:space="preserve">c) Ocupação dos postos de defesa previstos. </w:t>
      </w:r>
      <w:r>
        <w:rPr>
          <w:rFonts w:ascii="Times New Roman" w:cs="Times New Roman" w:eastAsia="Times New Roman" w:hAnsi="Times New Roman"/>
          <w:sz w:val="24"/>
          <w:szCs w:val="24"/>
        </w:rPr>
        <w:t xml:space="preserve">Cada policial-militar desloca-se para o ponto que lhe foi designado no plano, privilegiando posições com cobertura dura — concreto armado, colunas estruturais, terrapleno. Alvenaria simples, divisórias leves e superfícies envidraçadas oferecem ocultação, não proteção: não detêm projétil de fuzil.</w:t>
      </w:r>
    </w:p>
    <w:p>
      <w:pPr>
        <w:spacing w:line="360"/>
        <w:ind w:left="709" w:firstLine="0"/>
        <w:jc w:val="both"/>
      </w:pPr>
      <w:r>
        <w:rPr>
          <w:rFonts w:ascii="Times New Roman" w:cs="Times New Roman" w:eastAsia="Times New Roman" w:hAnsi="Times New Roman"/>
          <w:b/>
          <w:bCs/>
          <w:sz w:val="24"/>
          <w:szCs w:val="24"/>
        </w:rPr>
        <w:t xml:space="preserve">d) Distribuição prioritária de meios. </w:t>
      </w:r>
      <w:r>
        <w:rPr>
          <w:rFonts w:ascii="Times New Roman" w:cs="Times New Roman" w:eastAsia="Times New Roman" w:hAnsi="Times New Roman"/>
          <w:sz w:val="24"/>
          <w:szCs w:val="24"/>
        </w:rPr>
        <w:t xml:space="preserve">Armamento de maior poder de fogo, coletes balísticos de maior nível de proteção e munição da reserva são distribuídos, em primeiro lugar, a quem ocupa os setores de maior exposição.</w:t>
      </w:r>
    </w:p>
    <w:p>
      <w:pPr>
        <w:spacing w:line="360"/>
        <w:ind w:left="709" w:firstLine="0"/>
        <w:jc w:val="both"/>
      </w:pPr>
      <w:r>
        <w:rPr>
          <w:rFonts w:ascii="Times New Roman" w:cs="Times New Roman" w:eastAsia="Times New Roman" w:hAnsi="Times New Roman"/>
          <w:b/>
          <w:bCs/>
          <w:sz w:val="24"/>
          <w:szCs w:val="24"/>
        </w:rPr>
        <w:t xml:space="preserve">e) Proteção da reserva de armamento. </w:t>
      </w:r>
      <w:r>
        <w:rPr>
          <w:rFonts w:ascii="Times New Roman" w:cs="Times New Roman" w:eastAsia="Times New Roman" w:hAnsi="Times New Roman"/>
          <w:sz w:val="24"/>
          <w:szCs w:val="24"/>
        </w:rPr>
        <w:t xml:space="preserve">A captura de armas e munição constitui objetivo secundário desses grupos, com efeito multiplicador sobre a criminalidade regional. O paiol e a reserva recebem guarnecimento próprio e não são desguarnecidos em nenhuma hipótese.</w:t>
      </w:r>
    </w:p>
    <w:p>
      <w:pPr>
        <w:spacing w:line="360"/>
        <w:ind w:left="709" w:firstLine="0"/>
        <w:jc w:val="both"/>
      </w:pPr>
      <w:r>
        <w:rPr>
          <w:rFonts w:ascii="Times New Roman" w:cs="Times New Roman" w:eastAsia="Times New Roman" w:hAnsi="Times New Roman"/>
          <w:b/>
          <w:bCs/>
          <w:sz w:val="24"/>
          <w:szCs w:val="24"/>
        </w:rPr>
        <w:t xml:space="preserve">f) Recolhimento de terceiros e de custodiados. </w:t>
      </w:r>
      <w:r>
        <w:rPr>
          <w:rFonts w:ascii="Times New Roman" w:cs="Times New Roman" w:eastAsia="Times New Roman" w:hAnsi="Times New Roman"/>
          <w:sz w:val="24"/>
          <w:szCs w:val="24"/>
        </w:rPr>
        <w:t xml:space="preserve">Público em atendimento, servidores civis e presos sob custódia são conduzidos a área protegida, fora das linhas de tiro e afastados de fachadas envidraçadas.</w:t>
      </w:r>
    </w:p>
    <w:p>
      <w:pPr>
        <w:spacing w:line="360"/>
        <w:ind w:left="709" w:firstLine="0"/>
        <w:jc w:val="both"/>
      </w:pPr>
      <w:r>
        <w:rPr>
          <w:rFonts w:ascii="Times New Roman" w:cs="Times New Roman" w:eastAsia="Times New Roman" w:hAnsi="Times New Roman"/>
          <w:b/>
          <w:bCs/>
          <w:sz w:val="24"/>
          <w:szCs w:val="24"/>
        </w:rPr>
        <w:t xml:space="preserve">g) Dispersão das viaturas. </w:t>
      </w:r>
      <w:r>
        <w:rPr>
          <w:rFonts w:ascii="Times New Roman" w:cs="Times New Roman" w:eastAsia="Times New Roman" w:hAnsi="Times New Roman"/>
          <w:sz w:val="24"/>
          <w:szCs w:val="24"/>
        </w:rPr>
        <w:t xml:space="preserve">Viaturas concentradas e alinhadas na testada do quartel constituem alvo remunerador e, uma vez atingidas, obstáculo à própria saída da tropa.</w:t>
      </w:r>
    </w:p>
    <w:p>
      <w:pPr>
        <w:spacing w:line="360"/>
        <w:ind w:left="709" w:firstLine="0"/>
        <w:jc w:val="both"/>
      </w:pPr>
      <w:r>
        <w:rPr>
          <w:rFonts w:ascii="Times New Roman" w:cs="Times New Roman" w:eastAsia="Times New Roman" w:hAnsi="Times New Roman"/>
          <w:b/>
          <w:bCs/>
          <w:sz w:val="24"/>
          <w:szCs w:val="24"/>
        </w:rPr>
        <w:t xml:space="preserve">h) Comunicação alternativa previamente preparada. </w:t>
      </w:r>
      <w:r>
        <w:rPr>
          <w:rFonts w:ascii="Times New Roman" w:cs="Times New Roman" w:eastAsia="Times New Roman" w:hAnsi="Times New Roman"/>
          <w:sz w:val="24"/>
          <w:szCs w:val="24"/>
        </w:rPr>
        <w:t xml:space="preserve">Havendo comprometimento da rede de rádio, empregam-se telefonia celular e fixa, aplicativos de mensagens, redes de outras forças e, em último caso, mensageiro, com relação de contatos mantida em meio impresso.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Entre todas as medidas, uma merece tratamento destacado por concentrar o maior potencial de dano quando descumprida: a vedação ao fracionamento da tropa. O fogo dirigido contra o quartel, quando desacompanhado de tentativa concreta de transposição do muro, raramente visa à conquista da instalação. Sua função tática é a fixação — prender a tropa ao solo ou, melhor ainda para o atacante, provocar a saída desordenada de uma ou duas guarnições isoladas, em inferioridade numérica e de armamento, por vias previamente preparadas como local de emboscada.</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resposta correta, portanto, inverte o impulso natural: mantém-se a tropa reunida no dispositivo de defesa, difunde-se imediatamente a situação e articula-se o reforço para saída em bloco, com ordem, meios e apoio definidos. A saída fracionada sob provocação dissolve a defesa, entrega viaturas e policiais ao terreno escolhido pelo adversário e desguarnece o alvo principal, produzindo simultaneamente os três resultados que o atacante persegue.</w:t>
      </w:r>
    </w:p>
    <w:p>
      <w:pPr>
        <w:pStyle w:val="Heading2"/>
        <w:spacing w:after="180" w:before="360" w:line="360"/>
      </w:pPr>
      <w:r>
        <w:rPr>
          <w:rFonts w:ascii="Times New Roman" w:cs="Times New Roman" w:eastAsia="Times New Roman" w:hAnsi="Times New Roman"/>
          <w:b/>
          <w:bCs/>
          <w:color w:val="000000"/>
          <w:sz w:val="24"/>
          <w:szCs w:val="24"/>
        </w:rPr>
        <w:t xml:space="preserve">2.3 Difusão imediata de dados ao COPOM pela rede de rádio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primeira mensagem transmitida estrutura toda a resposta subsequente do sistema de segurança pública. Dela dependem o dimensionamento do reforço, a definição dos eixos de aproximação, o acionamento das unidades especializadas e a articulação com os demais órgãos. A transmissão deve ser curta, pausada e completa, com uma ideia por transmissão, observando-se a sequência de campos a seguir e renovando-se a difusão a cada alteração relevante do quadro.</w:t>
      </w:r>
    </w:p>
    <w:p>
      <w:pPr>
        <w:spacing w:after="120" w:before="240" w:line="240"/>
        <w:jc w:val="left"/>
      </w:pPr>
      <w:r>
        <w:rPr>
          <w:rFonts w:ascii="Times New Roman" w:cs="Times New Roman" w:eastAsia="Times New Roman" w:hAnsi="Times New Roman"/>
          <w:sz w:val="20"/>
          <w:szCs w:val="20"/>
        </w:rPr>
        <w:t xml:space="preserve">Quadro 2 – Campos da difusão inicial ao COPOM</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c>
          <w:tcPr>
            <w:tcW w:type="dxa" w:w="2000"/>
            <w:shd w:fill="D9D9D9" w:color="auto" w:val="clear"/>
            <w:tcMar>
              <w:top w:type="dxa" w:w="60"/>
              <w:left w:type="dxa" w:w="100"/>
              <w:bottom w:type="dxa" w:w="60"/>
              <w:right w:type="dxa" w:w="100"/>
            </w:tcMar>
            <w:vAlign w:val="center"/>
          </w:tcPr>
          <w:p>
            <w:pPr>
              <w:spacing w:line="240"/>
              <w:jc w:val="left"/>
            </w:pPr>
            <w:r>
              <w:rPr>
                <w:rFonts w:ascii="Times New Roman" w:cs="Times New Roman" w:eastAsia="Times New Roman" w:hAnsi="Times New Roman"/>
                <w:b/>
                <w:bCs/>
                <w:sz w:val="20"/>
                <w:szCs w:val="20"/>
              </w:rPr>
              <w:t xml:space="preserve">Campo</w:t>
            </w:r>
          </w:p>
        </w:tc>
        <w:tc>
          <w:tcPr>
            <w:tcW w:type="dxa" w:w="7070"/>
            <w:shd w:fill="D9D9D9" w:color="auto" w:val="clear"/>
            <w:tcMar>
              <w:top w:type="dxa" w:w="60"/>
              <w:left w:type="dxa" w:w="100"/>
              <w:bottom w:type="dxa" w:w="60"/>
              <w:right w:type="dxa" w:w="100"/>
            </w:tcMar>
            <w:vAlign w:val="center"/>
          </w:tcPr>
          <w:p>
            <w:pPr>
              <w:spacing w:line="240"/>
              <w:jc w:val="left"/>
            </w:pPr>
            <w:r>
              <w:rPr>
                <w:rFonts w:ascii="Times New Roman" w:cs="Times New Roman" w:eastAsia="Times New Roman" w:hAnsi="Times New Roman"/>
                <w:b/>
                <w:bCs/>
                <w:sz w:val="20"/>
                <w:szCs w:val="20"/>
              </w:rPr>
              <w:t xml:space="preserve">Conteúdo</w:t>
            </w:r>
          </w:p>
        </w:tc>
      </w:tr>
      <w:tr>
        <w:tc>
          <w:tcPr>
            <w:tcW w:type="dxa" w:w="20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1. O quê</w:t>
            </w:r>
          </w:p>
        </w:tc>
        <w:tc>
          <w:tcPr>
            <w:tcW w:type="dxa" w:w="70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Natureza do evento: ataque a unidade policial-militar, domínio de cidade, ataque a instituição financeira, explosão.</w:t>
            </w:r>
          </w:p>
        </w:tc>
      </w:tr>
      <w:tr>
        <w:tc>
          <w:tcPr>
            <w:tcW w:type="dxa" w:w="20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2. Onde</w:t>
            </w:r>
          </w:p>
        </w:tc>
        <w:tc>
          <w:tcPr>
            <w:tcW w:type="dxa" w:w="70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Endereço exato, ponto de referência inequívoco e sentido de deslocamento.</w:t>
            </w:r>
          </w:p>
        </w:tc>
      </w:tr>
      <w:tr>
        <w:tc>
          <w:tcPr>
            <w:tcW w:type="dxa" w:w="20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3. Quantos</w:t>
            </w:r>
          </w:p>
        </w:tc>
        <w:tc>
          <w:tcPr>
            <w:tcW w:type="dxa" w:w="70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Número estimado de criminosos e de veículos empregados.</w:t>
            </w:r>
          </w:p>
        </w:tc>
      </w:tr>
      <w:tr>
        <w:tc>
          <w:tcPr>
            <w:tcW w:type="dxa" w:w="20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4. Como armados</w:t>
            </w:r>
          </w:p>
        </w:tc>
        <w:tc>
          <w:tcPr>
            <w:tcW w:type="dxa" w:w="70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Fuzil, metralhadora, explosivos, aeronaves remotamente pilotadas, coletes — o que foi efetivamente visto, sem inferência.</w:t>
            </w:r>
          </w:p>
        </w:tc>
      </w:tr>
      <w:tr>
        <w:tc>
          <w:tcPr>
            <w:tcW w:type="dxa" w:w="20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5. Veículos</w:t>
            </w:r>
          </w:p>
        </w:tc>
        <w:tc>
          <w:tcPr>
            <w:tcW w:type="dxa" w:w="70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Tipo, cor, marca, placa quando legível e sentido de fuga.</w:t>
            </w:r>
          </w:p>
        </w:tc>
      </w:tr>
      <w:tr>
        <w:tc>
          <w:tcPr>
            <w:tcW w:type="dxa" w:w="20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6. Reféns e vítimas</w:t>
            </w:r>
          </w:p>
        </w:tc>
        <w:tc>
          <w:tcPr>
            <w:tcW w:type="dxa" w:w="70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Existência, quantidade aproximada, localização e emprego como escudo humano.</w:t>
            </w:r>
          </w:p>
        </w:tc>
      </w:tr>
      <w:tr>
        <w:tc>
          <w:tcPr>
            <w:tcW w:type="dxa" w:w="20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7. Bloqueios</w:t>
            </w:r>
          </w:p>
        </w:tc>
        <w:tc>
          <w:tcPr>
            <w:tcW w:type="dxa" w:w="70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Vias obstruídas, incêndios, miguelitos e demais obstáculos, informação que orienta o eixo de aproximação do reforço.</w:t>
            </w:r>
          </w:p>
        </w:tc>
      </w:tr>
      <w:tr>
        <w:tc>
          <w:tcPr>
            <w:tcW w:type="dxa" w:w="20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8. Necessidades</w:t>
            </w:r>
          </w:p>
        </w:tc>
        <w:tc>
          <w:tcPr>
            <w:tcW w:type="dxa" w:w="70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Reforço, aeronave, apoio de saúde, bombeiros, concessionárias de serviços e forças limítrofes.</w:t>
            </w:r>
          </w:p>
        </w:tc>
      </w:tr>
    </w:tbl>
    <w:p>
      <w:pPr>
        <w:spacing w:after="240" w:before="120" w:line="240"/>
        <w:jc w:val="left"/>
      </w:pPr>
      <w:r>
        <w:rPr>
          <w:rFonts w:ascii="Times New Roman" w:cs="Times New Roman" w:eastAsia="Times New Roman" w:hAnsi="Times New Roman"/>
          <w:sz w:val="20"/>
          <w:szCs w:val="20"/>
        </w:rPr>
        <w:t xml:space="preserve">Fonte: elaborado pelo autor com base no material de apoio do curso.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esse dever de difusão soma-se, contudo, uma cautela de contra-inteligência que não o contradiz, mas o delimita. Deve-se presumir que a rede está sendo monitorada. Difundir o que se vê é obrigação; difundir o que se vai fazer é entregar o plano ao adversário. Não se transmitem em claro o dispositivo de resposta, o efetivo empregado, as rotas de deslocamento do reforço nem a localização das equipes de cerco — dados que devem transitar por canal alternativo, criptografado ou por telefonia. Cabe ao COPOM, ademais, restringir a rede da ocorrência, mantendo as demais unidades em silêncio para preservar a fluidez das transmissões essenciais.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Registre-se que a disciplina de rede não se confunde com silêncio. A suspensão das transmissões, salvo na hipótese específica de ameaça de artefato explosivo tratada na seção 4 deste trabalho, é conduta omissiva que priva o sistema exatamente da informação de que ele depende para articular a resposta.</w:t>
      </w:r>
    </w:p>
    <w:p>
      <w:pPr>
        <w:pStyle w:val="Heading2"/>
        <w:spacing w:after="180" w:before="360" w:line="360"/>
      </w:pPr>
      <w:r>
        <w:rPr>
          <w:rFonts w:ascii="Times New Roman" w:cs="Times New Roman" w:eastAsia="Times New Roman" w:hAnsi="Times New Roman"/>
          <w:b/>
          <w:bCs/>
          <w:color w:val="000000"/>
          <w:sz w:val="24"/>
          <w:szCs w:val="24"/>
        </w:rPr>
        <w:t xml:space="preserve">2.4 Estabelecimento do cerco nos pontos de estrangulamento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Denomina-se ponto de estrangulamento o trecho de passagem obrigatória em que a fuga pode ser interceptada com economia de meios: ponte, viaduto, alça de acesso, trevo, cancela, estrada vicinal única ou saída de rodovia. O conceito encerra a premissa central da doutrina de cerco: o resultado não se obtém pela perseguição, e sim pela ocupação antecipada do ponto por onde o criminoso necessariamente passará.</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cerco eficaz organiza-se em profundidade, mediante anéis sucessivos. O primeiro anel abrange as imediações do alvo; o segundo, as vias arteriais da região administrativa; o terceiro, as saídas do Distrito Federal. No caso concreto do território distrital, os eixos obrigatórios de evasão são poucos e conhecidos — as rodovias federais BR-020, BR-040, BR-060, BR-070 e BR-251, as rodovias distritais DF-001 (Estrada Parque Contorno), DF-003 (Estrada Parque Indústria e Abastecimento), DF-085 (Estrada Parque Taguatinga) e DF-095 (Estrada Parque Ceilândia), além das pontes sobre o Lago Paranoá. Essa circunstância favorece o planejamento prévio, mas exige que o terceiro anel seja acionado simultaneamente à primeira difusão, e não após a confirmação da consumação do crime.</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Quanto ao posicionamento das equipes, aplicam-se as seguintes regras técnicas: ocupar o ponto obrigatório com antecedência; buscar, sempre que o terreno permitir, distância superior ao alcance eficaz do fuzil, com observação em enfiada da via; dispor de cobertura dura ao alcance imediato, jamais utilizando a viatura como parapeito, uma vez que lataria, vidros e portas não detêm projétil de fuzil; definir previamente plano de fogo e plano de evasão, com setor de responsabilidade, limite lateral, ponto de recuo e áreas de tiro proibido; assegurar a identificação de tropa amiga mediante senha, contrassenha, sinalização e canal comum, pois o emprego simultâneo de múltiplas forças, à noite e em movimento, cria risco concreto de fratricídio; tratar obstáculos, veículos abandonados e volumes deixados na rota de fuga como possíveis artefatos explosivos, aplicando-se as regras examinadas na seção 4; e integrar meios de observação aérea, videomonitoramento e leitura automática de placas, com articulação com a Polícia Rodoviária Federal nas rodovias federais e com as forças de segurança do Entorno.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Há, por fim, uma regra de contenção que atravessa toda a fase de cerco e conecta esta seção às demais: identificada a presença de refém no veículo em fuga, cessa o emprego de fogo e o evento transita para o regime de gerenciamento de crise, com a incidência das ações do primeiro interventor examinadas na seção 4.1 deste trabalho.</w:t>
      </w:r>
    </w:p>
    <w:p>
      <w:pPr>
        <w:pStyle w:val="Heading1"/>
        <w:spacing w:after="240" w:before="480" w:line="360"/>
      </w:pPr>
      <w:r>
        <w:rPr>
          <w:rFonts w:ascii="Times New Roman" w:cs="Times New Roman" w:eastAsia="Times New Roman" w:hAnsi="Times New Roman"/>
          <w:b/>
          <w:bCs/>
          <w:color w:val="000000"/>
          <w:sz w:val="24"/>
          <w:szCs w:val="24"/>
        </w:rPr>
        <w:t xml:space="preserve">3 DIRETRIZES DO POP DO AGRESSOR ATIVO (INSTRUÇÃO NORMATIVA EM Nº 11/2023)</w:t>
      </w:r>
    </w:p>
    <w:p>
      <w:pPr>
        <w:pStyle w:val="Heading2"/>
        <w:spacing w:after="180" w:before="360" w:line="360"/>
      </w:pPr>
      <w:r>
        <w:rPr>
          <w:rFonts w:ascii="Times New Roman" w:cs="Times New Roman" w:eastAsia="Times New Roman" w:hAnsi="Times New Roman"/>
          <w:b/>
          <w:bCs/>
          <w:color w:val="000000"/>
          <w:sz w:val="24"/>
          <w:szCs w:val="24"/>
        </w:rPr>
        <w:t xml:space="preserve">3.1 Conceito, distinção e a inversão doutrinária</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Entende-se por agressor ativo aquele que se encontra em processo contínuo de produção de vítimas, em local com concentração de pessoas, sem intenção negocial e sem retenção de reféns para fins de barganha. A definição é operacional e não criminológica: o que importa, para efeito de acionamento do protocolo, não é a motivação do agressor, mas a circunstância objetiva de que vítimas estão sendo produzidas neste momento.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Dessa constatação decorre a inversão doutrinária que constitui o núcleo da Instrução Normativa EM nº 11/2023. Enquanto o modelo clássico de gerenciamento de crises determina conter, isolar e negociar, o evento de agressor ativo impõe o contato imediato. Não se estabelece perímetro para aguardar a tropa especializada; não se inicia negociação com quem não formula pauta; não se interrompe a progressão para socorrer. A missão exclusiva da primeira equipe, enquanto houver produção contínua de vítimas, é cessar os disparos. Perímetro, negociação e socorro são fases posteriores, e somente existem se a ameaça for previamente contida.</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substituição do modelo de contenção e espera pelo modelo de contato imediato tem base empírica consolidada. Estudo conduzido pelo Federal Bureau of Investigation sobre cento e sessenta eventos de agressor ativo ocorridos nos Estados Unidos entre 2000 e 2013 demonstrou que a maioria dos incidentes se encerra em poucos minutos e que parcela expressiva termina antes mesmo da chegada da polícia. Em um cenário com essa dinâmica temporal, cada minuto consumido na espera pela formação ideal converte-se diretamente em vítimas adicionais.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Justamente porque a resposta correta depende da classificação, e não do rótulo, é indispensável dominar os indicadores que distinguem o agressor ativo do evento crítico com reféns, sintetizados no Quadro 3.</w:t>
      </w:r>
    </w:p>
    <w:p>
      <w:pPr>
        <w:spacing w:after="120" w:before="240" w:line="240"/>
        <w:jc w:val="left"/>
      </w:pPr>
      <w:r>
        <w:rPr>
          <w:rFonts w:ascii="Times New Roman" w:cs="Times New Roman" w:eastAsia="Times New Roman" w:hAnsi="Times New Roman"/>
          <w:sz w:val="20"/>
          <w:szCs w:val="20"/>
        </w:rPr>
        <w:t xml:space="preserve">Quadro 3 – Distinção entre agressor ativo e evento crítico com reféns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3335"/>
        <w:gridCol w:w="3335"/>
      </w:tblGrid>
      <w:tr>
        <w:tc>
          <w:tcPr>
            <w:tcW w:type="dxa" w:w="2400"/>
            <w:shd w:fill="D9D9D9" w:color="auto" w:val="clear"/>
            <w:tcMar>
              <w:top w:type="dxa" w:w="60"/>
              <w:left w:type="dxa" w:w="100"/>
              <w:bottom w:type="dxa" w:w="60"/>
              <w:right w:type="dxa" w:w="100"/>
            </w:tcMar>
            <w:vAlign w:val="center"/>
          </w:tcPr>
          <w:p>
            <w:pPr>
              <w:spacing w:line="240"/>
              <w:jc w:val="left"/>
            </w:pPr>
            <w:r>
              <w:rPr>
                <w:rFonts w:ascii="Times New Roman" w:cs="Times New Roman" w:eastAsia="Times New Roman" w:hAnsi="Times New Roman"/>
                <w:b/>
                <w:bCs/>
                <w:sz w:val="20"/>
                <w:szCs w:val="20"/>
              </w:rPr>
              <w:t xml:space="preserve">Indicador</w:t>
            </w:r>
          </w:p>
        </w:tc>
        <w:tc>
          <w:tcPr>
            <w:tcW w:type="dxa" w:w="3335"/>
            <w:shd w:fill="D9D9D9" w:color="auto" w:val="clear"/>
            <w:tcMar>
              <w:top w:type="dxa" w:w="60"/>
              <w:left w:type="dxa" w:w="100"/>
              <w:bottom w:type="dxa" w:w="60"/>
              <w:right w:type="dxa" w:w="100"/>
            </w:tcMar>
            <w:vAlign w:val="center"/>
          </w:tcPr>
          <w:p>
            <w:pPr>
              <w:spacing w:line="240"/>
              <w:jc w:val="left"/>
            </w:pPr>
            <w:r>
              <w:rPr>
                <w:rFonts w:ascii="Times New Roman" w:cs="Times New Roman" w:eastAsia="Times New Roman" w:hAnsi="Times New Roman"/>
                <w:b/>
                <w:bCs/>
                <w:sz w:val="20"/>
                <w:szCs w:val="20"/>
              </w:rPr>
              <w:t xml:space="preserve">Agressor ativo</w:t>
            </w:r>
          </w:p>
        </w:tc>
        <w:tc>
          <w:tcPr>
            <w:tcW w:type="dxa" w:w="3335"/>
            <w:shd w:fill="D9D9D9" w:color="auto" w:val="clear"/>
            <w:tcMar>
              <w:top w:type="dxa" w:w="60"/>
              <w:left w:type="dxa" w:w="100"/>
              <w:bottom w:type="dxa" w:w="60"/>
              <w:right w:type="dxa" w:w="100"/>
            </w:tcMar>
            <w:vAlign w:val="center"/>
          </w:tcPr>
          <w:p>
            <w:pPr>
              <w:spacing w:line="240"/>
              <w:jc w:val="left"/>
            </w:pPr>
            <w:r>
              <w:rPr>
                <w:rFonts w:ascii="Times New Roman" w:cs="Times New Roman" w:eastAsia="Times New Roman" w:hAnsi="Times New Roman"/>
                <w:b/>
                <w:bCs/>
                <w:sz w:val="20"/>
                <w:szCs w:val="20"/>
              </w:rPr>
              <w:t xml:space="preserve">Evento crítico com reféns</w:t>
            </w:r>
          </w:p>
        </w:tc>
      </w:tr>
      <w:tr>
        <w:tc>
          <w:tcPr>
            <w:tcW w:type="dxa" w:w="24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Produção de vítimas</w:t>
            </w:r>
          </w:p>
        </w:tc>
        <w:tc>
          <w:tcPr>
            <w:tcW w:type="dxa" w:w="3335"/>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Contínua e em curso</w:t>
            </w:r>
          </w:p>
        </w:tc>
        <w:tc>
          <w:tcPr>
            <w:tcW w:type="dxa" w:w="3335"/>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Cessada; há ameaça de causar</w:t>
            </w:r>
          </w:p>
        </w:tc>
      </w:tr>
      <w:tr>
        <w:tc>
          <w:tcPr>
            <w:tcW w:type="dxa" w:w="24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Intenção do causador</w:t>
            </w:r>
          </w:p>
        </w:tc>
        <w:tc>
          <w:tcPr>
            <w:tcW w:type="dxa" w:w="3335"/>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Produzir o maior número de vítimas; ausência de pauta</w:t>
            </w:r>
          </w:p>
        </w:tc>
        <w:tc>
          <w:tcPr>
            <w:tcW w:type="dxa" w:w="3335"/>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Barganhar, formular exigências, ser ouvido</w:t>
            </w:r>
          </w:p>
        </w:tc>
      </w:tr>
      <w:tr>
        <w:tc>
          <w:tcPr>
            <w:tcW w:type="dxa" w:w="24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Comunicação</w:t>
            </w:r>
          </w:p>
        </w:tc>
        <w:tc>
          <w:tcPr>
            <w:tcW w:type="dxa" w:w="3335"/>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Não busca contato com a polícia</w:t>
            </w:r>
          </w:p>
        </w:tc>
        <w:tc>
          <w:tcPr>
            <w:tcW w:type="dxa" w:w="3335"/>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Fala, exige e negocia</w:t>
            </w:r>
          </w:p>
        </w:tc>
      </w:tr>
      <w:tr>
        <w:tc>
          <w:tcPr>
            <w:tcW w:type="dxa" w:w="24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Deslocamento</w:t>
            </w:r>
          </w:p>
        </w:tc>
        <w:tc>
          <w:tcPr>
            <w:tcW w:type="dxa" w:w="3335"/>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Móvel; procura novas vítimas</w:t>
            </w:r>
          </w:p>
        </w:tc>
        <w:tc>
          <w:tcPr>
            <w:tcW w:type="dxa" w:w="3335"/>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Estático; barricado</w:t>
            </w:r>
          </w:p>
        </w:tc>
      </w:tr>
      <w:tr>
        <w:tc>
          <w:tcPr>
            <w:tcW w:type="dxa" w:w="24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Resposta correta</w:t>
            </w:r>
          </w:p>
        </w:tc>
        <w:tc>
          <w:tcPr>
            <w:tcW w:type="dxa" w:w="3335"/>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Contato imediato e intervenção direta</w:t>
            </w:r>
          </w:p>
        </w:tc>
        <w:tc>
          <w:tcPr>
            <w:tcW w:type="dxa" w:w="3335"/>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Conter, isolar e negociar</w:t>
            </w:r>
          </w:p>
        </w:tc>
      </w:tr>
    </w:tbl>
    <w:p>
      <w:pPr>
        <w:spacing w:after="240" w:before="120" w:line="240"/>
        <w:jc w:val="left"/>
      </w:pPr>
      <w:r>
        <w:rPr>
          <w:rFonts w:ascii="Times New Roman" w:cs="Times New Roman" w:eastAsia="Times New Roman" w:hAnsi="Times New Roman"/>
          <w:sz w:val="20"/>
          <w:szCs w:val="20"/>
        </w:rPr>
        <w:t xml:space="preserve">Fonte: elaborado pelo autor com base na Instrução Normativa EM nº 11/2023 e no material de apoio do curso.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classificação acompanha o comportamento do causador em tempo real e pode alterar-se durante o mesmo evento, nos dois sentidos. O agressor ativo que se barrica com pessoas, cessa os disparos e passa a formular exigências converte-se em causador de evento crítico com reféns, atraindo o regime da Operação Gerente. Inversamente, o causador barricado que inicia a execução de reféns converte-se em agressor ativo, atraindo o regime de intervenção imediata. Percebida a transição, ela deve ser difundida ao COPOM sem demora, pois é ela que determina a troca de protocolo.</w:t>
      </w:r>
    </w:p>
    <w:p>
      <w:pPr>
        <w:pStyle w:val="Heading2"/>
        <w:spacing w:after="180" w:before="360" w:line="360"/>
      </w:pPr>
      <w:r>
        <w:rPr>
          <w:rFonts w:ascii="Times New Roman" w:cs="Times New Roman" w:eastAsia="Times New Roman" w:hAnsi="Times New Roman"/>
          <w:b/>
          <w:bCs/>
          <w:color w:val="000000"/>
          <w:sz w:val="24"/>
          <w:szCs w:val="24"/>
        </w:rPr>
        <w:t xml:space="preserve">3.2 Protocolo de formação de contato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equipe de contato é o elemento que ingressa no ambiente para localizar e conter a ameaça. Sua constituição obedece a critérios de suficiência, e não de perfeição: a formação preferencial reúne de três a quatro policiais, mas, havendo disparos em curso, a dupla é suficiente para iniciar o contato. O tempo consumido no aguardo da formação ideal é pago em vítimas, razão pela qual a norma não condiciona o início da progressão à reunião de efetivo completo.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distribuição de responsabilidades cobre trezentos e sessenta graus. Conforme o ambiente, adotam-se as formações em coluna, em T ou em losango, cabendo a cada integrante um setor definido de observação e de eventual engajamento, incluídos a retaguarda e os planos superior e inferior, frequentemente negligenciados em edificações de múltiplos pavimentos.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equipe anuncia-se ao COPOM informando o ponto de entrada utilizado, sua composição e o sentido de progressão. Esse dado não é formalidade: é o que permite às equipes subsequentes ingressar sem provocar fogo cruzado, risco tão real quanto o representado pelo próprio agressor em ambientes ocupados por policiais de folga, seguranças privados armados e civis em fuga.</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Cabe ao primeiro supervisor que chegar ao local não ingressar na edificação. Sua função é assumir o comando do incidente, instalar o Posto de Comando em área fria e organizar as equipes subsequentes, evitando o acúmulo desordenado de policiais no acesso principal — falha de comando que compromete simultaneamente a progressão, a extração de feridos e a segurança de todos os empenhados.</w:t>
      </w:r>
    </w:p>
    <w:p>
      <w:pPr>
        <w:pStyle w:val="Heading2"/>
        <w:spacing w:after="180" w:before="360" w:line="360"/>
      </w:pPr>
      <w:r>
        <w:rPr>
          <w:rFonts w:ascii="Times New Roman" w:cs="Times New Roman" w:eastAsia="Times New Roman" w:hAnsi="Times New Roman"/>
          <w:b/>
          <w:bCs/>
          <w:color w:val="000000"/>
          <w:sz w:val="24"/>
          <w:szCs w:val="24"/>
        </w:rPr>
        <w:t xml:space="preserve">3.3 Progressão tática imediata em direção ao som dos disparos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progressão desenvolve-se na direção dos disparos ou estampidos, porque é ali que a ameaça está produzindo vítimas. A regra comporta duas advertências. A primeira é que a interrupção dos disparos não significa o encerramento do evento: pode indicar recarga, troca de posição, preparo de artefato ou deslocamento em busca de novas vítimas. A segunda é que o silêncio impõe a manutenção da progressão com leitura ainda mais atenta do ambiente, e não o recuo.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Duas condutas exigidas nessa fase contrariam frontalmente o impulso natural do policial e, por isso, precisam ser treinadas até a automatização. A primeira é a ultrapassagem de feridos: a progressão não é interrompida para socorro, cabendo à equipe de contato marcar a posição da vítima, informá-la ao comando e prosseguir, uma vez que o socorro é missão da equipe de resgate que atua na retaguarda, sob escolta armada. A segunda é a ultrapassagem de pessoas em fuga: comanda-se a exibição das mãos, canaliza-se o fluxo para a retaguarda da equipe e dispensam-se revistas demoradas, sem perder de vista a possibilidade de o agressor deslocar-se misturado aos que fogem.</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movimentação em ambientes edificados observa as técnicas consagradas de progressão: fatiamento do ângulo na abordagem de aberturas, permanência mínima no vão da porta e deslocamento de cobertura em cobertura. Deve-se considerar, ainda, que o ambiente é frequentemente conhecido pelo agressor e, não raro, previamente preparado por ele.</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Identificado volume ou dispositivo suspeito na rota de progressão, aplicam-se de imediato as regras da Operação Petardo — não tocar e não mover — devendo a equipe contornar o obstáculo por via alternativa, quando houver, sem interromper a missão de conter a ameaça. A hipótese é concreta: agressores que planejam ataques a locais de concentração de pessoas frequentemente instalam artefatos nas rotas de acesso e de saída, com a finalidade específica de atingir a resposta policial.</w:t>
      </w:r>
    </w:p>
    <w:p>
      <w:pPr>
        <w:pStyle w:val="Heading2"/>
        <w:spacing w:after="180" w:before="360" w:line="360"/>
      </w:pPr>
      <w:r>
        <w:rPr>
          <w:rFonts w:ascii="Times New Roman" w:cs="Times New Roman" w:eastAsia="Times New Roman" w:hAnsi="Times New Roman"/>
          <w:b/>
          <w:bCs/>
          <w:color w:val="000000"/>
          <w:sz w:val="24"/>
          <w:szCs w:val="24"/>
        </w:rPr>
        <w:t xml:space="preserve">3.4 Ação de intervenção direta para conter a ameaça e salvar vidas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intervenção direta é a ação destinada a cessar a produção de vítimas, pela rendição, contenção ou neutralização do agressor. Seu emprego submete-se integralmente ao regime jurídico do uso da força, tratado na seção 3.5, e às seguintes exigências técnicas.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Exige-se identificação positiva do agressor antes do disparo, com visada segura e consciência do fundo e dos terceiros. Deve-se presumir a existência de múltiplos agressores até prova em contrário, de modo que a neutralização de um não encerra o evento nem autoriza o relaxamento da varredura, que prossegue até a declaração formal de ambiente controlado.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Contido o agressor, procede-se à sua consolidação: algemação, afastamento do armamento e revista destinada a localizar artefatos, coletes explosivos ou dispositivos de iniciação, sem manipulação do que aparentar ser material explosivo. O emprego de meios de contenção observa o parâmetro fixado na Súmula Vinculante nº 11 do Supremo Tribunal Federal.</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gestão do espaço organiza-se em três zonas: quente, de ameaça direta; morna, de ameaça possível; e fria, segura. A equipe de resgate opera na zona morna, sempre com escolta armada, cabendo estabelecer ponto de coleta de feridos e corredor protegido de extração, com acionamento do Corpo de Bombeiros Militar e do serviço de atendimento móvel de urgência, triagem e evacuação por prioridade clínica. Contida a ameaça e concluída a extração, congela-se a cena para a atuação da perícia e registra-se a sequência dos fatos enquanto a memória dos envolvidos permanece recente.</w:t>
      </w:r>
    </w:p>
    <w:p>
      <w:pPr>
        <w:pStyle w:val="Heading2"/>
        <w:spacing w:after="180" w:before="360" w:line="360"/>
      </w:pPr>
      <w:r>
        <w:rPr>
          <w:rFonts w:ascii="Times New Roman" w:cs="Times New Roman" w:eastAsia="Times New Roman" w:hAnsi="Times New Roman"/>
          <w:b/>
          <w:bCs/>
          <w:color w:val="000000"/>
          <w:sz w:val="24"/>
          <w:szCs w:val="24"/>
        </w:rPr>
        <w:t xml:space="preserve">3.5 Limites jurídicos da intervenção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intervenção direta não é ato discricionário. Submete-se, em primeiro lugar, aos princípios da legalidade, da necessidade, da razoabilidade e da proporcionalidade, expressamente positivados no artigo 2º da Lei nº 13.060, de 22 de dezembro de 2014, que disciplina o uso dos instrumentos de menor potencial ofensivo pelos agentes de segurança pública. O parágrafo único do mesmo dispositivo delimita, de forma inequívoca, o emprego da arma de fogo:</w:t>
      </w:r>
    </w:p>
    <w:p>
      <w:pPr>
        <w:spacing w:after="240" w:before="240" w:line="240"/>
        <w:ind w:left="2268"/>
        <w:jc w:val="both"/>
      </w:pPr>
      <w:r>
        <w:rPr>
          <w:rFonts w:ascii="Times New Roman" w:cs="Times New Roman" w:eastAsia="Times New Roman" w:hAnsi="Times New Roman"/>
          <w:sz w:val="20"/>
          <w:szCs w:val="20"/>
        </w:rPr>
        <w:t xml:space="preserve">"Não é legítimo o uso de arma de fogo contra pessoa em fuga que esteja desarmada ou que não represente risco imediato de morte ou de lesão grave aos agentes de segurança pública ou a terceiros." (BRASIL, 2014, art. 2º, parágrafo único)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Em segundo lugar, a ação que resulta em lesão ou morte do agressor é examinada à luz das excludentes de ilicitude dos artigos 23 a 25 do Código Penal. Para os eventos aqui tratados, assume relevo particular o parágrafo único do artigo 25, acrescentado pela Lei nº 13.964, de 24 de dezembro de 2019, que dispõe:</w:t>
      </w:r>
    </w:p>
    <w:p>
      <w:pPr>
        <w:spacing w:after="240" w:before="240" w:line="240"/>
        <w:ind w:left="2268"/>
        <w:jc w:val="both"/>
      </w:pPr>
      <w:r>
        <w:rPr>
          <w:rFonts w:ascii="Times New Roman" w:cs="Times New Roman" w:eastAsia="Times New Roman" w:hAnsi="Times New Roman"/>
          <w:sz w:val="20"/>
          <w:szCs w:val="20"/>
        </w:rPr>
        <w:t xml:space="preserve">"Observados os requisitos previstos no caput deste artigo, considera-se também em legítima defesa o agente de segurança pública que repele agressão ou risco de agressão a vítima mantida refém durante a prática de crimes." (BRASIL, 1940, art. 25, parágrafo único)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dispositivo confere assento legal expresso à intervenção destinada a salvar a vida de refém, mas não dispensa a verificação concreta dos requisitos da legítima defesa — atualidade ou iminência da agressão, injustiça da agressão, uso moderado dos meios necessários e conhecimento da situação justificante. Não constitui, portanto, autorização genérica para o uso letal da força.</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Em terceiro lugar, incide o conjunto de normas administrativas e internacionais sobre uso diferenciado da força, com destaque para a Portaria Interministerial nº 4.226, de 31 de dezembro de 2010, que estabelece diretrizes sobre o uso da força e armas de fogo pelos agentes de segurança pública, e para os Princípios Básicos sobre o Uso da Força e Armas de Fogo aprovados pela Organização das Nações Unidas em Havana, em 1990, que admitem o uso intencionalmente letal apenas quando estritamente inevitável para proteger a vida.</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Por fim, a jurisprudência recente elevou o padrão de exigência quanto ao planejamento, ao registro e à transparência das operações. No julgamento da Arguição de Descumprimento de Preceito Fundamental nº 635, relatada pelo Ministro Edson Fachin, o Supremo Tribunal Federal firmou obrigações relativas a protocolos de uso da força, planejamento prévio, emprego de registro audiovisual, presença de apoio de saúde, preservação do local, perícia independente e comunicação imediata ao Ministério Público. No plano internacional, a sentença da Corte Interamericana de Direitos Humanos no Caso Favela Nova Brasília versus Brasil, de 16 de fevereiro de 2017, condenou o Estado brasileiro e fixou deveres de investigação independente das mortes decorrentes de intervenção policial. A consequência prática para o serviço operacional é direta: o relatório de ocorrência, o registro audiovisual e a documentação da decisão deixam de ser encargo burocrático e passam a constituir instrumento de proteção institucional e individual do policial.</w:t>
      </w:r>
    </w:p>
    <w:p>
      <w:pPr>
        <w:pStyle w:val="Heading1"/>
        <w:spacing w:after="240" w:before="480" w:line="360"/>
      </w:pPr>
      <w:r>
        <w:rPr>
          <w:rFonts w:ascii="Times New Roman" w:cs="Times New Roman" w:eastAsia="Times New Roman" w:hAnsi="Times New Roman"/>
          <w:b/>
          <w:bCs/>
          <w:color w:val="000000"/>
          <w:sz w:val="24"/>
          <w:szCs w:val="24"/>
        </w:rPr>
        <w:t xml:space="preserve">4 MAPA MENTAL INTEGRADO: OPERAÇÃO GERENTE E OPERAÇÃO PETARDO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As duas normas examinadas nesta seção regem o mesmo personagem — o primeiro interventor — e partilham um núcleo idêntico de obrigações. A Portaria PMDF nº 1.218/2021, que institui a Operação Gerente, disciplina as ações imediatas do primeiro interventor em crise; a Portaria Conjunta SSP nº 07/2019, que institui a Operação Petardo, disciplina a primeira resposta diante de artefato explosivo. Apresenta-se, a seguir, mapa mental integrado, organizado em tronco comum, bifurcação determinada pela natureza da ameaça, ramos específicos e reconvergência.</w:t>
      </w:r>
    </w:p>
    <w:p>
      <w:pPr>
        <w:pStyle w:val="Heading2"/>
        <w:spacing w:after="180" w:before="360" w:line="360"/>
      </w:pPr>
      <w:r>
        <w:rPr>
          <w:rFonts w:ascii="Times New Roman" w:cs="Times New Roman" w:eastAsia="Times New Roman" w:hAnsi="Times New Roman"/>
          <w:b/>
          <w:bCs/>
          <w:color w:val="000000"/>
          <w:sz w:val="24"/>
          <w:szCs w:val="24"/>
        </w:rPr>
        <w:t xml:space="preserve">4.1 Tronco: o núcleo comum às duas normas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Chegada ao local → autoproteção do interventor, porque aquele que se torna vítima subtrai um socorrista do sistema e acrescenta uma ocorrência → avaliação à distância, nunca por aproximação.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Avaliação → isolamento imediato do perímetro → comunicação ao COPOM → acionamento da unidade especializada → manutenção da situação estabilizada até a chegada dela.</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Hierarquia invariável de valores: vida do interventor e de terceiros → vida do causador → patrimônio → local de crime. Nenhuma inversão dessa ordem é admitida.</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Limite comum às duas normas: o primeiro interventor não resolve o evento crítico — ele o estabiliza. Resolver é atribuição da tropa especializada, e a pressa em resolver isoladamente constitui a origem mais frequente do desastre.</w:t>
      </w:r>
    </w:p>
    <w:p>
      <w:pPr>
        <w:pStyle w:val="Heading2"/>
        <w:spacing w:after="180" w:before="360" w:line="360"/>
      </w:pPr>
      <w:r>
        <w:rPr>
          <w:rFonts w:ascii="Times New Roman" w:cs="Times New Roman" w:eastAsia="Times New Roman" w:hAnsi="Times New Roman"/>
          <w:b/>
          <w:bCs/>
          <w:color w:val="000000"/>
          <w:sz w:val="24"/>
          <w:szCs w:val="24"/>
        </w:rPr>
        <w:t xml:space="preserve">4.2 Ramo A: Primeiro Interventor em Crise (Portaria PMDF nº 1.218/2021)</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ramo da Operação Gerente é acionado quando a ameaça é representada por pessoa — causador com refém, causador barricado ou pessoa em risco de autoextermínio. Suas ações imediatas organizam-se em três verbos e um conjunto de vedações.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Conter → impedir a expansão territorial do evento e a produção de novas vítimas, o que pressupõe o controle dos acessos e a evacuação das áreas contíguas.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Isolar → estabelecer o perímetro tático interno, ou área crítica, onde apenas ingressa pessoal do grupo tático mediante autorização, e o perímetro tático externo, ou área de segurança, que abriga o Posto de Comando, a equipe de negociação, o apoio de saúde e os meios logísticos, com área destinada à imprensa fora de ambos.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Negociar sem concessões de risco → iniciar o contato para ganhar tempo, reduzir a excitação do causador e abrir o canal por onde transitará a solução, mediante escuta ativa e redução do tom, jamais mediante confronto verbal.</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Vedações absolutas na negociação inicial → não conceder armas, munição, explosivos, substâncias entorpecentes, veículo de fuga, troca de refém por policial ou por autoridade, nem permitir o deslocamento do causador na companhia de refém. A justificativa é técnica antes de ser normativa: cada um desses itens cria risco novo ou transfere poder ao causador.</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Limite funcional do negociador → o primeiro interventor não decide e não promete o que não pode cumprir; invoca a autoridade superior para recusar sem romper o vínculo, preservando o canal para o negociador especializado.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Emprego do rádio → ativo. A difusão contínua ao COPOM alimenta o processo decisório do gerente da crise e permite o dimensionamento dos meios.</w:t>
      </w:r>
    </w:p>
    <w:p>
      <w:pPr>
        <w:pStyle w:val="Heading2"/>
        <w:spacing w:after="180" w:before="360" w:line="360"/>
      </w:pPr>
      <w:r>
        <w:rPr>
          <w:rFonts w:ascii="Times New Roman" w:cs="Times New Roman" w:eastAsia="Times New Roman" w:hAnsi="Times New Roman"/>
          <w:b/>
          <w:bCs/>
          <w:color w:val="000000"/>
          <w:sz w:val="24"/>
          <w:szCs w:val="24"/>
        </w:rPr>
        <w:t xml:space="preserve">4.3 Ramo B: Primeira Resposta com Explosivos (Portaria Conjunta SSP nº 07/2019)</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ramo da Operação Petardo é acionado quando a ameaça é representada por artefato ou volume suspeito. Suas regras têm natureza predominantemente negativa: determinam, sobretudo, o que não fazer.</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Não tocar e não mover → e, por extensão, não cobrir, não molhar, não fotografar com uso de flash e não revistar o volume. A movimentação pode acionar chaves inerciais ou dispositivos anti-remoção.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Silêncio eletrônico → desligamento de rádios portáteis, telefones celulares e terminais de dados no raio de segurança, uma vez que sistemas de iniciação por radiofrequência respondem à energia irradiada por esses equipamentos.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Transmitir somente à distância → afastar-se do artefato antes de acionar qualquer equipamento emissor; alternativamente, empregar telefonia fixa distante ou mensageiro.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Distância de segurança pelo volume aparente → e, quando o artefato estiver acoplado a veículo ou a carga perigosa, calcular a distância pelo conjunto, e não pelo dispositivo isoladamente.</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Evacuação para fora da linha de visada → a proteção decorre da interposição de massa, e não apenas da distância; fachadas e corredores envidraçados convertem-se em fonte de estilhaço secundário e não devem servir de ponto de concentração de evacuados.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Presunção de artefato secundário → dirigido especificamente contra a tropa que responde, o que impõe a varredura visual do ponto de concentração, do Posto de Comando e da rota de acesso antes de sua ocupação, evitando-se o local previsível.</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Vedação de aproximação por pessoal não habilitado → nenhuma tentativa de desativação, exame ou remoção por quem não integre o Esquadrão Antibombas.</w:t>
      </w:r>
    </w:p>
    <w:p>
      <w:pPr>
        <w:pStyle w:val="Heading2"/>
        <w:spacing w:after="180" w:before="360" w:line="360"/>
      </w:pPr>
      <w:r>
        <w:rPr>
          <w:rFonts w:ascii="Times New Roman" w:cs="Times New Roman" w:eastAsia="Times New Roman" w:hAnsi="Times New Roman"/>
          <w:b/>
          <w:bCs/>
          <w:color w:val="000000"/>
          <w:sz w:val="24"/>
          <w:szCs w:val="24"/>
        </w:rPr>
        <w:t xml:space="preserve">4.4 A contradição entre os ramos e a regra de prevalência</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confronto entre os dois ramos revela que eles convergem em tudo, exceto em um ponto — e é justamente esse ponto que costuma ser confundido sob pressão. Enquanto a Operação Gerente exige rádio ativo e difusão contínua, a Operação Petardo exige silêncio eletrônico e proíbe a transmissão nas proximidades do artefato.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hipótese de ameaça mista não é rara: o causador que se barrica com reféns e afirma portar artefato explosivo reúne, na mesma cena, os pressupostos de incidência das duas normas. Nessa situação, a regra de radiofrequência da Operação Petardo prevalece sobre o dever de difusão imediata. A prevalência decorre de simples ponderação de consequências: o descumprimento do dever de difusão retarda a resposta, ao passo que o descumprimento do silêncio eletrônico pode produzir a detonação.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Registre-se que a prevalência não suprime o dever de comunicar — apenas o desloca no tempo e no espaço. O interventor afasta-se primeiro do raio de segurança e transmite em seguida. Ambas as rotas, por fim, reconvergem em um mesmo desfecho: a transferência formal de responsabilidade à unidade especializada, ocasião em que se relata o que se viu, o que se fez e, sobretudo, o que não foi tocado.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Quadro 4 sintetiza o mapa mental em tópicos conectores.</w:t>
      </w:r>
    </w:p>
    <w:p>
      <w:pPr>
        <w:spacing w:after="120" w:before="240" w:line="240"/>
        <w:jc w:val="left"/>
      </w:pPr>
      <w:r>
        <w:rPr>
          <w:rFonts w:ascii="Times New Roman" w:cs="Times New Roman" w:eastAsia="Times New Roman" w:hAnsi="Times New Roman"/>
          <w:sz w:val="20"/>
          <w:szCs w:val="20"/>
        </w:rPr>
        <w:t xml:space="preserve">Quadro 4 – Mapa mental integrado em tópicos conectores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3535"/>
        <w:gridCol w:w="3535"/>
      </w:tblGrid>
      <w:tr>
        <w:tc>
          <w:tcPr>
            <w:tcW w:type="dxa" w:w="2000"/>
            <w:shd w:fill="D9D9D9" w:color="auto" w:val="clear"/>
            <w:tcMar>
              <w:top w:type="dxa" w:w="60"/>
              <w:left w:type="dxa" w:w="100"/>
              <w:bottom w:type="dxa" w:w="60"/>
              <w:right w:type="dxa" w:w="100"/>
            </w:tcMar>
            <w:vAlign w:val="center"/>
          </w:tcPr>
          <w:p>
            <w:pPr>
              <w:spacing w:line="240"/>
              <w:jc w:val="left"/>
            </w:pPr>
            <w:r>
              <w:rPr>
                <w:rFonts w:ascii="Times New Roman" w:cs="Times New Roman" w:eastAsia="Times New Roman" w:hAnsi="Times New Roman"/>
                <w:b/>
                <w:bCs/>
                <w:sz w:val="20"/>
                <w:szCs w:val="20"/>
              </w:rPr>
              <w:t xml:space="preserve">Etapa</w:t>
            </w:r>
          </w:p>
        </w:tc>
        <w:tc>
          <w:tcPr>
            <w:tcW w:type="dxa" w:w="3535"/>
            <w:shd w:fill="D9D9D9" w:color="auto" w:val="clear"/>
            <w:tcMar>
              <w:top w:type="dxa" w:w="60"/>
              <w:left w:type="dxa" w:w="100"/>
              <w:bottom w:type="dxa" w:w="60"/>
              <w:right w:type="dxa" w:w="100"/>
            </w:tcMar>
            <w:vAlign w:val="center"/>
          </w:tcPr>
          <w:p>
            <w:pPr>
              <w:spacing w:line="240"/>
              <w:jc w:val="left"/>
            </w:pPr>
            <w:r>
              <w:rPr>
                <w:rFonts w:ascii="Times New Roman" w:cs="Times New Roman" w:eastAsia="Times New Roman" w:hAnsi="Times New Roman"/>
                <w:b/>
                <w:bCs/>
                <w:sz w:val="20"/>
                <w:szCs w:val="20"/>
              </w:rPr>
              <w:t xml:space="preserve">Operação Gerente</w:t>
            </w:r>
          </w:p>
          <w:p>
            <w:pPr>
              <w:spacing w:line="240"/>
              <w:jc w:val="left"/>
            </w:pPr>
            <w:r>
              <w:rPr>
                <w:rFonts w:ascii="Times New Roman" w:cs="Times New Roman" w:eastAsia="Times New Roman" w:hAnsi="Times New Roman"/>
                <w:b/>
                <w:bCs/>
                <w:sz w:val="20"/>
                <w:szCs w:val="20"/>
              </w:rPr>
              <w:t xml:space="preserve">(Portaria PMDF nº 1.218/2021)</w:t>
            </w:r>
          </w:p>
        </w:tc>
        <w:tc>
          <w:tcPr>
            <w:tcW w:type="dxa" w:w="3535"/>
            <w:shd w:fill="D9D9D9" w:color="auto" w:val="clear"/>
            <w:tcMar>
              <w:top w:type="dxa" w:w="60"/>
              <w:left w:type="dxa" w:w="100"/>
              <w:bottom w:type="dxa" w:w="60"/>
              <w:right w:type="dxa" w:w="100"/>
            </w:tcMar>
            <w:vAlign w:val="center"/>
          </w:tcPr>
          <w:p>
            <w:pPr>
              <w:spacing w:line="240"/>
              <w:jc w:val="left"/>
            </w:pPr>
            <w:r>
              <w:rPr>
                <w:rFonts w:ascii="Times New Roman" w:cs="Times New Roman" w:eastAsia="Times New Roman" w:hAnsi="Times New Roman"/>
                <w:b/>
                <w:bCs/>
                <w:sz w:val="20"/>
                <w:szCs w:val="20"/>
              </w:rPr>
              <w:t xml:space="preserve">Operação Petardo</w:t>
            </w:r>
          </w:p>
          <w:p>
            <w:pPr>
              <w:spacing w:line="240"/>
              <w:jc w:val="left"/>
            </w:pPr>
            <w:r>
              <w:rPr>
                <w:rFonts w:ascii="Times New Roman" w:cs="Times New Roman" w:eastAsia="Times New Roman" w:hAnsi="Times New Roman"/>
                <w:b/>
                <w:bCs/>
                <w:sz w:val="20"/>
                <w:szCs w:val="20"/>
              </w:rPr>
              <w:t xml:space="preserve">(Portaria Conjunta SSP nº 07/2019)</w:t>
            </w:r>
          </w:p>
        </w:tc>
      </w:tr>
      <w:tr>
        <w:tc>
          <w:tcPr>
            <w:tcW w:type="dxa" w:w="20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Tronco comum</w:t>
            </w:r>
          </w:p>
        </w:tc>
        <w:tc>
          <w:tcPr>
            <w:tcW w:type="dxa" w:w="3535"/>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Autoproteção → avaliação à distância → isolamento → comunicação → acionamento da especializada → estabilização</w:t>
            </w:r>
          </w:p>
        </w:tc>
        <w:tc>
          <w:tcPr>
            <w:tcW w:type="dxa" w:w="3535"/>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Autoproteção → avaliação à distância → isolamento → comunicação → acionamento da especializada → estabilização</w:t>
            </w:r>
          </w:p>
        </w:tc>
      </w:tr>
      <w:tr>
        <w:tc>
          <w:tcPr>
            <w:tcW w:type="dxa" w:w="20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Gatilho do ramo</w:t>
            </w:r>
          </w:p>
        </w:tc>
        <w:tc>
          <w:tcPr>
            <w:tcW w:type="dxa" w:w="3535"/>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Ameaça representada por pessoa: refém, barricada, risco de autoextermínio</w:t>
            </w:r>
          </w:p>
        </w:tc>
        <w:tc>
          <w:tcPr>
            <w:tcW w:type="dxa" w:w="3535"/>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Ameaça representada por objeto: artefato, volume suspeito, ameaça de bomba</w:t>
            </w:r>
          </w:p>
        </w:tc>
      </w:tr>
      <w:tr>
        <w:tc>
          <w:tcPr>
            <w:tcW w:type="dxa" w:w="20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Ação central</w:t>
            </w:r>
          </w:p>
        </w:tc>
        <w:tc>
          <w:tcPr>
            <w:tcW w:type="dxa" w:w="3535"/>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Conter → isolar → negociar sem concessões de risco</w:t>
            </w:r>
          </w:p>
        </w:tc>
        <w:tc>
          <w:tcPr>
            <w:tcW w:type="dxa" w:w="3535"/>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Não tocar → não mover → afastar → aguardar</w:t>
            </w:r>
          </w:p>
        </w:tc>
      </w:tr>
      <w:tr>
        <w:tc>
          <w:tcPr>
            <w:tcW w:type="dxa" w:w="20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Vedações</w:t>
            </w:r>
          </w:p>
        </w:tc>
        <w:tc>
          <w:tcPr>
            <w:tcW w:type="dxa" w:w="3535"/>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Arma, munição, droga, veículo de fuga, troca de refém por policial, deslocamento com refém</w:t>
            </w:r>
          </w:p>
        </w:tc>
        <w:tc>
          <w:tcPr>
            <w:tcW w:type="dxa" w:w="3535"/>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Tocar, mover, cobrir, molhar, iluminar com flash, aproximar-se sem habilitação</w:t>
            </w:r>
          </w:p>
        </w:tc>
      </w:tr>
      <w:tr>
        <w:tc>
          <w:tcPr>
            <w:tcW w:type="dxa" w:w="20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Emprego do rádio</w:t>
            </w:r>
          </w:p>
        </w:tc>
        <w:tc>
          <w:tcPr>
            <w:tcW w:type="dxa" w:w="3535"/>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ATIVO — difusão contínua ao COPOM</w:t>
            </w:r>
          </w:p>
        </w:tc>
        <w:tc>
          <w:tcPr>
            <w:tcW w:type="dxa" w:w="3535"/>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SILÊNCIO ELETRÔNICO — transmitir apenas fora do raio de segurança</w:t>
            </w:r>
          </w:p>
        </w:tc>
      </w:tr>
      <w:tr>
        <w:tc>
          <w:tcPr>
            <w:tcW w:type="dxa" w:w="20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Regra de prevalência</w:t>
            </w:r>
          </w:p>
        </w:tc>
        <w:tc>
          <w:tcPr>
            <w:tcW w:type="dxa" w:w="3535"/>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Cede quando há indício de artefato explosivo</w:t>
            </w:r>
          </w:p>
        </w:tc>
        <w:tc>
          <w:tcPr>
            <w:tcW w:type="dxa" w:w="3535"/>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Prevalece na ameaça mista: afastar-se antes de transmitir</w:t>
            </w:r>
          </w:p>
        </w:tc>
      </w:tr>
      <w:tr>
        <w:tc>
          <w:tcPr>
            <w:tcW w:type="dxa" w:w="20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Reconvergência</w:t>
            </w:r>
          </w:p>
        </w:tc>
        <w:tc>
          <w:tcPr>
            <w:tcW w:type="dxa" w:w="3535"/>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Transferência formal ao BOPE: o que se viu, o que se fez, o que não se tocou</w:t>
            </w:r>
          </w:p>
        </w:tc>
        <w:tc>
          <w:tcPr>
            <w:tcW w:type="dxa" w:w="3535"/>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Transferência formal ao BOPE: o que se viu, o que se fez, o que não se tocou</w:t>
            </w:r>
          </w:p>
        </w:tc>
      </w:tr>
    </w:tbl>
    <w:p>
      <w:pPr>
        <w:spacing w:after="240" w:before="120" w:line="240"/>
        <w:jc w:val="left"/>
      </w:pPr>
      <w:r>
        <w:rPr>
          <w:rFonts w:ascii="Times New Roman" w:cs="Times New Roman" w:eastAsia="Times New Roman" w:hAnsi="Times New Roman"/>
          <w:sz w:val="20"/>
          <w:szCs w:val="20"/>
        </w:rPr>
        <w:t xml:space="preserve">Fonte: elaborado pelo autor com base nos normativos de regência e no material de apoio do curso.</w:t>
      </w:r>
    </w:p>
    <w:p>
      <w:pPr>
        <w:pStyle w:val="Heading2"/>
        <w:spacing w:after="180" w:before="360" w:line="360"/>
      </w:pPr>
      <w:r>
        <w:rPr>
          <w:rFonts w:ascii="Times New Roman" w:cs="Times New Roman" w:eastAsia="Times New Roman" w:hAnsi="Times New Roman"/>
          <w:b/>
          <w:bCs/>
          <w:color w:val="000000"/>
          <w:sz w:val="24"/>
          <w:szCs w:val="24"/>
        </w:rPr>
        <w:t xml:space="preserve">4.5 Referencial de distâncias para o isolamento inicial</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dimensionamento do perímetro na primeira resposta com explosivos orienta-se pelo volume aparente do artefato. O Quadro 5 reproduz a tabela internacional de referência amplamente adotada no ensino policial, apresentada aqui como piso orientativo do isolamento inicial, e não como parâmetro normativo. Havendo dúvida entre duas faixas, adota-se sempre a maior.</w:t>
      </w:r>
    </w:p>
    <w:p>
      <w:pPr>
        <w:spacing w:after="120" w:before="240" w:line="240"/>
        <w:jc w:val="left"/>
      </w:pPr>
      <w:r>
        <w:rPr>
          <w:rFonts w:ascii="Times New Roman" w:cs="Times New Roman" w:eastAsia="Times New Roman" w:hAnsi="Times New Roman"/>
          <w:sz w:val="20"/>
          <w:szCs w:val="20"/>
        </w:rPr>
        <w:t xml:space="preserve">Quadro 5 – Distâncias de referência para evacuação (piso orientativo)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070"/>
        <w:gridCol w:w="2500"/>
        <w:gridCol w:w="2500"/>
      </w:tblGrid>
      <w:tr>
        <w:tc>
          <w:tcPr>
            <w:tcW w:type="dxa" w:w="4070"/>
            <w:shd w:fill="D9D9D9" w:color="auto" w:val="clear"/>
            <w:tcMar>
              <w:top w:type="dxa" w:w="60"/>
              <w:left w:type="dxa" w:w="100"/>
              <w:bottom w:type="dxa" w:w="60"/>
              <w:right w:type="dxa" w:w="100"/>
            </w:tcMar>
            <w:vAlign w:val="center"/>
          </w:tcPr>
          <w:p>
            <w:pPr>
              <w:spacing w:line="240"/>
              <w:jc w:val="left"/>
            </w:pPr>
            <w:r>
              <w:rPr>
                <w:rFonts w:ascii="Times New Roman" w:cs="Times New Roman" w:eastAsia="Times New Roman" w:hAnsi="Times New Roman"/>
                <w:b/>
                <w:bCs/>
                <w:sz w:val="20"/>
                <w:szCs w:val="20"/>
              </w:rPr>
              <w:t xml:space="preserve">Volume aparente</w:t>
            </w:r>
          </w:p>
        </w:tc>
        <w:tc>
          <w:tcPr>
            <w:tcW w:type="dxa" w:w="2500"/>
            <w:shd w:fill="D9D9D9" w:color="auto" w:val="clear"/>
            <w:tcMar>
              <w:top w:type="dxa" w:w="60"/>
              <w:left w:type="dxa" w:w="100"/>
              <w:bottom w:type="dxa" w:w="60"/>
              <w:right w:type="dxa" w:w="100"/>
            </w:tcMar>
            <w:vAlign w:val="center"/>
          </w:tcPr>
          <w:p>
            <w:pPr>
              <w:spacing w:line="240"/>
              <w:jc w:val="left"/>
            </w:pPr>
            <w:r>
              <w:rPr>
                <w:rFonts w:ascii="Times New Roman" w:cs="Times New Roman" w:eastAsia="Times New Roman" w:hAnsi="Times New Roman"/>
                <w:b/>
                <w:bCs/>
                <w:sz w:val="20"/>
                <w:szCs w:val="20"/>
              </w:rPr>
              <w:t xml:space="preserve">Evacuação de edificação</w:t>
            </w:r>
          </w:p>
        </w:tc>
        <w:tc>
          <w:tcPr>
            <w:tcW w:type="dxa" w:w="2500"/>
            <w:shd w:fill="D9D9D9" w:color="auto" w:val="clear"/>
            <w:tcMar>
              <w:top w:type="dxa" w:w="60"/>
              <w:left w:type="dxa" w:w="100"/>
              <w:bottom w:type="dxa" w:w="60"/>
              <w:right w:type="dxa" w:w="100"/>
            </w:tcMar>
            <w:vAlign w:val="center"/>
          </w:tcPr>
          <w:p>
            <w:pPr>
              <w:spacing w:line="240"/>
              <w:jc w:val="left"/>
            </w:pPr>
            <w:r>
              <w:rPr>
                <w:rFonts w:ascii="Times New Roman" w:cs="Times New Roman" w:eastAsia="Times New Roman" w:hAnsi="Times New Roman"/>
                <w:b/>
                <w:bCs/>
                <w:sz w:val="20"/>
                <w:szCs w:val="20"/>
              </w:rPr>
              <w:t xml:space="preserve">Evacuação em área aberta</w:t>
            </w:r>
          </w:p>
        </w:tc>
      </w:tr>
      <w:tr>
        <w:tc>
          <w:tcPr>
            <w:tcW w:type="dxa" w:w="40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Artefato tubular ou pequeno volume</w:t>
            </w:r>
          </w:p>
        </w:tc>
        <w:tc>
          <w:tcPr>
            <w:tcW w:type="dxa" w:w="25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21 m</w:t>
            </w:r>
          </w:p>
        </w:tc>
        <w:tc>
          <w:tcPr>
            <w:tcW w:type="dxa" w:w="25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366 m</w:t>
            </w:r>
          </w:p>
        </w:tc>
      </w:tr>
      <w:tr>
        <w:tc>
          <w:tcPr>
            <w:tcW w:type="dxa" w:w="40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Mochila ou maleta</w:t>
            </w:r>
          </w:p>
        </w:tc>
        <w:tc>
          <w:tcPr>
            <w:tcW w:type="dxa" w:w="25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46 m</w:t>
            </w:r>
          </w:p>
        </w:tc>
        <w:tc>
          <w:tcPr>
            <w:tcW w:type="dxa" w:w="25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564 m</w:t>
            </w:r>
          </w:p>
        </w:tc>
      </w:tr>
      <w:tr>
        <w:tc>
          <w:tcPr>
            <w:tcW w:type="dxa" w:w="40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Automóvel de passeio</w:t>
            </w:r>
          </w:p>
        </w:tc>
        <w:tc>
          <w:tcPr>
            <w:tcW w:type="dxa" w:w="25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98 m</w:t>
            </w:r>
          </w:p>
        </w:tc>
        <w:tc>
          <w:tcPr>
            <w:tcW w:type="dxa" w:w="25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457 m</w:t>
            </w:r>
          </w:p>
        </w:tc>
      </w:tr>
      <w:tr>
        <w:tc>
          <w:tcPr>
            <w:tcW w:type="dxa" w:w="40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Van ou utilitário de carga</w:t>
            </w:r>
          </w:p>
        </w:tc>
        <w:tc>
          <w:tcPr>
            <w:tcW w:type="dxa" w:w="25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195 m</w:t>
            </w:r>
          </w:p>
        </w:tc>
        <w:tc>
          <w:tcPr>
            <w:tcW w:type="dxa" w:w="25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838 m</w:t>
            </w:r>
          </w:p>
        </w:tc>
      </w:tr>
      <w:tr>
        <w:tc>
          <w:tcPr>
            <w:tcW w:type="dxa" w:w="40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Caminhão de carga ou caminhão-tanque</w:t>
            </w:r>
          </w:p>
        </w:tc>
        <w:tc>
          <w:tcPr>
            <w:tcW w:type="dxa" w:w="25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378 m</w:t>
            </w:r>
          </w:p>
        </w:tc>
        <w:tc>
          <w:tcPr>
            <w:tcW w:type="dxa" w:w="25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1.982 m</w:t>
            </w:r>
          </w:p>
        </w:tc>
      </w:tr>
    </w:tbl>
    <w:p>
      <w:pPr>
        <w:spacing w:after="240" w:before="120" w:line="240"/>
        <w:jc w:val="left"/>
      </w:pPr>
      <w:r>
        <w:rPr>
          <w:rFonts w:ascii="Times New Roman" w:cs="Times New Roman" w:eastAsia="Times New Roman" w:hAnsi="Times New Roman"/>
          <w:sz w:val="20"/>
          <w:szCs w:val="20"/>
        </w:rPr>
        <w:t xml:space="preserve">Fonte: tabela de referência ATF/NCTC, de uso corrente no ensino policial. Os parâmetros vinculantes devem ser conferidos na Portaria Conjunta SSP nº 07/2019 e nas instruções do Esquadrão Antibombas do BOPE.</w:t>
      </w:r>
    </w:p>
    <w:p>
      <w:pPr>
        <w:pStyle w:val="Heading1"/>
        <w:spacing w:after="240" w:before="480" w:line="360"/>
      </w:pPr>
      <w:r>
        <w:rPr>
          <w:rFonts w:ascii="Times New Roman" w:cs="Times New Roman" w:eastAsia="Times New Roman" w:hAnsi="Times New Roman"/>
          <w:b/>
          <w:bCs/>
          <w:color w:val="000000"/>
          <w:sz w:val="24"/>
          <w:szCs w:val="24"/>
        </w:rPr>
        <w:t xml:space="preserve">5 ANÁLISE DE CASO REAL NO DISTRITO FEDERAL: A APLICAÇÃO DA OPERAÇÃO PETARDO</w:t>
      </w:r>
    </w:p>
    <w:p>
      <w:pPr>
        <w:pStyle w:val="Heading2"/>
        <w:spacing w:after="180" w:before="360" w:line="360"/>
      </w:pPr>
      <w:r>
        <w:rPr>
          <w:rFonts w:ascii="Times New Roman" w:cs="Times New Roman" w:eastAsia="Times New Roman" w:hAnsi="Times New Roman"/>
          <w:b/>
          <w:bCs/>
          <w:color w:val="000000"/>
          <w:sz w:val="24"/>
          <w:szCs w:val="24"/>
        </w:rPr>
        <w:t xml:space="preserve">5.1 Os fatos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Na véspera do Natal de 2022, em 24 de dezembro, o motorista de um caminhão-tanque carregado de combustível de aviação, estacionado em via nas imediações do Aeroporto Internacional de Brasília, percebeu a existência de objeto estranho acoplado à estrutura do veículo e acionou a polícia. Tratava-se de artefato explosivo dotado de sistema de iniciação por radiofrequência, acionável por telefone celular. A área foi isolada e o Esquadrão Antibombas do Batalhão de Operações Policiais Especiais da Polícia Militar do Distrito Federal conduziu o reconhecimento e a neutralização do dispositivo. O autor foi identificado e preso ainda no mesmo dia, tendo confessado a autoria e declarado a intenção de provocar comoção no período de transição de governo.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caso reúne, em uma única ocorrência, as três circunstâncias que a Operação Petardo trata com maior rigor. A primeira é a iniciação por radiofrequência: o rádio portátil do próprio policial poderia funcionar como sinal de acionamento do artefato, o que converte o silêncio eletrônico de precaução doutrinária em fator crítico de sobrevivência. A segunda é a presença de carga secundária de altíssima energia: o artefato era de pequeno porte, mas o caminhão-tanque carregado constituía, ele próprio, o verdadeiro potencial destrutivo do conjunto. A terceira é a proximidade de infraestrutura crítica, com grande fluxo de pessoas e veículos em véspera de feriado.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Cumpre esclarecer que a descrição a seguir constitui reconstituição técnica da atuação exigida do primeiro interventor pela Portaria Conjunta SSP nº 07/2019, aplicada aos fatos públicos do caso, no intervalo compreendido entre o acionamento e a chegada do Esquadrão Antibombas. Não se trata de reprodução de relatório operacional, ao qual o autor não teve acesso.</w:t>
      </w:r>
    </w:p>
    <w:p>
      <w:pPr>
        <w:pStyle w:val="Heading2"/>
        <w:spacing w:after="180" w:before="360" w:line="360"/>
      </w:pPr>
      <w:r>
        <w:rPr>
          <w:rFonts w:ascii="Times New Roman" w:cs="Times New Roman" w:eastAsia="Times New Roman" w:hAnsi="Times New Roman"/>
          <w:b/>
          <w:bCs/>
          <w:color w:val="000000"/>
          <w:sz w:val="24"/>
          <w:szCs w:val="24"/>
        </w:rPr>
        <w:t xml:space="preserve">5.2 A resposta tática do primeiro interventor</w:t>
      </w:r>
    </w:p>
    <w:p>
      <w:pPr>
        <w:spacing w:after="120" w:before="240" w:line="240"/>
        <w:jc w:val="left"/>
      </w:pPr>
      <w:r>
        <w:rPr>
          <w:rFonts w:ascii="Times New Roman" w:cs="Times New Roman" w:eastAsia="Times New Roman" w:hAnsi="Times New Roman"/>
          <w:sz w:val="20"/>
          <w:szCs w:val="20"/>
        </w:rPr>
        <w:t xml:space="preserve">Quadro 6 – Sequência de ações do primeiro interventor e regra atendida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4570"/>
      </w:tblGrid>
      <w:tr>
        <w:tc>
          <w:tcPr>
            <w:tcW w:type="dxa" w:w="1300"/>
            <w:shd w:fill="D9D9D9" w:color="auto" w:val="clear"/>
            <w:tcMar>
              <w:top w:type="dxa" w:w="60"/>
              <w:left w:type="dxa" w:w="100"/>
              <w:bottom w:type="dxa" w:w="60"/>
              <w:right w:type="dxa" w:w="100"/>
            </w:tcMar>
            <w:vAlign w:val="center"/>
          </w:tcPr>
          <w:p>
            <w:pPr>
              <w:spacing w:line="240"/>
              <w:jc w:val="left"/>
            </w:pPr>
            <w:r>
              <w:rPr>
                <w:rFonts w:ascii="Times New Roman" w:cs="Times New Roman" w:eastAsia="Times New Roman" w:hAnsi="Times New Roman"/>
                <w:b/>
                <w:bCs/>
                <w:sz w:val="20"/>
                <w:szCs w:val="20"/>
              </w:rPr>
              <w:t xml:space="preserve">Momento</w:t>
            </w:r>
          </w:p>
        </w:tc>
        <w:tc>
          <w:tcPr>
            <w:tcW w:type="dxa" w:w="3200"/>
            <w:shd w:fill="D9D9D9" w:color="auto" w:val="clear"/>
            <w:tcMar>
              <w:top w:type="dxa" w:w="60"/>
              <w:left w:type="dxa" w:w="100"/>
              <w:bottom w:type="dxa" w:w="60"/>
              <w:right w:type="dxa" w:w="100"/>
            </w:tcMar>
            <w:vAlign w:val="center"/>
          </w:tcPr>
          <w:p>
            <w:pPr>
              <w:spacing w:line="240"/>
              <w:jc w:val="left"/>
            </w:pPr>
            <w:r>
              <w:rPr>
                <w:rFonts w:ascii="Times New Roman" w:cs="Times New Roman" w:eastAsia="Times New Roman" w:hAnsi="Times New Roman"/>
                <w:b/>
                <w:bCs/>
                <w:sz w:val="20"/>
                <w:szCs w:val="20"/>
              </w:rPr>
              <w:t xml:space="preserve">Ação</w:t>
            </w:r>
          </w:p>
        </w:tc>
        <w:tc>
          <w:tcPr>
            <w:tcW w:type="dxa" w:w="4570"/>
            <w:shd w:fill="D9D9D9" w:color="auto" w:val="clear"/>
            <w:tcMar>
              <w:top w:type="dxa" w:w="60"/>
              <w:left w:type="dxa" w:w="100"/>
              <w:bottom w:type="dxa" w:w="60"/>
              <w:right w:type="dxa" w:w="100"/>
            </w:tcMar>
            <w:vAlign w:val="center"/>
          </w:tcPr>
          <w:p>
            <w:pPr>
              <w:spacing w:line="240"/>
              <w:jc w:val="left"/>
            </w:pPr>
            <w:r>
              <w:rPr>
                <w:rFonts w:ascii="Times New Roman" w:cs="Times New Roman" w:eastAsia="Times New Roman" w:hAnsi="Times New Roman"/>
                <w:b/>
                <w:bCs/>
                <w:sz w:val="20"/>
                <w:szCs w:val="20"/>
              </w:rPr>
              <w:t xml:space="preserve">Fundamento e justificativa técnica</w:t>
            </w:r>
          </w:p>
        </w:tc>
      </w:tr>
      <w:tr>
        <w:tc>
          <w:tcPr>
            <w:tcW w:type="dxa" w:w="13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T+0</w:t>
            </w:r>
          </w:p>
        </w:tc>
        <w:tc>
          <w:tcPr>
            <w:tcW w:type="dxa" w:w="32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Recebimento e não aproximação</w:t>
            </w:r>
          </w:p>
        </w:tc>
        <w:tc>
          <w:tcPr>
            <w:tcW w:type="dxa" w:w="45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A guarnição interrompe o deslocamento a distância segura e conduz avaliação visual e à distância. Nenhum policial se aproxima para confirmar a natureza do objeto: a confirmação não é atribuição do primeiro interventor. Regra atendida: não tocar e não mover.</w:t>
            </w:r>
          </w:p>
        </w:tc>
      </w:tr>
      <w:tr>
        <w:tc>
          <w:tcPr>
            <w:tcW w:type="dxa" w:w="13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T+1 min</w:t>
            </w:r>
          </w:p>
        </w:tc>
        <w:tc>
          <w:tcPr>
            <w:tcW w:type="dxa" w:w="32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Silêncio eletrônico imediato</w:t>
            </w:r>
          </w:p>
        </w:tc>
        <w:tc>
          <w:tcPr>
            <w:tcW w:type="dxa" w:w="45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Rádios portáteis, telefones celulares e terminais de dados são desligados no raio de segurança. Diante de dispositivo com iniciação por radiofrequência, uma única transmissão nas proximidades poderia atuar como sinal de acionamento. Regra atendida: protocolo de silêncio eletrônico.</w:t>
            </w:r>
          </w:p>
        </w:tc>
      </w:tr>
      <w:tr>
        <w:tc>
          <w:tcPr>
            <w:tcW w:type="dxa" w:w="13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T+2 min</w:t>
            </w:r>
          </w:p>
        </w:tc>
        <w:tc>
          <w:tcPr>
            <w:tcW w:type="dxa" w:w="32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Vedação de movimentação do veículo</w:t>
            </w:r>
          </w:p>
        </w:tc>
        <w:tc>
          <w:tcPr>
            <w:tcW w:type="dxa" w:w="45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O impulso natural de afastar o caminhão da área é proibido: a movimentação submete o artefato a vibração e a eventuais chaves inerciais ou anti-remoção. O veículo permanece onde está; quem se desloca é a população. Regra atendida: não mover.</w:t>
            </w:r>
          </w:p>
        </w:tc>
      </w:tr>
      <w:tr>
        <w:tc>
          <w:tcPr>
            <w:tcW w:type="dxa" w:w="13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T+4 min</w:t>
            </w:r>
          </w:p>
        </w:tc>
        <w:tc>
          <w:tcPr>
            <w:tcW w:type="dxa" w:w="32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Isolamento dimensionado pelo conjunto</w:t>
            </w:r>
          </w:p>
        </w:tc>
        <w:tc>
          <w:tcPr>
            <w:tcW w:type="dxa" w:w="45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A distância de segurança não é calculada pelo tamanho do artefato, e sim pelo conjunto artefato e carga. O tanque de combustível de aviação impõe a faixa de isolamento correspondente a caminhão-tanque, com risco adicional de incêndio e de ruptura do reservatório sob pressão. Regra atendida: distância de segurança pelo volume aparente do conjunto.</w:t>
            </w:r>
          </w:p>
        </w:tc>
      </w:tr>
      <w:tr>
        <w:tc>
          <w:tcPr>
            <w:tcW w:type="dxa" w:w="13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T+6 min</w:t>
            </w:r>
          </w:p>
        </w:tc>
        <w:tc>
          <w:tcPr>
            <w:tcW w:type="dxa" w:w="32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Evacuação para fora da linha de visada</w:t>
            </w:r>
          </w:p>
        </w:tc>
        <w:tc>
          <w:tcPr>
            <w:tcW w:type="dxa" w:w="45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Retirada de pedestres, ocupantes de veículos e trabalhadores das imediações, com direcionamento para trás de estruturas rígidas e para fora do eixo direto do artefato, evitando-se saguões, passarelas e fachadas envidraçadas como pontos de concentração. Regra atendida: preservação de vidas mediante interposição de massa.</w:t>
            </w:r>
          </w:p>
        </w:tc>
      </w:tr>
      <w:tr>
        <w:tc>
          <w:tcPr>
            <w:tcW w:type="dxa" w:w="13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T+8 min</w:t>
            </w:r>
          </w:p>
        </w:tc>
        <w:tc>
          <w:tcPr>
            <w:tcW w:type="dxa" w:w="32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Bloqueio viário e controle de acesso</w:t>
            </w:r>
          </w:p>
        </w:tc>
        <w:tc>
          <w:tcPr>
            <w:tcW w:type="dxa" w:w="45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Interdição das vias de aproximação com viaturas posicionadas fora do perímetro, controle de entrada e saída, registro das pessoas já presentes no local e canalização do tráfego por rota alternativa. Em véspera de feriado, com fluxo aeroportuário intenso, o controle de trânsito é medida de preservação de vidas. Regra atendida: isolamento e controle do perímetro.</w:t>
            </w:r>
          </w:p>
        </w:tc>
      </w:tr>
      <w:tr>
        <w:tc>
          <w:tcPr>
            <w:tcW w:type="dxa" w:w="13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T+10 min</w:t>
            </w:r>
          </w:p>
        </w:tc>
        <w:tc>
          <w:tcPr>
            <w:tcW w:type="dxa" w:w="32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Varredura do ponto de concentração</w:t>
            </w:r>
          </w:p>
        </w:tc>
        <w:tc>
          <w:tcPr>
            <w:tcW w:type="dxa" w:w="45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Antes da instalação do ponto de reunião da tropa e do Posto de Comando, procede-se à inspeção visual da área escolhida, presumindo-se a existência de artefato secundário dirigido contra quem responde à ocorrência. O Posto de Comando não é instalado no ponto previsível nem na linha de visada do dispositivo. Regra atendida: presunção de artefato secundário.</w:t>
            </w:r>
          </w:p>
        </w:tc>
      </w:tr>
      <w:tr>
        <w:tc>
          <w:tcPr>
            <w:tcW w:type="dxa" w:w="13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T+12 min</w:t>
            </w:r>
          </w:p>
        </w:tc>
        <w:tc>
          <w:tcPr>
            <w:tcW w:type="dxa" w:w="32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Difusão à distância e acionamento integrado</w:t>
            </w:r>
          </w:p>
        </w:tc>
        <w:tc>
          <w:tcPr>
            <w:tcW w:type="dxa" w:w="45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Já fora do raio de segurança, difusão ao COPOM com localização, descrição do artefato observada à distância, natureza da carga do veículo e dimensão do perímetro estabelecido, com acionamento do Esquadrão Antibombas do BOPE e, de forma articulada, do Corpo de Bombeiros Militar, do serviço de atendimento móvel de urgência, da Polícia Civil para a perícia, da administração aeroportuária e da Polícia Federal em razão da área. Regra atendida: comunicação e acionamento da unidade especializada.</w:t>
            </w:r>
          </w:p>
        </w:tc>
      </w:tr>
      <w:tr>
        <w:tc>
          <w:tcPr>
            <w:tcW w:type="dxa" w:w="13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T+n</w:t>
            </w:r>
          </w:p>
        </w:tc>
        <w:tc>
          <w:tcPr>
            <w:tcW w:type="dxa" w:w="32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Manutenção do isolamento e transferência formal</w:t>
            </w:r>
          </w:p>
        </w:tc>
        <w:tc>
          <w:tcPr>
            <w:tcW w:type="dxa" w:w="45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Perímetro mantido sem alteração, vedado o ingresso de qualquer pessoa, com preservação das imagens de videomonitoramento e identificação de testemunhas, em especial o motorista que localizou o dispositivo. Com a chegada do Esquadrão, transferência formal de responsabilidade, com relato do que se viu, do que se fez, do que não foi tocado e de quem esteve no interior do perímetro. Regra atendida: transferência ao BOPE.</w:t>
            </w:r>
          </w:p>
        </w:tc>
      </w:tr>
    </w:tbl>
    <w:p>
      <w:pPr>
        <w:spacing w:after="240" w:before="120" w:line="240"/>
        <w:jc w:val="left"/>
      </w:pPr>
      <w:r>
        <w:rPr>
          <w:rFonts w:ascii="Times New Roman" w:cs="Times New Roman" w:eastAsia="Times New Roman" w:hAnsi="Times New Roman"/>
          <w:sz w:val="20"/>
          <w:szCs w:val="20"/>
        </w:rPr>
        <w:t xml:space="preserve">Fonte: elaborado pelo autor a partir dos fatos públicos do caso e da Portaria Conjunta SSP nº 07/2019.</w:t>
      </w:r>
    </w:p>
    <w:p>
      <w:pPr>
        <w:pStyle w:val="Heading2"/>
        <w:spacing w:after="180" w:before="360" w:line="360"/>
      </w:pPr>
      <w:r>
        <w:rPr>
          <w:rFonts w:ascii="Times New Roman" w:cs="Times New Roman" w:eastAsia="Times New Roman" w:hAnsi="Times New Roman"/>
          <w:b/>
          <w:bCs/>
          <w:color w:val="000000"/>
          <w:sz w:val="24"/>
          <w:szCs w:val="24"/>
        </w:rPr>
        <w:t xml:space="preserve">5.3 A proteção do patrimônio público e privado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atuação do primeiro interventor produziu efeitos de proteção patrimonial em três planos, todos derivados de condutas de abstenção, e não de intervenção ativa sobre o artefato.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No plano da contenção da detonação secundária, a proibição de movimentar o caminhão-tanque e o afastamento de fontes de ignição impediram que um artefato de pequeno porte se convertesse em evento de proporções catastróficas, com potencial de atingir edificações, veículos e a própria infraestrutura aeroportuária.</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No plano da interrupção de serviços de risco, a articulação com concessionárias e com a administração aeroportuária permitiu a suspensão de operações e de fluxos na área afetada, reduzindo a exposição de pessoas e de bens.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No plano da integridade da prova, a não manipulação do artefato preservou vestígios que sustentaram a identificação e a responsabilização criminal do autor. Trata-se de resultado de polícia judiciária que depende integralmente da disciplina do primeiro interventor: o vestígio destruído nos primeiros minutos não é recuperável em nenhuma fase posterior.</w:t>
      </w:r>
    </w:p>
    <w:p>
      <w:pPr>
        <w:pStyle w:val="Heading2"/>
        <w:spacing w:after="180" w:before="360" w:line="360"/>
      </w:pPr>
      <w:r>
        <w:rPr>
          <w:rFonts w:ascii="Times New Roman" w:cs="Times New Roman" w:eastAsia="Times New Roman" w:hAnsi="Times New Roman"/>
          <w:b/>
          <w:bCs/>
          <w:color w:val="000000"/>
          <w:sz w:val="24"/>
          <w:szCs w:val="24"/>
        </w:rPr>
        <w:t xml:space="preserve">5.4 A recorrência do cenário no Distrito Federal</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caso analisado não constitui hipótese remota de manual. Em 13 de novembro de 2024, a detonação de artefatos na Praça dos Três Poderes, diante do Supremo Tribunal Federal, e a localização de veículo com material explosivo nas imediações exigiram novamente isolamento amplo, evacuação de prédios públicos e atuação do Esquadrão Antibombas. Antes disso, os atos de 8 de janeiro de 2023, que resultaram na invasão e na depredação das sedes dos três Poderes da República e ensejaram a decretação de intervenção federal na área de segurança pública do Distrito Federal por meio do Decreto nº 11.377, de 8 de janeiro de 2023, evidenciaram falhas concentradas na fase de pré-confrontação, e não na capacidade tática das equipes empenhadas.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conjunto desses episódios confirma que, em Brasília, sede dos Poderes da República e território de altíssima densidade institucional, a primeira resposta com explosivos e o gerenciamento de crises não descrevem hipóteses excepcionais: descrevem o turno de serviço.</w:t>
      </w:r>
    </w:p>
    <w:p>
      <w:pPr>
        <w:pStyle w:val="Heading1"/>
        <w:spacing w:after="240" w:before="480" w:line="360"/>
      </w:pPr>
      <w:r>
        <w:rPr>
          <w:rFonts w:ascii="Times New Roman" w:cs="Times New Roman" w:eastAsia="Times New Roman" w:hAnsi="Times New Roman"/>
          <w:b/>
          <w:bCs/>
          <w:color w:val="000000"/>
          <w:sz w:val="24"/>
          <w:szCs w:val="24"/>
        </w:rPr>
        <w:t xml:space="preserve">6 QUIZ COM GABARITO COMENTADO E FUNDAMENTADO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Apresentam-se, a seguir, quatro questões inéditas elaboradas com base no Plano de Defesa da Unidade Policial Militar frente a confrontos com grupos criminosos e na Instrução Normativa EM nº 11/2023. As duas primeiras versam sobre a defesa da unidade; as duas últimas, sobre o Procedimento Operacional Padrão do Agressor Ativo. Cada questão é seguida do gabarito, da justificativa da alternativa correta, da análise das alternativas incorretas e da indicação do fundamento normativo.</w:t>
      </w:r>
    </w:p>
    <w:p>
      <w:pPr>
        <w:pStyle w:val="Heading2"/>
        <w:spacing w:after="180" w:before="360" w:line="360"/>
      </w:pPr>
      <w:r>
        <w:rPr>
          <w:rFonts w:ascii="Times New Roman" w:cs="Times New Roman" w:eastAsia="Times New Roman" w:hAnsi="Times New Roman"/>
          <w:b/>
          <w:bCs/>
          <w:color w:val="000000"/>
          <w:sz w:val="24"/>
          <w:szCs w:val="24"/>
        </w:rPr>
        <w:t xml:space="preserve">6.1 Questão 1</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Durante o serviço noturno, a unidade policial-militar passa a receber disparos de fuzil provenientes de posição não identificada. Simultaneamente, o COPOM informa o disparo de alarme em agência bancária situada a três quilômetros de distância. Há duas guarnições disponíveis no quartel. Assinale a conduta que atende ao Plano de Defesa da UPM.</w:t>
      </w:r>
    </w:p>
    <w:p>
      <w:pPr>
        <w:spacing w:line="360"/>
        <w:ind w:left="709" w:firstLine="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Deslocar imediatamente uma das guarnições para a agência bancária e manter a outra na defesa do quartel, dividindo a resposta entre os dois pontos.</w:t>
      </w:r>
    </w:p>
    <w:p>
      <w:pPr>
        <w:spacing w:line="360"/>
        <w:ind w:left="709" w:firstLine="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Sair com as duas guarnições em perseguição à origem dos disparos, a fim de identificar e neutralizar os atiradores antes que ampliem o ataque.</w:t>
      </w:r>
    </w:p>
    <w:p>
      <w:pPr>
        <w:spacing w:line="360"/>
        <w:ind w:left="709" w:firstLine="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Manter a tropa reunida no dispositivo de defesa da unidade, difundir imediatamente a situação ao COPOM e aguardar a articulação do reforço, tratando o ataque como medida de fixação da resposta policial.</w:t>
      </w:r>
    </w:p>
    <w:p>
      <w:pPr>
        <w:spacing w:line="360"/>
        <w:ind w:left="709" w:firstLine="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Cessar as transmissões de rádio para não revelar a posição da tropa e aguardar em silêncio o amanhecer, quando o efetivo do turno seguinte assumirá o serviço.</w:t>
      </w:r>
    </w:p>
    <w:p>
      <w:pPr>
        <w:spacing w:before="240" w:line="360"/>
        <w:ind w:firstLine="709"/>
        <w:jc w:val="both"/>
      </w:pPr>
      <w:r>
        <w:rPr>
          <w:rFonts w:ascii="Times New Roman" w:cs="Times New Roman" w:eastAsia="Times New Roman" w:hAnsi="Times New Roman"/>
          <w:b/>
          <w:bCs/>
          <w:sz w:val="24"/>
          <w:szCs w:val="24"/>
        </w:rPr>
        <w:t xml:space="preserve">Gabarito: alternativa C. </w:t>
      </w:r>
      <w:r>
        <w:rPr>
          <w:rFonts w:ascii="Times New Roman" w:cs="Times New Roman" w:eastAsia="Times New Roman" w:hAnsi="Times New Roman"/>
          <w:sz w:val="24"/>
          <w:szCs w:val="24"/>
        </w:rPr>
        <w:t xml:space="preserve">O ataque ao quartel simultâneo ao acionamento de alarme em instituição financeira constitui a assinatura clássica do Novo Cangaço. O fogo dirigido contra a unidade não busca conquistá-la, mas fixá-la, impedindo que a tropa se desloque de forma organizada enquanto o golpe principal se desenvolve em outro ponto. A conduta correta preserva a integridade do dispositivo defensivo, difunde os dados para que o sistema articule reforço em bloco e evita a entrega de guarnições isoladas ao terreno previamente preparado pelo atacante.</w:t>
      </w:r>
    </w:p>
    <w:p>
      <w:pPr>
        <w:spacing w:after="0" w:line="360"/>
        <w:ind w:firstLine="709"/>
        <w:jc w:val="both"/>
      </w:pPr>
      <w:r>
        <w:rPr>
          <w:rFonts w:ascii="Times New Roman" w:cs="Times New Roman" w:eastAsia="Times New Roman" w:hAnsi="Times New Roman"/>
          <w:b/>
          <w:bCs/>
          <w:i w:val="false"/>
          <w:iCs w:val="false"/>
          <w:sz w:val="24"/>
          <w:szCs w:val="24"/>
        </w:rPr>
        <w:t xml:space="preserve">Análise das alternativas incorretas.</w:t>
      </w:r>
    </w:p>
    <w:p>
      <w:pPr>
        <w:spacing w:line="360"/>
        <w:ind w:left="709" w:firstLine="0"/>
        <w:jc w:val="both"/>
      </w:pPr>
      <w:r>
        <w:rPr>
          <w:rFonts w:ascii="Times New Roman" w:cs="Times New Roman" w:eastAsia="Times New Roman" w:hAnsi="Times New Roman"/>
          <w:b/>
          <w:bCs/>
          <w:sz w:val="24"/>
          <w:szCs w:val="24"/>
        </w:rPr>
        <w:t xml:space="preserve">Alternativa A: </w:t>
      </w:r>
      <w:r>
        <w:rPr>
          <w:rFonts w:ascii="Times New Roman" w:cs="Times New Roman" w:eastAsia="Times New Roman" w:hAnsi="Times New Roman"/>
          <w:sz w:val="24"/>
          <w:szCs w:val="24"/>
        </w:rPr>
        <w:t xml:space="preserve">produz exatamente o efeito perseguido pelo agressor, pois fraciona a tropa e envia uma guarnição em manifesta inferioridade contra grupo dotado de armamento de guerra, além de reduzir a capacidade de defesa da instalação.</w:t>
      </w:r>
    </w:p>
    <w:p>
      <w:pPr>
        <w:spacing w:line="360"/>
        <w:ind w:left="709" w:firstLine="0"/>
        <w:jc w:val="both"/>
      </w:pPr>
      <w:r>
        <w:rPr>
          <w:rFonts w:ascii="Times New Roman" w:cs="Times New Roman" w:eastAsia="Times New Roman" w:hAnsi="Times New Roman"/>
          <w:b/>
          <w:bCs/>
          <w:sz w:val="24"/>
          <w:szCs w:val="24"/>
        </w:rPr>
        <w:t xml:space="preserve">Alternativa B: </w:t>
      </w:r>
      <w:r>
        <w:rPr>
          <w:rFonts w:ascii="Times New Roman" w:cs="Times New Roman" w:eastAsia="Times New Roman" w:hAnsi="Times New Roman"/>
          <w:sz w:val="24"/>
          <w:szCs w:val="24"/>
        </w:rPr>
        <w:t xml:space="preserve">agrava a situação, uma vez que abandona a instalação, a reserva de armamento e os custodiados e lança a tropa em movimento contra posição de tiro não identificada, provavelmente preparada como local de emboscada.</w:t>
      </w:r>
    </w:p>
    <w:p>
      <w:pPr>
        <w:spacing w:line="360"/>
        <w:ind w:left="709" w:firstLine="0"/>
        <w:jc w:val="both"/>
      </w:pPr>
      <w:r>
        <w:rPr>
          <w:rFonts w:ascii="Times New Roman" w:cs="Times New Roman" w:eastAsia="Times New Roman" w:hAnsi="Times New Roman"/>
          <w:b/>
          <w:bCs/>
          <w:sz w:val="24"/>
          <w:szCs w:val="24"/>
        </w:rPr>
        <w:t xml:space="preserve">Alternativa D: </w:t>
      </w:r>
      <w:r>
        <w:rPr>
          <w:rFonts w:ascii="Times New Roman" w:cs="Times New Roman" w:eastAsia="Times New Roman" w:hAnsi="Times New Roman"/>
          <w:sz w:val="24"/>
          <w:szCs w:val="24"/>
        </w:rPr>
        <w:t xml:space="preserve">confunde disciplina de rede com silêncio. A difusão imediata ao COPOM é obrigatória; o que se restringe é a transmissão em claro do dispositivo de resposta, das rotas do reforço e da posição das equipes, jamais o relato do que está ocorrendo.</w:t>
      </w:r>
    </w:p>
    <w:p>
      <w:pPr>
        <w:spacing w:before="180" w:line="360"/>
        <w:ind w:firstLine="709"/>
        <w:jc w:val="both"/>
      </w:pPr>
      <w:r>
        <w:rPr>
          <w:rFonts w:ascii="Times New Roman" w:cs="Times New Roman" w:eastAsia="Times New Roman" w:hAnsi="Times New Roman"/>
          <w:b/>
          <w:bCs/>
          <w:sz w:val="24"/>
          <w:szCs w:val="24"/>
        </w:rPr>
        <w:t xml:space="preserve">Fundamento: </w:t>
      </w:r>
      <w:r>
        <w:rPr>
          <w:rFonts w:ascii="Times New Roman" w:cs="Times New Roman" w:eastAsia="Times New Roman" w:hAnsi="Times New Roman"/>
          <w:sz w:val="24"/>
          <w:szCs w:val="24"/>
        </w:rPr>
        <w:t xml:space="preserve">Plano de Defesa da Unidade Policial Militar — procedimentos de autoproteção do quartel e das instalações, vedação ao fracionamento da tropa e difusão imediata de dados ao COPOM pela rede de rádio.</w:t>
      </w:r>
    </w:p>
    <w:p>
      <w:pPr>
        <w:pStyle w:val="Heading2"/>
        <w:spacing w:after="180" w:before="360" w:line="360"/>
      </w:pPr>
      <w:r>
        <w:rPr>
          <w:rFonts w:ascii="Times New Roman" w:cs="Times New Roman" w:eastAsia="Times New Roman" w:hAnsi="Times New Roman"/>
          <w:b/>
          <w:bCs/>
          <w:color w:val="000000"/>
          <w:sz w:val="24"/>
          <w:szCs w:val="24"/>
        </w:rPr>
        <w:t xml:space="preserve">6.2 Questão 2</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Confirmado o roubo a instituição financeira, com fuga de quatro veículos, o comando determina o estabelecimento do cerco. A respeito do posicionamento das equipes nos pontos de estrangulamento, assinale a conduta tecnicamente correta.</w:t>
      </w:r>
    </w:p>
    <w:p>
      <w:pPr>
        <w:spacing w:line="360"/>
        <w:ind w:left="709" w:firstLine="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Atravessar as viaturas na pista, com os policiais abrigados atrás das portas e do compartimento do motor, formando barreira física no eixo da via.</w:t>
      </w:r>
    </w:p>
    <w:p>
      <w:pPr>
        <w:spacing w:line="360"/>
        <w:ind w:left="709" w:firstLine="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Ocupar antecipadamente o ponto de passagem obrigatória, buscando distância superior ao alcance eficaz do fuzil, cobertura dura e observação em enfiada da via, com plano de fogo e plano de evasão previamente definidos.</w:t>
      </w:r>
    </w:p>
    <w:p>
      <w:pPr>
        <w:spacing w:line="360"/>
        <w:ind w:left="709" w:firstLine="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Seguir a coluna criminosa a curta distância, mantendo contato visual e transmitindo pelo rádio a posição em tempo real até a chegada do apoio aéreo.</w:t>
      </w:r>
    </w:p>
    <w:p>
      <w:pPr>
        <w:spacing w:line="360"/>
        <w:ind w:left="709" w:firstLine="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Concentrar todas as equipes disponíveis no primeiro anel, junto à agência bancária, por ser o ponto de maior probabilidade de reencontro com os criminosos.</w:t>
      </w:r>
    </w:p>
    <w:p>
      <w:pPr>
        <w:spacing w:before="240" w:line="360"/>
        <w:ind w:firstLine="709"/>
        <w:jc w:val="both"/>
      </w:pPr>
      <w:r>
        <w:rPr>
          <w:rFonts w:ascii="Times New Roman" w:cs="Times New Roman" w:eastAsia="Times New Roman" w:hAnsi="Times New Roman"/>
          <w:b/>
          <w:bCs/>
          <w:sz w:val="24"/>
          <w:szCs w:val="24"/>
        </w:rPr>
        <w:t xml:space="preserve">Gabarito: alternativa B. </w:t>
      </w:r>
      <w:r>
        <w:rPr>
          <w:rFonts w:ascii="Times New Roman" w:cs="Times New Roman" w:eastAsia="Times New Roman" w:hAnsi="Times New Roman"/>
          <w:sz w:val="24"/>
          <w:szCs w:val="24"/>
        </w:rPr>
        <w:t xml:space="preserve">O cerco produz resultado por interceptação em profundidade, e não por perseguição. Sua eficácia depende da combinação de três fatores: alcançar o ponto de passagem obrigatória antes do criminoso, permanecer fora do alcance eficaz do armamento do oponente e dispor de cobertura dura com setor de tiro definido. A exigência de plano de evasão decorre da possibilidade concreta de a equipe de cerco encontrar-se em desvantagem numérica e de poder de fogo.</w:t>
      </w:r>
    </w:p>
    <w:p>
      <w:pPr>
        <w:spacing w:after="0" w:line="360"/>
        <w:ind w:firstLine="709"/>
        <w:jc w:val="both"/>
      </w:pPr>
      <w:r>
        <w:rPr>
          <w:rFonts w:ascii="Times New Roman" w:cs="Times New Roman" w:eastAsia="Times New Roman" w:hAnsi="Times New Roman"/>
          <w:b/>
          <w:bCs/>
          <w:i w:val="false"/>
          <w:iCs w:val="false"/>
          <w:sz w:val="24"/>
          <w:szCs w:val="24"/>
        </w:rPr>
        <w:t xml:space="preserve">Análise das alternativas incorretas.</w:t>
      </w:r>
    </w:p>
    <w:p>
      <w:pPr>
        <w:spacing w:line="360"/>
        <w:ind w:left="709" w:firstLine="0"/>
        <w:jc w:val="both"/>
      </w:pPr>
      <w:r>
        <w:rPr>
          <w:rFonts w:ascii="Times New Roman" w:cs="Times New Roman" w:eastAsia="Times New Roman" w:hAnsi="Times New Roman"/>
          <w:b/>
          <w:bCs/>
          <w:sz w:val="24"/>
          <w:szCs w:val="24"/>
        </w:rPr>
        <w:t xml:space="preserve">Alternativa A: </w:t>
      </w:r>
      <w:r>
        <w:rPr>
          <w:rFonts w:ascii="Times New Roman" w:cs="Times New Roman" w:eastAsia="Times New Roman" w:hAnsi="Times New Roman"/>
          <w:sz w:val="24"/>
          <w:szCs w:val="24"/>
        </w:rPr>
        <w:t xml:space="preserve">repousa sobre erro difundido no meio policial: a viatura não é blindagem. Lataria, vidros e portas não detêm projétil de fuzil, e a viatura atravessada na via converte a equipe em alvo previsível e iluminado.</w:t>
      </w:r>
    </w:p>
    <w:p>
      <w:pPr>
        <w:spacing w:line="360"/>
        <w:ind w:left="709" w:firstLine="0"/>
        <w:jc w:val="both"/>
      </w:pPr>
      <w:r>
        <w:rPr>
          <w:rFonts w:ascii="Times New Roman" w:cs="Times New Roman" w:eastAsia="Times New Roman" w:hAnsi="Times New Roman"/>
          <w:b/>
          <w:bCs/>
          <w:sz w:val="24"/>
          <w:szCs w:val="24"/>
        </w:rPr>
        <w:t xml:space="preserve">Alternativa C: </w:t>
      </w:r>
      <w:r>
        <w:rPr>
          <w:rFonts w:ascii="Times New Roman" w:cs="Times New Roman" w:eastAsia="Times New Roman" w:hAnsi="Times New Roman"/>
          <w:sz w:val="24"/>
          <w:szCs w:val="24"/>
        </w:rPr>
        <w:t xml:space="preserve">corresponde à perseguição em coluna, que entrega a iniciativa ao criminoso, expõe a guarnição a emboscada preparada na rota de fuga e ainda transmite em claro a posição das equipes, quando se deve presumir a rede monitorada.</w:t>
      </w:r>
    </w:p>
    <w:p>
      <w:pPr>
        <w:spacing w:line="360"/>
        <w:ind w:left="709" w:firstLine="0"/>
        <w:jc w:val="both"/>
      </w:pPr>
      <w:r>
        <w:rPr>
          <w:rFonts w:ascii="Times New Roman" w:cs="Times New Roman" w:eastAsia="Times New Roman" w:hAnsi="Times New Roman"/>
          <w:b/>
          <w:bCs/>
          <w:sz w:val="24"/>
          <w:szCs w:val="24"/>
        </w:rPr>
        <w:t xml:space="preserve">Alternativa D: </w:t>
      </w:r>
      <w:r>
        <w:rPr>
          <w:rFonts w:ascii="Times New Roman" w:cs="Times New Roman" w:eastAsia="Times New Roman" w:hAnsi="Times New Roman"/>
          <w:sz w:val="24"/>
          <w:szCs w:val="24"/>
        </w:rPr>
        <w:t xml:space="preserve">desperdiça meios no anel em que os criminosos já não se encontram, deixando desguarnecidos precisamente os pontos por onde eles terão de passar.</w:t>
      </w:r>
    </w:p>
    <w:p>
      <w:pPr>
        <w:spacing w:before="180" w:line="360"/>
        <w:ind w:firstLine="709"/>
        <w:jc w:val="both"/>
      </w:pPr>
      <w:r>
        <w:rPr>
          <w:rFonts w:ascii="Times New Roman" w:cs="Times New Roman" w:eastAsia="Times New Roman" w:hAnsi="Times New Roman"/>
          <w:b/>
          <w:bCs/>
          <w:sz w:val="24"/>
          <w:szCs w:val="24"/>
        </w:rPr>
        <w:t xml:space="preserve">Fundamento: </w:t>
      </w:r>
      <w:r>
        <w:rPr>
          <w:rFonts w:ascii="Times New Roman" w:cs="Times New Roman" w:eastAsia="Times New Roman" w:hAnsi="Times New Roman"/>
          <w:sz w:val="24"/>
          <w:szCs w:val="24"/>
        </w:rPr>
        <w:t xml:space="preserve">Plano de Defesa da Unidade Policial Militar — estabelecimento do cerco nos pontos de estrangulamento das vias de acesso e saída e escalonamento da contenção em anéis sucessivos.</w:t>
      </w:r>
    </w:p>
    <w:p>
      <w:pPr>
        <w:pStyle w:val="Heading2"/>
        <w:spacing w:after="180" w:before="360" w:line="360"/>
      </w:pPr>
      <w:r>
        <w:rPr>
          <w:rFonts w:ascii="Times New Roman" w:cs="Times New Roman" w:eastAsia="Times New Roman" w:hAnsi="Times New Roman"/>
          <w:b/>
          <w:bCs/>
          <w:color w:val="000000"/>
          <w:sz w:val="24"/>
          <w:szCs w:val="24"/>
        </w:rPr>
        <w:t xml:space="preserve">6.3 Questão 3</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Guarnição composta por dois policiais-militares chega a centro comercial no qual se ouvem disparos sucessivos. No hall de entrada há três feridos caídos e dezenas de pessoas correndo em direção à equipe. Conforme as diretrizes do POP do Agressor Ativo (IN EM nº 11/2023), a conduta correta é:</w:t>
      </w:r>
    </w:p>
    <w:p>
      <w:pPr>
        <w:spacing w:line="360"/>
        <w:ind w:left="709" w:firstLine="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prestar os primeiros socorros aos feridos do hall, por serem vítimas já identificadas e em risco imediato de morte, e aguardar equipe de reforço para iniciar a progressão.</w:t>
      </w:r>
    </w:p>
    <w:p>
      <w:pPr>
        <w:spacing w:line="360"/>
        <w:ind w:left="709" w:firstLine="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estabelecer perímetro no acesso principal, conter a saída das pessoas para triagem e iniciar contato verbal a fim de negociar a rendição do agressor.</w:t>
      </w:r>
    </w:p>
    <w:p>
      <w:pPr>
        <w:spacing w:line="360"/>
        <w:ind w:left="709" w:firstLine="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aguardar a formação mínima de quatro policiais, em razão da vedação ao contato com efetivo reduzido, mantendo a guarnição posicionada na entrada.</w:t>
      </w:r>
    </w:p>
    <w:p>
      <w:pPr>
        <w:spacing w:line="360"/>
        <w:ind w:left="709" w:firstLine="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formar contato com a dupla disponível e progredir em direção ao som dos disparos, ultrapassando feridos e pessoas em fuga, com o objetivo de conter a ameaça e cessar a produção de vítimas.</w:t>
      </w:r>
    </w:p>
    <w:p>
      <w:pPr>
        <w:spacing w:before="240" w:line="360"/>
        <w:ind w:firstLine="709"/>
        <w:jc w:val="both"/>
      </w:pPr>
      <w:r>
        <w:rPr>
          <w:rFonts w:ascii="Times New Roman" w:cs="Times New Roman" w:eastAsia="Times New Roman" w:hAnsi="Times New Roman"/>
          <w:b/>
          <w:bCs/>
          <w:sz w:val="24"/>
          <w:szCs w:val="24"/>
        </w:rPr>
        <w:t xml:space="preserve">Gabarito: alternativa D. </w:t>
      </w:r>
      <w:r>
        <w:rPr>
          <w:rFonts w:ascii="Times New Roman" w:cs="Times New Roman" w:eastAsia="Times New Roman" w:hAnsi="Times New Roman"/>
          <w:sz w:val="24"/>
          <w:szCs w:val="24"/>
        </w:rPr>
        <w:t xml:space="preserve">Enquanto há produção contínua de vítimas, a única missão da primeira equipe é cessar os disparos, porque interromper a fonte do dano preserva mais vidas do que o atendimento de qualquer vítima individual: cada minuto de atraso acrescenta novas vítimas ao evento. Daí decorrem as duas condutas mais contraintuitivas da doutrina — a ultrapassagem de feridos, cuja posição é marcada e informada para socorro pela equipe de resgate que atua na retaguarda sob escolta, e a ultrapassagem de pessoas em fuga, canalizadas para a retaguarda sem interrupção da progressão e sob a atenção de que o agressor pode deslocar-se misturado a elas.</w:t>
      </w:r>
    </w:p>
    <w:p>
      <w:pPr>
        <w:spacing w:after="0" w:line="360"/>
        <w:ind w:firstLine="709"/>
        <w:jc w:val="both"/>
      </w:pPr>
      <w:r>
        <w:rPr>
          <w:rFonts w:ascii="Times New Roman" w:cs="Times New Roman" w:eastAsia="Times New Roman" w:hAnsi="Times New Roman"/>
          <w:b/>
          <w:bCs/>
          <w:i w:val="false"/>
          <w:iCs w:val="false"/>
          <w:sz w:val="24"/>
          <w:szCs w:val="24"/>
        </w:rPr>
        <w:t xml:space="preserve">Análise das alternativas incorretas.</w:t>
      </w:r>
    </w:p>
    <w:p>
      <w:pPr>
        <w:spacing w:line="360"/>
        <w:ind w:left="709" w:firstLine="0"/>
        <w:jc w:val="both"/>
      </w:pPr>
      <w:r>
        <w:rPr>
          <w:rFonts w:ascii="Times New Roman" w:cs="Times New Roman" w:eastAsia="Times New Roman" w:hAnsi="Times New Roman"/>
          <w:b/>
          <w:bCs/>
          <w:sz w:val="24"/>
          <w:szCs w:val="24"/>
        </w:rPr>
        <w:t xml:space="preserve">Alternativa A: </w:t>
      </w:r>
      <w:r>
        <w:rPr>
          <w:rFonts w:ascii="Times New Roman" w:cs="Times New Roman" w:eastAsia="Times New Roman" w:hAnsi="Times New Roman"/>
          <w:sz w:val="24"/>
          <w:szCs w:val="24"/>
        </w:rPr>
        <w:t xml:space="preserve">converte a equipe de contato em equipe de socorro e deixa o agressor livre para prosseguir produzindo vítimas, invertendo a ordem de prioridades fixada pela norma.</w:t>
      </w:r>
    </w:p>
    <w:p>
      <w:pPr>
        <w:spacing w:line="360"/>
        <w:ind w:left="709" w:firstLine="0"/>
        <w:jc w:val="both"/>
      </w:pPr>
      <w:r>
        <w:rPr>
          <w:rFonts w:ascii="Times New Roman" w:cs="Times New Roman" w:eastAsia="Times New Roman" w:hAnsi="Times New Roman"/>
          <w:b/>
          <w:bCs/>
          <w:sz w:val="24"/>
          <w:szCs w:val="24"/>
        </w:rPr>
        <w:t xml:space="preserve">Alternativa B: </w:t>
      </w:r>
      <w:r>
        <w:rPr>
          <w:rFonts w:ascii="Times New Roman" w:cs="Times New Roman" w:eastAsia="Times New Roman" w:hAnsi="Times New Roman"/>
          <w:sz w:val="24"/>
          <w:szCs w:val="24"/>
        </w:rPr>
        <w:t xml:space="preserve">aplica ao agressor ativo o protocolo do evento crítico com reféns. Isolar e negociar somente faz sentido quando a produção de vítimas cessou e existe causador disposto a barganhar, o que não é o caso.</w:t>
      </w:r>
    </w:p>
    <w:p>
      <w:pPr>
        <w:spacing w:line="360"/>
        <w:ind w:left="709" w:firstLine="0"/>
        <w:jc w:val="both"/>
      </w:pPr>
      <w:r>
        <w:rPr>
          <w:rFonts w:ascii="Times New Roman" w:cs="Times New Roman" w:eastAsia="Times New Roman" w:hAnsi="Times New Roman"/>
          <w:b/>
          <w:bCs/>
          <w:sz w:val="24"/>
          <w:szCs w:val="24"/>
        </w:rPr>
        <w:t xml:space="preserve">Alternativa C: </w:t>
      </w:r>
      <w:r>
        <w:rPr>
          <w:rFonts w:ascii="Times New Roman" w:cs="Times New Roman" w:eastAsia="Times New Roman" w:hAnsi="Times New Roman"/>
          <w:sz w:val="24"/>
          <w:szCs w:val="24"/>
        </w:rPr>
        <w:t xml:space="preserve">inverte a regra. A formação de três a quatro policiais é preferencial, e não condição de início: havendo disparos em curso, a dupla forma contato e progride.</w:t>
      </w:r>
    </w:p>
    <w:p>
      <w:pPr>
        <w:spacing w:before="180" w:line="360"/>
        <w:ind w:firstLine="709"/>
        <w:jc w:val="both"/>
      </w:pPr>
      <w:r>
        <w:rPr>
          <w:rFonts w:ascii="Times New Roman" w:cs="Times New Roman" w:eastAsia="Times New Roman" w:hAnsi="Times New Roman"/>
          <w:b/>
          <w:bCs/>
          <w:sz w:val="24"/>
          <w:szCs w:val="24"/>
        </w:rPr>
        <w:t xml:space="preserve">Fundamento: </w:t>
      </w:r>
      <w:r>
        <w:rPr>
          <w:rFonts w:ascii="Times New Roman" w:cs="Times New Roman" w:eastAsia="Times New Roman" w:hAnsi="Times New Roman"/>
          <w:sz w:val="24"/>
          <w:szCs w:val="24"/>
        </w:rPr>
        <w:t xml:space="preserve">Instrução Normativa EM nº 11/2023 — protocolo de formação de contato, progressão tática imediata em direção ao som dos disparos ou estampidos e ação de intervenção direta para conter a ameaça e salvar vidas.</w:t>
      </w:r>
    </w:p>
    <w:p>
      <w:pPr>
        <w:pStyle w:val="Heading2"/>
        <w:spacing w:after="180" w:before="360" w:line="360"/>
      </w:pPr>
      <w:r>
        <w:rPr>
          <w:rFonts w:ascii="Times New Roman" w:cs="Times New Roman" w:eastAsia="Times New Roman" w:hAnsi="Times New Roman"/>
          <w:b/>
          <w:bCs/>
          <w:color w:val="000000"/>
          <w:sz w:val="24"/>
          <w:szCs w:val="24"/>
        </w:rPr>
        <w:t xml:space="preserve">6.4 Questão 4</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Durante a progressão, o agressor recolhe-se a uma sala com quatro pessoas, tranca a porta, cessa os disparos e passa a gritar exigências, afirmando que irá explodir o local. Assinale a conduta correta da equipe de contato.</w:t>
      </w:r>
    </w:p>
    <w:p>
      <w:pPr>
        <w:spacing w:line="360"/>
        <w:ind w:left="709" w:firstLine="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Interromper a progressão, conter e isolar o ambiente, comunicar de imediato a mudança de natureza do evento e adotar as regras de radiofrequência aplicáveis à ameaça de artefato explosivo, aguardando a unidade especializada.</w:t>
      </w:r>
    </w:p>
    <w:p>
      <w:pPr>
        <w:spacing w:line="360"/>
        <w:ind w:left="709" w:firstLine="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Manter a progressão e invadir a sala de imediato, pois, uma vez iniciado o protocolo de agressor ativo, ele deve ser levado até a neutralização da ameaça.</w:t>
      </w:r>
    </w:p>
    <w:p>
      <w:pPr>
        <w:spacing w:line="360"/>
        <w:ind w:left="709" w:firstLine="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Recuar toda a equipe para fora da edificação e liberar o perímetro interno, transferindo integralmente o evento ao comando, sem manter contato visual com o acesso.</w:t>
      </w:r>
    </w:p>
    <w:p>
      <w:pPr>
        <w:spacing w:line="360"/>
        <w:ind w:left="709" w:firstLine="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Iniciar de pronto a negociação das exigências, concedendo o que for necessário para evitar a detonação, inclusive meio de transporte para a saída do agressor.</w:t>
      </w:r>
    </w:p>
    <w:p>
      <w:pPr>
        <w:spacing w:before="240" w:line="360"/>
        <w:ind w:firstLine="709"/>
        <w:jc w:val="both"/>
      </w:pPr>
      <w:r>
        <w:rPr>
          <w:rFonts w:ascii="Times New Roman" w:cs="Times New Roman" w:eastAsia="Times New Roman" w:hAnsi="Times New Roman"/>
          <w:b/>
          <w:bCs/>
          <w:sz w:val="24"/>
          <w:szCs w:val="24"/>
        </w:rPr>
        <w:t xml:space="preserve">Gabarito: alternativa A. </w:t>
      </w:r>
      <w:r>
        <w:rPr>
          <w:rFonts w:ascii="Times New Roman" w:cs="Times New Roman" w:eastAsia="Times New Roman" w:hAnsi="Times New Roman"/>
          <w:sz w:val="24"/>
          <w:szCs w:val="24"/>
        </w:rPr>
        <w:t xml:space="preserve">O evento alterou sua natureza duas vezes na mesma cena. Ao cessar a produção de vítimas, barricar-se com pessoas e formular exigências, o agressor deixou de ser agressor ativo e passou a ser causador de evento crítico com reféns, o que desloca a resposta do contato imediato para conter, isolar e negociar, sob o regime da Operação Gerente. Simultaneamente, a menção a explosivo faz incidir a regra de radiofrequência da Operação Petardo, que prevalece sobre o dever de difusão imediata: afasta-se primeiro e transmite-se depois. Reconhecer as duas transições e comunicá-las é a decisão que define o desfecho.</w:t>
      </w:r>
    </w:p>
    <w:p>
      <w:pPr>
        <w:spacing w:after="0" w:line="360"/>
        <w:ind w:firstLine="709"/>
        <w:jc w:val="both"/>
      </w:pPr>
      <w:r>
        <w:rPr>
          <w:rFonts w:ascii="Times New Roman" w:cs="Times New Roman" w:eastAsia="Times New Roman" w:hAnsi="Times New Roman"/>
          <w:b/>
          <w:bCs/>
          <w:i w:val="false"/>
          <w:iCs w:val="false"/>
          <w:sz w:val="24"/>
          <w:szCs w:val="24"/>
        </w:rPr>
        <w:t xml:space="preserve">Análise das alternativas incorretas.</w:t>
      </w:r>
    </w:p>
    <w:p>
      <w:pPr>
        <w:spacing w:line="360"/>
        <w:ind w:left="709" w:firstLine="0"/>
        <w:jc w:val="both"/>
      </w:pPr>
      <w:r>
        <w:rPr>
          <w:rFonts w:ascii="Times New Roman" w:cs="Times New Roman" w:eastAsia="Times New Roman" w:hAnsi="Times New Roman"/>
          <w:b/>
          <w:bCs/>
          <w:sz w:val="24"/>
          <w:szCs w:val="24"/>
        </w:rPr>
        <w:t xml:space="preserve">Alternativa B: </w:t>
      </w:r>
      <w:r>
        <w:rPr>
          <w:rFonts w:ascii="Times New Roman" w:cs="Times New Roman" w:eastAsia="Times New Roman" w:hAnsi="Times New Roman"/>
          <w:sz w:val="24"/>
          <w:szCs w:val="24"/>
        </w:rPr>
        <w:t xml:space="preserve">trata o protocolo como trilho irreversível. A classificação acompanha o comportamento do causador em tempo real, e a invasão de ambiente barricado com reféns e ameaça de artefato é a alternativa tática de maior risco e menor reversibilidade, reservada à tropa especializada e dependente de autorização do gerente da crise.</w:t>
      </w:r>
    </w:p>
    <w:p>
      <w:pPr>
        <w:spacing w:line="360"/>
        <w:ind w:left="709" w:firstLine="0"/>
        <w:jc w:val="both"/>
      </w:pPr>
      <w:r>
        <w:rPr>
          <w:rFonts w:ascii="Times New Roman" w:cs="Times New Roman" w:eastAsia="Times New Roman" w:hAnsi="Times New Roman"/>
          <w:b/>
          <w:bCs/>
          <w:sz w:val="24"/>
          <w:szCs w:val="24"/>
        </w:rPr>
        <w:t xml:space="preserve">Alternativa C: </w:t>
      </w:r>
      <w:r>
        <w:rPr>
          <w:rFonts w:ascii="Times New Roman" w:cs="Times New Roman" w:eastAsia="Times New Roman" w:hAnsi="Times New Roman"/>
          <w:sz w:val="24"/>
          <w:szCs w:val="24"/>
        </w:rPr>
        <w:t xml:space="preserve">abandona a contenção. A perda do controle do acesso permite o deslocamento do causador, a fuga misturada às vítimas ou o reinício das execuções.</w:t>
      </w:r>
    </w:p>
    <w:p>
      <w:pPr>
        <w:spacing w:line="360"/>
        <w:ind w:left="709" w:firstLine="0"/>
        <w:jc w:val="both"/>
      </w:pPr>
      <w:r>
        <w:rPr>
          <w:rFonts w:ascii="Times New Roman" w:cs="Times New Roman" w:eastAsia="Times New Roman" w:hAnsi="Times New Roman"/>
          <w:b/>
          <w:bCs/>
          <w:sz w:val="24"/>
          <w:szCs w:val="24"/>
        </w:rPr>
        <w:t xml:space="preserve">Alternativa D: </w:t>
      </w:r>
      <w:r>
        <w:rPr>
          <w:rFonts w:ascii="Times New Roman" w:cs="Times New Roman" w:eastAsia="Times New Roman" w:hAnsi="Times New Roman"/>
          <w:sz w:val="24"/>
          <w:szCs w:val="24"/>
        </w:rPr>
        <w:t xml:space="preserve">viola o núcleo da negociação policial, que veda a concessão de itens criadores de risco novo ou transferidores de poder ao causador, sendo o meio de fuga com refém vedação expressa.</w:t>
      </w:r>
    </w:p>
    <w:p>
      <w:pPr>
        <w:spacing w:before="180" w:line="360"/>
        <w:ind w:firstLine="709"/>
        <w:jc w:val="both"/>
      </w:pPr>
      <w:r>
        <w:rPr>
          <w:rFonts w:ascii="Times New Roman" w:cs="Times New Roman" w:eastAsia="Times New Roman" w:hAnsi="Times New Roman"/>
          <w:b/>
          <w:bCs/>
          <w:sz w:val="24"/>
          <w:szCs w:val="24"/>
        </w:rPr>
        <w:t xml:space="preserve">Fundamento: </w:t>
      </w:r>
      <w:r>
        <w:rPr>
          <w:rFonts w:ascii="Times New Roman" w:cs="Times New Roman" w:eastAsia="Times New Roman" w:hAnsi="Times New Roman"/>
          <w:sz w:val="24"/>
          <w:szCs w:val="24"/>
        </w:rPr>
        <w:t xml:space="preserve">Instrução Normativa EM nº 11/2023, quanto à identificação do evento e às transições de natureza; Portaria PMDF nº 1.218/2021 (Operação Gerente), quanto à contenção, ao isolamento e à negociação inicial sem concessões de risco; e Portaria Conjunta SSP nº 07/2019 (Operação Petardo), quanto ao protocolo de silêncio eletrônico diante de ameaça de artefato explosivo.</w:t>
      </w:r>
    </w:p>
    <w:p>
      <w:pPr>
        <w:pStyle w:val="Heading1"/>
        <w:spacing w:after="240" w:before="480" w:line="360"/>
      </w:pPr>
      <w:r>
        <w:rPr>
          <w:rFonts w:ascii="Times New Roman" w:cs="Times New Roman" w:eastAsia="Times New Roman" w:hAnsi="Times New Roman"/>
          <w:b/>
          <w:bCs/>
          <w:color w:val="000000"/>
          <w:sz w:val="24"/>
          <w:szCs w:val="24"/>
        </w:rPr>
        <w:t xml:space="preserve">7 CONCLUSÃO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percurso desenvolvido neste trabalho permite afirmar que os quatro protocolos examinados não constituem quatro assuntos autônomos, mas quatro respostas mutuamente excludentes a uma mesma pergunta inicial. A competência exigida do policial-militar em serviço não é, portanto, a memorização isolada de listas de procedimentos, e sim a correta classificação do evento nos primeiros segundos e o reconhecimento tempestivo do momento em que ele muda de natureza — porque a classificação equivocada aplica, com irrepreensível perfeição técnica, o protocolo que mata.</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Quanto às ações defensivas do Plano de Defesa da UPM, verificou-se que a autoproteção da instalação é condição de possibilidade da resposta, que o ataque ao quartel possui função de fixação e que a vedação ao fracionamento da tropa concentra o maior potencial de dano quando descumprida. Constatou-se, ainda, que a difusão imediata ao COPOM e a disciplina de contra-inteligência de rede não se excluem: difundir o que se vê é dever, difundir o que se vai fazer é entregar o plano. Por fim, demonstrou-se que o cerco produz resultado pela ocupação antecipada dos pontos de passagem obrigatória, e não pela perseguição, circunstância especialmente favorável ao Distrito Federal, cujos eixos de evasão são poucos e conhecidos, desde que o anel externo seja acionado junto com a primeira difusão.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Quanto às diretrizes do POP do Agressor Ativo, evidenciou-se a inversão doutrinária que substituiu o modelo de contenção e espera pelo de contato imediato, bem como sua base empírica. Examinaram-se a formação de contato com o efetivo disponível, a progressão em direção ao som dos disparos e as duas condutas contraintuitivas que ela impõe — ultrapassar feridos e ultrapassar quem foge —, além dos limites jurídicos da intervenção direta, delimitados pela Lei nº 13.060/2014, pelas excludentes de ilicitude do Código Penal, com destaque para o parágrafo único do artigo 25 acrescentado pela Lei nº 13.964/2019, e pelo padrão de planejamento, registro e controle firmado na Arguição de Descumprimento de Preceito Fundamental nº 635 e na jurisprudência interamericana.</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mapa mental integrado demonstrou que a Operação Gerente e a Operação Petardo compartilham um tronco comum de seis obrigações e uma reconvergência única na transferência formal ao Batalhão de Operações Policiais Especiais, separando-se apenas quanto à natureza da ameaça e, de forma crítica, quanto ao emprego do rádio. Estabeleceu-se, para a hipótese de ameaça mista, a regra de prevalência da disciplina de radiofrequência da Operação Petardo, justificada pela assimetria das consequências: o atraso na difusão retarda a resposta, ao passo que a transmissão indevida pode produzir a detonação.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análise do caso ocorrido em 24 de dezembro de 2022 nas imediações do Aeroporto Internacional de Brasília confirmou, em situação concreta, a inteireza do protocolo. Ali, as condutas que preservaram vidas e patrimônio foram, em sua quase totalidade, condutas de abstenção — não tocar, não mover, não transmitir — e o resultado favorável decorreu da disciplina do primeiro interventor, não da intervenção sobre o artefato. Somado aos episódios de 8 de janeiro de 2023 e de 13 de novembro de 2024, o caso demonstra que a primeira resposta com explosivos é, em Brasília, ocorrência recorrente.</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Como contribuição propositiva, sugere-se: a difusão dos quatro protocolos a todo o efetivo, e não apenas às unidades especializadas, uma vez que o primeiro interventor é quase sempre o policial do policiamento ordinário; a realização periódica de exercícios simulados integrados, contemplando cenários de ataque a unidade, agressor ativo em ambiente escolar ou comercial e artefato explosivo em infraestrutura crítica; o treinamento específico das transições de natureza do evento, que constituem o ponto de maior fragilidade identificado neste estudo; a atualização dos procedimentos operacionais padrão à luz das exigências jurisprudenciais recentes sobre registro e comunicação; e a institucionalização do debriefing estruturado como fonte permanente de aprendizado organizacional.</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Conclui-se, enfim, que eventos críticos são vencidos ou perdidos muito antes de começarem, na fase em que ninguém está observando: a do treinamento realizado, do plano ensaiado e do equipamento conferido. Ao subordinar a resposta tática a critérios técnicos e jurídicos previamente definidos, a Polícia Militar do Distrito Federal protege simultaneamente três bens — a vida das pessoas envolvidas no evento, a integridade física e jurídica de seus policiais e a legitimidade que sustenta o exercício da autoridade policial em uma sociedade democrática.</w:t>
      </w:r>
    </w:p>
    <w:p>
      <w:pPr>
        <w:pStyle w:val="Heading1"/>
        <w:spacing w:after="240" w:before="480" w:line="360"/>
      </w:pPr>
      <w:r>
        <w:rPr>
          <w:rFonts w:ascii="Times New Roman" w:cs="Times New Roman" w:eastAsia="Times New Roman" w:hAnsi="Times New Roman"/>
          <w:b/>
          <w:bCs/>
          <w:color w:val="000000"/>
          <w:sz w:val="24"/>
          <w:szCs w:val="24"/>
        </w:rPr>
        <w:t xml:space="preserve">REFERÊNCIAS</w:t>
      </w:r>
    </w:p>
    <w:p>
      <w:pPr>
        <w:spacing w:after="240" w:line="240"/>
        <w:jc w:val="left"/>
      </w:pPr>
      <w:r>
        <w:rPr>
          <w:rFonts w:ascii="Times New Roman" w:cs="Times New Roman" w:eastAsia="Times New Roman" w:hAnsi="Times New Roman"/>
          <w:sz w:val="24"/>
          <w:szCs w:val="24"/>
        </w:rPr>
        <w:t xml:space="preserve">BRASIL. [Constituição (1988)]. Constituição da República Federativa do Brasil de 1988. Brasília, DF: Presidência da República, 1988.</w:t>
      </w:r>
    </w:p>
    <w:p>
      <w:pPr>
        <w:spacing w:after="240" w:line="240"/>
        <w:jc w:val="left"/>
      </w:pPr>
      <w:r>
        <w:rPr>
          <w:rFonts w:ascii="Times New Roman" w:cs="Times New Roman" w:eastAsia="Times New Roman" w:hAnsi="Times New Roman"/>
          <w:sz w:val="24"/>
          <w:szCs w:val="24"/>
        </w:rPr>
        <w:t xml:space="preserve">BRASIL. Decreto-Lei nº 2.848, de 7 de dezembro de 1940. Código Penal. Rio de Janeiro, 1940.</w:t>
      </w:r>
    </w:p>
    <w:p>
      <w:pPr>
        <w:spacing w:after="240" w:line="240"/>
        <w:jc w:val="left"/>
      </w:pPr>
      <w:r>
        <w:rPr>
          <w:rFonts w:ascii="Times New Roman" w:cs="Times New Roman" w:eastAsia="Times New Roman" w:hAnsi="Times New Roman"/>
          <w:sz w:val="24"/>
          <w:szCs w:val="24"/>
        </w:rPr>
        <w:t xml:space="preserve">BRASIL. Decreto-Lei nº 3.689, de 3 de outubro de 1941. Código de Processo Penal. Rio de Janeiro, 1941.</w:t>
      </w:r>
    </w:p>
    <w:p>
      <w:pPr>
        <w:spacing w:after="240" w:line="240"/>
        <w:jc w:val="left"/>
      </w:pPr>
      <w:r>
        <w:rPr>
          <w:rFonts w:ascii="Times New Roman" w:cs="Times New Roman" w:eastAsia="Times New Roman" w:hAnsi="Times New Roman"/>
          <w:sz w:val="24"/>
          <w:szCs w:val="24"/>
        </w:rPr>
        <w:t xml:space="preserve">BRASIL. Lei nº 6.450, de 14 de outubro de 1977. Dispõe sobre a organização básica da Polícia Militar do Distrito Federal. Brasília, DF, 1977.</w:t>
      </w:r>
    </w:p>
    <w:p>
      <w:pPr>
        <w:spacing w:after="240" w:line="240"/>
        <w:jc w:val="left"/>
      </w:pPr>
      <w:r>
        <w:rPr>
          <w:rFonts w:ascii="Times New Roman" w:cs="Times New Roman" w:eastAsia="Times New Roman" w:hAnsi="Times New Roman"/>
          <w:sz w:val="24"/>
          <w:szCs w:val="24"/>
        </w:rPr>
        <w:t xml:space="preserve">BRASIL. Decreto nº 88.777, de 30 de setembro de 1983. Aprova o regulamento para as polícias militares e corpos de bombeiros militares (R-200). Brasília, DF, 1983.</w:t>
      </w:r>
    </w:p>
    <w:p>
      <w:pPr>
        <w:spacing w:after="240" w:line="240"/>
        <w:jc w:val="left"/>
      </w:pPr>
      <w:r>
        <w:rPr>
          <w:rFonts w:ascii="Times New Roman" w:cs="Times New Roman" w:eastAsia="Times New Roman" w:hAnsi="Times New Roman"/>
          <w:sz w:val="24"/>
          <w:szCs w:val="24"/>
        </w:rPr>
        <w:t xml:space="preserve">BRASIL. Lei nº 7.289, de 18 de dezembro de 1984. Dispõe sobre o Estatuto dos Policiais-Militares da Polícia Militar do Distrito Federal. Brasília, DF, 1984.</w:t>
      </w:r>
    </w:p>
    <w:p>
      <w:pPr>
        <w:spacing w:after="240" w:line="240"/>
        <w:jc w:val="left"/>
      </w:pPr>
      <w:r>
        <w:rPr>
          <w:rFonts w:ascii="Times New Roman" w:cs="Times New Roman" w:eastAsia="Times New Roman" w:hAnsi="Times New Roman"/>
          <w:sz w:val="24"/>
          <w:szCs w:val="24"/>
        </w:rPr>
        <w:t xml:space="preserve">BRASIL. Lei nº 13.060, de 22 de dezembro de 2014. Disciplina o uso dos instrumentos de menor potencial ofensivo pelos agentes de segurança pública. Brasília, DF, 2014.</w:t>
      </w:r>
    </w:p>
    <w:p>
      <w:pPr>
        <w:spacing w:after="240" w:line="240"/>
        <w:jc w:val="left"/>
      </w:pPr>
      <w:r>
        <w:rPr>
          <w:rFonts w:ascii="Times New Roman" w:cs="Times New Roman" w:eastAsia="Times New Roman" w:hAnsi="Times New Roman"/>
          <w:sz w:val="24"/>
          <w:szCs w:val="24"/>
        </w:rPr>
        <w:t xml:space="preserve">BRASIL. Lei nº 13.675, de 11 de junho de 2018. Institui o Sistema Único de Segurança Pública e cria a Política Nacional de Segurança Pública e Defesa Social. Brasília, DF, 2018.</w:t>
      </w:r>
    </w:p>
    <w:p>
      <w:pPr>
        <w:spacing w:after="240" w:line="240"/>
        <w:jc w:val="left"/>
      </w:pPr>
      <w:r>
        <w:rPr>
          <w:rFonts w:ascii="Times New Roman" w:cs="Times New Roman" w:eastAsia="Times New Roman" w:hAnsi="Times New Roman"/>
          <w:sz w:val="24"/>
          <w:szCs w:val="24"/>
        </w:rPr>
        <w:t xml:space="preserve">BRASIL. Lei nº 13.869, de 5 de setembro de 2019. Dispõe sobre os crimes de abuso de autoridade. Brasília, DF, 2019.</w:t>
      </w:r>
    </w:p>
    <w:p>
      <w:pPr>
        <w:spacing w:after="240" w:line="240"/>
        <w:jc w:val="left"/>
      </w:pPr>
      <w:r>
        <w:rPr>
          <w:rFonts w:ascii="Times New Roman" w:cs="Times New Roman" w:eastAsia="Times New Roman" w:hAnsi="Times New Roman"/>
          <w:sz w:val="24"/>
          <w:szCs w:val="24"/>
        </w:rPr>
        <w:t xml:space="preserve">BRASIL. Lei nº 13.964, de 24 de dezembro de 2019. Aperfeiçoa a legislação penal e processual penal. Brasília, DF, 2019.</w:t>
      </w:r>
    </w:p>
    <w:p>
      <w:pPr>
        <w:spacing w:after="240" w:line="240"/>
        <w:jc w:val="left"/>
      </w:pPr>
      <w:r>
        <w:rPr>
          <w:rFonts w:ascii="Times New Roman" w:cs="Times New Roman" w:eastAsia="Times New Roman" w:hAnsi="Times New Roman"/>
          <w:sz w:val="24"/>
          <w:szCs w:val="24"/>
        </w:rPr>
        <w:t xml:space="preserve">BRASIL. Decreto nº 11.377, de 8 de janeiro de 2023. Decreta intervenção federal no Distrito Federal, com o objetivo de pôr termo a grave comprometimento da ordem pública. Brasília, DF, 2023.</w:t>
      </w:r>
    </w:p>
    <w:p>
      <w:pPr>
        <w:spacing w:after="240" w:line="240"/>
        <w:jc w:val="left"/>
      </w:pPr>
      <w:r>
        <w:rPr>
          <w:rFonts w:ascii="Times New Roman" w:cs="Times New Roman" w:eastAsia="Times New Roman" w:hAnsi="Times New Roman"/>
          <w:sz w:val="24"/>
          <w:szCs w:val="24"/>
        </w:rPr>
        <w:t xml:space="preserve">BRASIL. Lei nº 14.811, de 8 de janeiro de 2024. Institui a Política Nacional de Prevenção e Combate ao Abuso e à Violência contra Crianças e Adolescentes. Brasília, DF, 2024.</w:t>
      </w:r>
    </w:p>
    <w:p>
      <w:pPr>
        <w:spacing w:after="240" w:line="240"/>
        <w:jc w:val="left"/>
      </w:pPr>
      <w:r>
        <w:rPr>
          <w:rFonts w:ascii="Times New Roman" w:cs="Times New Roman" w:eastAsia="Times New Roman" w:hAnsi="Times New Roman"/>
          <w:sz w:val="24"/>
          <w:szCs w:val="24"/>
        </w:rPr>
        <w:t xml:space="preserve">BRASIL. Ministério da Justiça. Academia Nacional de Polícia. Manual de gerenciamento de crises. Brasília, DF: ANP.</w:t>
      </w:r>
    </w:p>
    <w:p>
      <w:pPr>
        <w:spacing w:after="240" w:line="240"/>
        <w:jc w:val="left"/>
      </w:pPr>
      <w:r>
        <w:rPr>
          <w:rFonts w:ascii="Times New Roman" w:cs="Times New Roman" w:eastAsia="Times New Roman" w:hAnsi="Times New Roman"/>
          <w:sz w:val="24"/>
          <w:szCs w:val="24"/>
        </w:rPr>
        <w:t xml:space="preserve">BRASIL. Ministério da Justiça. Secretaria Nacional de Segurança Pública. Curso de gerenciamento de crises: material didático da Rede Nacional de Altos Estudos em Segurança Pública. Brasília, DF: SENASP.</w:t>
      </w:r>
    </w:p>
    <w:p>
      <w:pPr>
        <w:spacing w:after="240" w:line="240"/>
        <w:jc w:val="left"/>
      </w:pPr>
      <w:r>
        <w:rPr>
          <w:rFonts w:ascii="Times New Roman" w:cs="Times New Roman" w:eastAsia="Times New Roman" w:hAnsi="Times New Roman"/>
          <w:sz w:val="24"/>
          <w:szCs w:val="24"/>
        </w:rPr>
        <w:t xml:space="preserve">BRASIL. Secretaria de Direitos Humanos da Presidência da República; Ministério da Justiça. Portaria Interministerial nº 4.226, de 31 de dezembro de 2010. Estabelece diretrizes sobre o uso da força e armas de fogo pelos agentes de segurança pública. Brasília, DF, 2010.</w:t>
      </w:r>
    </w:p>
    <w:p>
      <w:pPr>
        <w:spacing w:after="240" w:line="240"/>
        <w:jc w:val="left"/>
      </w:pPr>
      <w:r>
        <w:rPr>
          <w:rFonts w:ascii="Times New Roman" w:cs="Times New Roman" w:eastAsia="Times New Roman" w:hAnsi="Times New Roman"/>
          <w:sz w:val="24"/>
          <w:szCs w:val="24"/>
        </w:rPr>
        <w:t xml:space="preserve">CORTE INTERAMERICANA DE DIREITOS HUMANOS. Caso Favela Nova Brasília vs. Brasil. Sentença de 16 de fevereiro de 2017. San José: Corte IDH, 2017.</w:t>
      </w:r>
    </w:p>
    <w:p>
      <w:pPr>
        <w:spacing w:after="240" w:line="240"/>
        <w:jc w:val="left"/>
      </w:pPr>
      <w:r>
        <w:rPr>
          <w:rFonts w:ascii="Times New Roman" w:cs="Times New Roman" w:eastAsia="Times New Roman" w:hAnsi="Times New Roman"/>
          <w:sz w:val="24"/>
          <w:szCs w:val="24"/>
        </w:rPr>
        <w:t xml:space="preserve">DISTRITO FEDERAL. Secretaria de Estado de Segurança Pública. Portaria Conjunta SSP nº 07, de 2019. Institui a Operação Petardo — primeira resposta com explosivos. Brasília, DF, 2019.</w:t>
      </w:r>
    </w:p>
    <w:p>
      <w:pPr>
        <w:spacing w:after="240" w:line="240"/>
        <w:jc w:val="left"/>
      </w:pPr>
      <w:r>
        <w:rPr>
          <w:rFonts w:ascii="Times New Roman" w:cs="Times New Roman" w:eastAsia="Times New Roman" w:hAnsi="Times New Roman"/>
          <w:sz w:val="24"/>
          <w:szCs w:val="24"/>
        </w:rPr>
        <w:t xml:space="preserve">FÓRUM BRASILEIRO DE SEGURANÇA PÚBLICA. Anuário brasileiro de segurança pública. São Paulo: FBSP.</w:t>
      </w:r>
    </w:p>
    <w:p>
      <w:pPr>
        <w:spacing w:after="240" w:line="240"/>
        <w:jc w:val="left"/>
      </w:pPr>
      <w:r>
        <w:rPr>
          <w:rFonts w:ascii="Times New Roman" w:cs="Times New Roman" w:eastAsia="Times New Roman" w:hAnsi="Times New Roman"/>
          <w:sz w:val="24"/>
          <w:szCs w:val="24"/>
        </w:rPr>
        <w:t xml:space="preserve">ORGANIZAÇÃO DAS NAÇÕES UNIDAS. Código de conduta para os funcionários responsáveis pela aplicação da lei. Resolução nº 34/169 da Assembleia Geral, de 17 de dezembro de 1979. Nova Iorque: ONU, 1979.</w:t>
      </w:r>
    </w:p>
    <w:p>
      <w:pPr>
        <w:spacing w:after="240" w:line="240"/>
        <w:jc w:val="left"/>
      </w:pPr>
      <w:r>
        <w:rPr>
          <w:rFonts w:ascii="Times New Roman" w:cs="Times New Roman" w:eastAsia="Times New Roman" w:hAnsi="Times New Roman"/>
          <w:sz w:val="24"/>
          <w:szCs w:val="24"/>
        </w:rPr>
        <w:t xml:space="preserve">ORGANIZAÇÃO DAS NAÇÕES UNIDAS. Princípios básicos sobre o uso da força e armas de fogo pelos funcionários responsáveis pela aplicação da lei. Oitavo Congresso das Nações Unidas sobre Prevenção do Delito e Tratamento do Delinquente. Havana: ONU, 1990.</w:t>
      </w:r>
    </w:p>
    <w:p>
      <w:pPr>
        <w:spacing w:after="240" w:line="240"/>
        <w:jc w:val="left"/>
      </w:pPr>
      <w:r>
        <w:rPr>
          <w:rFonts w:ascii="Times New Roman" w:cs="Times New Roman" w:eastAsia="Times New Roman" w:hAnsi="Times New Roman"/>
          <w:sz w:val="24"/>
          <w:szCs w:val="24"/>
        </w:rPr>
        <w:t xml:space="preserve">POLÍCIA MILITAR DO DISTRITO FEDERAL. Estado-Maior. Instrução Normativa EM nº 11, de 2023. Aprova o Procedimento Operacional Padrão do Agressor Ativo. Brasília, DF, 2023.</w:t>
      </w:r>
    </w:p>
    <w:p>
      <w:pPr>
        <w:spacing w:after="240" w:line="240"/>
        <w:jc w:val="left"/>
      </w:pPr>
      <w:r>
        <w:rPr>
          <w:rFonts w:ascii="Times New Roman" w:cs="Times New Roman" w:eastAsia="Times New Roman" w:hAnsi="Times New Roman"/>
          <w:sz w:val="24"/>
          <w:szCs w:val="24"/>
        </w:rPr>
        <w:t xml:space="preserve">POLÍCIA MILITAR DO DISTRITO FEDERAL. Plano de Defesa da Unidade Policial Militar frente a confrontos com grupos criminosos. Brasília, DF: PMDF.</w:t>
      </w:r>
    </w:p>
    <w:p>
      <w:pPr>
        <w:spacing w:after="240" w:line="240"/>
        <w:jc w:val="left"/>
      </w:pPr>
      <w:r>
        <w:rPr>
          <w:rFonts w:ascii="Times New Roman" w:cs="Times New Roman" w:eastAsia="Times New Roman" w:hAnsi="Times New Roman"/>
          <w:sz w:val="24"/>
          <w:szCs w:val="24"/>
        </w:rPr>
        <w:t xml:space="preserve">POLÍCIA MILITAR DO DISTRITO FEDERAL. Portaria nº 1.218, de 2021. Institui a Operação Gerente — primeiro interventor em crise. Brasília, DF, 2021.</w:t>
      </w:r>
    </w:p>
    <w:p>
      <w:pPr>
        <w:spacing w:after="240" w:line="240"/>
        <w:jc w:val="left"/>
      </w:pPr>
      <w:r>
        <w:rPr>
          <w:rFonts w:ascii="Times New Roman" w:cs="Times New Roman" w:eastAsia="Times New Roman" w:hAnsi="Times New Roman"/>
          <w:sz w:val="24"/>
          <w:szCs w:val="24"/>
        </w:rPr>
        <w:t xml:space="preserve">SUPREMO TRIBUNAL FEDERAL. Arguição de Descumprimento de Preceito Fundamental nº 635/RJ. Relator: Ministro Edson Fachin. Brasília, DF: STF.</w:t>
      </w:r>
    </w:p>
    <w:p>
      <w:pPr>
        <w:spacing w:after="240" w:line="240"/>
        <w:jc w:val="left"/>
      </w:pPr>
      <w:r>
        <w:rPr>
          <w:rFonts w:ascii="Times New Roman" w:cs="Times New Roman" w:eastAsia="Times New Roman" w:hAnsi="Times New Roman"/>
          <w:sz w:val="24"/>
          <w:szCs w:val="24"/>
        </w:rPr>
        <w:t xml:space="preserve">SUPREMO TRIBUNAL FEDERAL. Súmula Vinculante nº 11. Brasília, DF: STF, 2008.</w:t>
      </w:r>
    </w:p>
    <w:p>
      <w:pPr>
        <w:spacing w:after="240" w:line="240"/>
        <w:jc w:val="left"/>
      </w:pPr>
      <w:r>
        <w:rPr>
          <w:rFonts w:ascii="Times New Roman" w:cs="Times New Roman" w:eastAsia="Times New Roman" w:hAnsi="Times New Roman"/>
          <w:sz w:val="24"/>
          <w:szCs w:val="24"/>
        </w:rPr>
        <w:t xml:space="preserve">UNITED STATES. Federal Bureau of Investigation. A study of active shooter incidents in the United States between 2000 and 2013. Washington, DC: FBI, 2014.</w:t>
      </w:r>
    </w:p>
    <w:p>
      <w:pPr>
        <w:spacing w:after="240" w:line="240"/>
        <w:jc w:val="left"/>
      </w:pPr>
      <w:r>
        <w:rPr>
          <w:rFonts w:ascii="Times New Roman" w:cs="Times New Roman" w:eastAsia="Times New Roman" w:hAnsi="Times New Roman"/>
          <w:sz w:val="24"/>
          <w:szCs w:val="24"/>
        </w:rPr>
        <w:t xml:space="preserve">UNITED STATES. Bureau of Alcohol, Tobacco, Firearms and Explosives. Explosives standards: vehicle bomb explosion hazard and evacuation distance tables. Washington, DC: ATF.</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2026-08-21T12:28:57.683Z</dcterms:created>
  <dcterms:modified xsi:type="dcterms:W3CDTF">2026-08-21T12:28:57.683Z</dcterms:modified>
</cp:coreProperties>
</file>

<file path=docProps/custom.xml><?xml version="1.0" encoding="utf-8"?>
<Properties xmlns="http://schemas.openxmlformats.org/officeDocument/2006/custom-properties" xmlns:vt="http://schemas.openxmlformats.org/officeDocument/2006/docPropsVTypes"/>
</file>