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0207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02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d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d00"/>
          <w:sz w:val="64"/>
          <w:szCs w:val="64"/>
          <w:u w:val="none"/>
          <w:shd w:fill="auto" w:val="clear"/>
          <w:vertAlign w:val="baseline"/>
          <w:rtl w:val="0"/>
        </w:rPr>
        <w:t xml:space="preserve">Cohenfinancial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d00"/>
          <w:sz w:val="18"/>
          <w:szCs w:val="18"/>
          <w:u w:val="none"/>
          <w:shd w:fill="auto" w:val="clear"/>
          <w:vertAlign w:val="baseline"/>
          <w:rtl w:val="0"/>
        </w:rPr>
        <w:t xml:space="preserve">REAL ESTATE INVESTMENT BANKING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