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rial" w:hAnsi="Arial"/>
          <w:b/>
          <w:color w:val="17365D"/>
          <w:sz w:val="48"/>
        </w:rPr>
        <w:t>Phase-0.5 Mechanistic Validation</w:t>
      </w:r>
    </w:p>
    <w:p>
      <w:pPr>
        <w:jc w:val="center"/>
      </w:pPr>
      <w:r>
        <w:rPr>
          <w:b/>
          <w:color w:val="1F1F1F"/>
          <w:sz w:val="36"/>
        </w:rPr>
        <w:t>Results and Decision Record</w:t>
      </w:r>
    </w:p>
    <w:p>
      <w:pPr>
        <w:jc w:val="center"/>
      </w:pPr>
      <w:r>
        <w:rPr>
          <w:i/>
          <w:sz w:val="22"/>
        </w:rPr>
        <w:t>Stage I-A flow-mechanism falsification under extreme low-N constraints</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color w:val="17365D"/>
                <w:sz w:val="18"/>
              </w:rPr>
              <w:t>Official execution</w:t>
            </w:r>
          </w:p>
        </w:tc>
        <w:tc>
          <w:tcPr>
            <w:tcW w:type="dxa" w:w="5112"/>
          </w:tcPr>
          <w:p>
            <w:r>
              <w:rPr>
                <w:sz w:val="18"/>
              </w:rPr>
              <w:t>Stage I-A completed; pipeline stopped at preregistered flow gate</w:t>
            </w:r>
          </w:p>
        </w:tc>
      </w:tr>
      <w:tr>
        <w:tc>
          <w:tcPr>
            <w:tcW w:type="dxa" w:w="5112"/>
            <w:shd w:fill="DCE6F1"/>
          </w:tcPr>
          <w:p>
            <w:r>
              <w:rPr>
                <w:b/>
                <w:color w:val="17365D"/>
                <w:sz w:val="18"/>
              </w:rPr>
              <w:t>Repository HEAD</w:t>
            </w:r>
          </w:p>
        </w:tc>
        <w:tc>
          <w:tcPr>
            <w:tcW w:type="dxa" w:w="5112"/>
          </w:tcPr>
          <w:p>
            <w:r>
              <w:rPr>
                <w:sz w:val="18"/>
              </w:rPr>
              <w:t>50a94c06bc1c419ca55738f15f074cc06ccc3f36</w:t>
            </w:r>
          </w:p>
        </w:tc>
      </w:tr>
      <w:tr>
        <w:tc>
          <w:tcPr>
            <w:tcW w:type="dxa" w:w="5112"/>
            <w:shd w:fill="DCE6F1"/>
          </w:tcPr>
          <w:p>
            <w:r>
              <w:rPr>
                <w:b/>
                <w:color w:val="17365D"/>
                <w:sz w:val="18"/>
              </w:rPr>
              <w:t>Validated execution code</w:t>
            </w:r>
          </w:p>
        </w:tc>
        <w:tc>
          <w:tcPr>
            <w:tcW w:type="dxa" w:w="5112"/>
          </w:tcPr>
          <w:p>
            <w:r>
              <w:rPr>
                <w:sz w:val="18"/>
              </w:rPr>
              <w:t>3fb62ff71e3d9f9750b6dbc1ebf5525db3f71e71</w:t>
            </w:r>
          </w:p>
        </w:tc>
      </w:tr>
      <w:tr>
        <w:tc>
          <w:tcPr>
            <w:tcW w:type="dxa" w:w="5112"/>
            <w:shd w:fill="DCE6F1"/>
          </w:tcPr>
          <w:p>
            <w:r>
              <w:rPr>
                <w:b/>
                <w:color w:val="17365D"/>
                <w:sz w:val="18"/>
              </w:rPr>
              <w:t>Phase-0 evidence anchor</w:t>
            </w:r>
          </w:p>
        </w:tc>
        <w:tc>
          <w:tcPr>
            <w:tcW w:type="dxa" w:w="5112"/>
          </w:tcPr>
          <w:p>
            <w:r>
              <w:rPr>
                <w:sz w:val="18"/>
              </w:rPr>
              <w:t>d6f105eee73fcb8e9cc5987d292b1bb98a687382</w:t>
            </w:r>
          </w:p>
        </w:tc>
      </w:tr>
      <w:tr>
        <w:tc>
          <w:tcPr>
            <w:tcW w:type="dxa" w:w="5112"/>
            <w:shd w:fill="DCE6F1"/>
          </w:tcPr>
          <w:p>
            <w:r>
              <w:rPr>
                <w:b/>
                <w:color w:val="17365D"/>
                <w:sz w:val="18"/>
              </w:rPr>
              <w:t>Runtime</w:t>
            </w:r>
          </w:p>
        </w:tc>
        <w:tc>
          <w:tcPr>
            <w:tcW w:type="dxa" w:w="5112"/>
          </w:tcPr>
          <w:p>
            <w:r>
              <w:rPr>
                <w:sz w:val="18"/>
              </w:rPr>
              <w:t>Native WSL2 · CUDA 13.0 · NVIDIA GeForce RTX 4060 Laptop GPU · 1 worker</w:t>
            </w:r>
          </w:p>
        </w:tc>
      </w:tr>
      <w:tr>
        <w:tc>
          <w:tcPr>
            <w:tcW w:type="dxa" w:w="5112"/>
            <w:shd w:fill="DCE6F1"/>
          </w:tcPr>
          <w:p>
            <w:r>
              <w:rPr>
                <w:rFonts w:ascii="Arial" w:hAnsi="Arial"/>
                <w:b/>
                <w:color w:val="17365D"/>
                <w:sz w:val="18"/>
              </w:rPr>
              <w:t>Launcher elapsed</w:t>
            </w:r>
          </w:p>
        </w:tc>
        <w:tc>
          <w:tcPr>
            <w:tcW w:type="dxa" w:w="5112"/>
          </w:tcPr>
          <w:p>
            <w:r>
              <w:rPr>
                <w:sz w:val="18"/>
              </w:rPr>
              <w:t>00 h 09 m 11 s</w:t>
            </w:r>
          </w:p>
        </w:tc>
      </w:tr>
      <w:tr>
        <w:tc>
          <w:tcPr>
            <w:tcW w:type="dxa" w:w="5112"/>
            <w:shd w:fill="DCE6F1"/>
          </w:tcPr>
          <w:p>
            <w:r>
              <w:rPr>
                <w:b/>
                <w:color w:val="17365D"/>
                <w:sz w:val="18"/>
              </w:rPr>
              <w:t>Executed scope</w:t>
            </w:r>
          </w:p>
        </w:tc>
        <w:tc>
          <w:tcPr>
            <w:tcW w:type="dxa" w:w="5112"/>
          </w:tcPr>
          <w:p>
            <w:r>
              <w:rPr>
                <w:sz w:val="18"/>
              </w:rPr>
              <w:t>60/60 flow cells · 0 jump · 0 uncertainty · 0 timing-audit cells</w:t>
            </w:r>
          </w:p>
        </w:tc>
      </w:tr>
      <w:tr>
        <w:tc>
          <w:tcPr>
            <w:tcW w:type="dxa" w:w="5112"/>
            <w:shd w:fill="DCE6F1"/>
          </w:tcPr>
          <w:p>
            <w:r>
              <w:rPr>
                <w:b/>
                <w:color w:val="17365D"/>
                <w:sz w:val="18"/>
              </w:rPr>
              <w:t>Protocol lock</w:t>
            </w:r>
          </w:p>
        </w:tc>
        <w:tc>
          <w:tcPr>
            <w:tcW w:type="dxa" w:w="5112"/>
          </w:tcPr>
          <w:p>
            <w:r>
              <w:rPr>
                <w:sz w:val="18"/>
              </w:rPr>
              <w:t>Phase-0 noise floor = locked effect floor = 4.1567%</w:t>
            </w:r>
          </w:p>
        </w:tc>
      </w:tr>
      <w:tr>
        <w:tc>
          <w:tcPr>
            <w:tcW w:type="dxa" w:w="5112"/>
            <w:shd w:fill="DCE6F1"/>
          </w:tcPr>
          <w:p>
            <w:r>
              <w:rPr>
                <w:b/>
                <w:color w:val="17365D"/>
                <w:sz w:val="18"/>
              </w:rPr>
              <w:t>Date</w:t>
            </w:r>
          </w:p>
        </w:tc>
        <w:tc>
          <w:tcPr>
            <w:tcW w:type="dxa" w:w="5112"/>
          </w:tcPr>
          <w:p>
            <w:r>
              <w:rPr>
                <w:sz w:val="18"/>
              </w:rPr>
              <w:t>26 August 2026</w:t>
            </w:r>
          </w:p>
        </w:tc>
      </w:tr>
    </w:tbl>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4" w:color="D9D9D9"/>
              <w:left w:val="single" w:sz="4" w:color="D9D9D9"/>
              <w:bottom w:val="single" w:sz="4" w:color="D9D9D9"/>
              <w:right w:val="single" w:sz="4" w:color="D9D9D9"/>
            </w:tcBorders>
          </w:tcPr>
          <w:p>
            <w:pPr>
              <w:spacing w:after="0"/>
            </w:pPr>
            <w:r>
              <w:rPr>
                <w:b/>
                <w:color w:val="17365D"/>
              </w:rPr>
              <w:t>Decision in one sentence</w:t>
              <w:br/>
            </w:r>
            <w:r>
              <w:rPr>
                <w:sz w:val="20"/>
              </w:rPr>
              <w:t>Neither learned flow candidate passed the preregistered Stage I-A gate. Time-scaled flow shows a late N=40 predictive crossover, but not improved latent-state recovery; Phase-0.5 therefore terminates at Stage I-A and must not proceed to jump selection or confirmation.</w:t>
            </w:r>
          </w:p>
        </w:tc>
      </w:tr>
    </w:tbl>
    <w:p>
      <w:pPr>
        <w:spacing w:after="0"/>
      </w:pPr>
    </w:p>
    <w:p>
      <w:r>
        <w:br w:type="page"/>
      </w:r>
    </w:p>
    <w:p>
      <w:pPr>
        <w:pStyle w:val="Heading1"/>
      </w:pPr>
      <w:r>
        <w:t>1. Executive Summary</w:t>
      </w:r>
    </w:p>
    <w:p>
      <w:r>
        <w:t>The official Phase-0.5 Stage I-A run completed all 60 planned flow-isolation cells successfully. The run then stopped exactly at the preregistered mechanism gate because neither learned flow candidate demonstrated a sufficiently large and sufficiently consistent low-N advantage over the no-flow control.</w:t>
      </w:r>
    </w:p>
    <w:p>
      <w:r>
        <w:t>The locked minimum relative effect was 4.1567%, derived from the Phase-0 empirical noise floor. Gated flow lost on average (-3.62% relative improvement) and won only 2/5 matched development bundles. Time-scaled flow was essentially neutral in aggregate (+0.056% relative improvement), also winning only 2/5 bundles. Both therefore failed the joint requirements of positive mean effect, at least 4/5 wins, and effect size above the locked floor.</w:t>
      </w:r>
    </w:p>
    <w:p>
      <w:r>
        <w:t>Postmortem analysis reveals a structured but non-confirmatory pattern: time-scaled flow is neutral or harmful at N=5, 10, and 20, then improves value forecasting at N=40 with 4/5 bundle wins. However, latent aligned R² is worse at every N, and event calibration metrics do not improve. The N=40 benefit is therefore predictive, not evidence of improved recovery of the simulator-defined latent mechanism.</w:t>
      </w:r>
    </w:p>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4" w:color="D9D9D9"/>
              <w:left w:val="single" w:sz="4" w:color="D9D9D9"/>
              <w:bottom w:val="single" w:sz="4" w:color="D9D9D9"/>
              <w:right w:val="single" w:sz="4" w:color="D9D9D9"/>
            </w:tcBorders>
          </w:tcPr>
          <w:p>
            <w:pPr>
              <w:spacing w:after="0"/>
            </w:pPr>
            <w:r>
              <w:rPr>
                <w:b/>
                <w:color w:val="17365D"/>
              </w:rPr>
              <w:t>Central result</w:t>
              <w:br/>
            </w:r>
            <w:r>
              <w:rPr>
                <w:sz w:val="20"/>
              </w:rPr>
              <w:t>Phase-0.5 did not move the desired sample-efficiency crossover into the extreme-low-N regime. The time-scaled variant only becomes predictively favorable at N=40, while the preregistered low-N nAULC gate remains negative.</w:t>
            </w:r>
          </w:p>
        </w:tc>
      </w:tr>
    </w:tbl>
    <w:p>
      <w:pPr>
        <w:spacing w:after="0"/>
      </w:pPr>
    </w:p>
    <w:p>
      <w:pPr>
        <w:pStyle w:val="Heading2"/>
      </w:pPr>
      <w:r>
        <w:t>Gate Criterion Assessment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648"/>
            <w:shd w:fill="17365D"/>
            <w:vAlign w:val="center"/>
          </w:tcPr>
          <w:p>
            <w:pPr>
              <w:jc w:val="center"/>
            </w:pPr>
            <w:r>
              <w:rPr>
                <w:b/>
                <w:color w:val="FFFFFF"/>
                <w:sz w:val="16"/>
              </w:rPr>
              <w:t>Gate</w:t>
            </w:r>
          </w:p>
        </w:tc>
        <w:tc>
          <w:tcPr>
            <w:tcW w:type="dxa" w:w="3240"/>
            <w:shd w:fill="17365D"/>
            <w:vAlign w:val="center"/>
          </w:tcPr>
          <w:p>
            <w:pPr>
              <w:jc w:val="center"/>
            </w:pPr>
            <w:r>
              <w:rPr>
                <w:b/>
                <w:color w:val="FFFFFF"/>
                <w:sz w:val="16"/>
              </w:rPr>
              <w:t>Question</w:t>
            </w:r>
          </w:p>
        </w:tc>
        <w:tc>
          <w:tcPr>
            <w:tcW w:type="dxa" w:w="1440"/>
            <w:shd w:fill="17365D"/>
            <w:vAlign w:val="center"/>
          </w:tcPr>
          <w:p>
            <w:pPr>
              <w:jc w:val="center"/>
            </w:pPr>
            <w:r>
              <w:rPr>
                <w:b/>
                <w:color w:val="FFFFFF"/>
                <w:sz w:val="16"/>
              </w:rPr>
              <w:t>Status</w:t>
            </w:r>
          </w:p>
        </w:tc>
        <w:tc>
          <w:tcPr>
            <w:tcW w:type="dxa" w:w="3816"/>
            <w:shd w:fill="17365D"/>
            <w:vAlign w:val="center"/>
          </w:tcPr>
          <w:p>
            <w:pPr>
              <w:jc w:val="center"/>
            </w:pPr>
            <w:r>
              <w:rPr>
                <w:b/>
                <w:color w:val="FFFFFF"/>
                <w:sz w:val="16"/>
              </w:rPr>
              <w:t>Evidence</w:t>
            </w:r>
          </w:p>
        </w:tc>
      </w:tr>
      <w:tr>
        <w:tc>
          <w:tcPr>
            <w:tcW w:type="dxa" w:w="648"/>
            <w:vAlign w:val="center"/>
          </w:tcPr>
          <w:p>
            <w:pPr>
              <w:jc w:val="center"/>
            </w:pPr>
            <w:r>
              <w:rPr>
                <w:sz w:val="16"/>
              </w:rPr>
              <w:t>A</w:t>
            </w:r>
          </w:p>
        </w:tc>
        <w:tc>
          <w:tcPr>
            <w:tcW w:type="dxa" w:w="3240"/>
            <w:vAlign w:val="center"/>
          </w:tcPr>
          <w:p>
            <w:pPr>
              <w:jc w:val="left"/>
            </w:pPr>
            <w:r>
              <w:rPr>
                <w:sz w:val="16"/>
              </w:rPr>
              <w:t>Flow mechanism establishes low-N benefit</w:t>
            </w:r>
          </w:p>
        </w:tc>
        <w:tc>
          <w:tcPr>
            <w:tcW w:type="dxa" w:w="1440"/>
            <w:vAlign w:val="center"/>
          </w:tcPr>
          <w:p>
            <w:pPr>
              <w:jc w:val="center"/>
            </w:pPr>
            <w:r>
              <w:rPr>
                <w:sz w:val="16"/>
              </w:rPr>
              <w:t>FAIL</w:t>
            </w:r>
          </w:p>
        </w:tc>
        <w:tc>
          <w:tcPr>
            <w:tcW w:type="dxa" w:w="3816"/>
            <w:vAlign w:val="center"/>
          </w:tcPr>
          <w:p>
            <w:pPr>
              <w:jc w:val="left"/>
            </w:pPr>
            <w:r>
              <w:rPr>
                <w:sz w:val="16"/>
              </w:rPr>
              <w:t>Neither candidate passes; both 2/5 bundle wins</w:t>
            </w:r>
          </w:p>
        </w:tc>
      </w:tr>
      <w:tr>
        <w:tc>
          <w:tcPr>
            <w:tcW w:type="dxa" w:w="648"/>
            <w:vAlign w:val="center"/>
          </w:tcPr>
          <w:p>
            <w:pPr>
              <w:jc w:val="center"/>
            </w:pPr>
            <w:r>
              <w:rPr>
                <w:sz w:val="16"/>
              </w:rPr>
              <w:t>B</w:t>
            </w:r>
          </w:p>
        </w:tc>
        <w:tc>
          <w:tcPr>
            <w:tcW w:type="dxa" w:w="3240"/>
            <w:vAlign w:val="center"/>
          </w:tcPr>
          <w:p>
            <w:pPr>
              <w:jc w:val="left"/>
            </w:pPr>
            <w:r>
              <w:rPr>
                <w:sz w:val="16"/>
              </w:rPr>
              <w:t>Jump mechanism isolation</w:t>
            </w:r>
          </w:p>
        </w:tc>
        <w:tc>
          <w:tcPr>
            <w:tcW w:type="dxa" w:w="1440"/>
            <w:vAlign w:val="center"/>
          </w:tcPr>
          <w:p>
            <w:pPr>
              <w:jc w:val="center"/>
            </w:pPr>
            <w:r>
              <w:rPr>
                <w:sz w:val="16"/>
              </w:rPr>
              <w:t>NOT REACHED</w:t>
            </w:r>
          </w:p>
        </w:tc>
        <w:tc>
          <w:tcPr>
            <w:tcW w:type="dxa" w:w="3816"/>
            <w:vAlign w:val="center"/>
          </w:tcPr>
          <w:p>
            <w:pPr>
              <w:jc w:val="left"/>
            </w:pPr>
            <w:r>
              <w:rPr>
                <w:sz w:val="16"/>
              </w:rPr>
              <w:t>Blocked by failed flow prerequisite</w:t>
            </w:r>
          </w:p>
        </w:tc>
      </w:tr>
      <w:tr>
        <w:tc>
          <w:tcPr>
            <w:tcW w:type="dxa" w:w="648"/>
            <w:vAlign w:val="center"/>
          </w:tcPr>
          <w:p>
            <w:pPr>
              <w:jc w:val="center"/>
            </w:pPr>
            <w:r>
              <w:rPr>
                <w:sz w:val="16"/>
              </w:rPr>
              <w:t>C</w:t>
            </w:r>
          </w:p>
        </w:tc>
        <w:tc>
          <w:tcPr>
            <w:tcW w:type="dxa" w:w="3240"/>
            <w:vAlign w:val="center"/>
          </w:tcPr>
          <w:p>
            <w:pPr>
              <w:jc w:val="left"/>
            </w:pPr>
            <w:r>
              <w:rPr>
                <w:sz w:val="16"/>
              </w:rPr>
              <w:t>Uncertainty mechanism selection</w:t>
            </w:r>
          </w:p>
        </w:tc>
        <w:tc>
          <w:tcPr>
            <w:tcW w:type="dxa" w:w="1440"/>
            <w:vAlign w:val="center"/>
          </w:tcPr>
          <w:p>
            <w:pPr>
              <w:jc w:val="center"/>
            </w:pPr>
            <w:r>
              <w:rPr>
                <w:sz w:val="16"/>
              </w:rPr>
              <w:t>NOT REACHED</w:t>
            </w:r>
          </w:p>
        </w:tc>
        <w:tc>
          <w:tcPr>
            <w:tcW w:type="dxa" w:w="3816"/>
            <w:vAlign w:val="center"/>
          </w:tcPr>
          <w:p>
            <w:pPr>
              <w:jc w:val="left"/>
            </w:pPr>
            <w:r>
              <w:rPr>
                <w:sz w:val="16"/>
              </w:rPr>
              <w:t>Blocked by failed flow prerequisite</w:t>
            </w:r>
          </w:p>
        </w:tc>
      </w:tr>
      <w:tr>
        <w:tc>
          <w:tcPr>
            <w:tcW w:type="dxa" w:w="648"/>
            <w:vAlign w:val="center"/>
          </w:tcPr>
          <w:p>
            <w:pPr>
              <w:jc w:val="center"/>
            </w:pPr>
            <w:r>
              <w:rPr>
                <w:sz w:val="16"/>
              </w:rPr>
              <w:t>D</w:t>
            </w:r>
          </w:p>
        </w:tc>
        <w:tc>
          <w:tcPr>
            <w:tcW w:type="dxa" w:w="3240"/>
            <w:vAlign w:val="center"/>
          </w:tcPr>
          <w:p>
            <w:pPr>
              <w:jc w:val="left"/>
            </w:pPr>
            <w:r>
              <w:rPr>
                <w:sz w:val="16"/>
              </w:rPr>
              <w:t>Strict-vs-inclusive timing audit</w:t>
            </w:r>
          </w:p>
        </w:tc>
        <w:tc>
          <w:tcPr>
            <w:tcW w:type="dxa" w:w="1440"/>
            <w:vAlign w:val="center"/>
          </w:tcPr>
          <w:p>
            <w:pPr>
              <w:jc w:val="center"/>
            </w:pPr>
            <w:r>
              <w:rPr>
                <w:sz w:val="16"/>
              </w:rPr>
              <w:t>NOT REACHED</w:t>
            </w:r>
          </w:p>
        </w:tc>
        <w:tc>
          <w:tcPr>
            <w:tcW w:type="dxa" w:w="3816"/>
            <w:vAlign w:val="center"/>
          </w:tcPr>
          <w:p>
            <w:pPr>
              <w:jc w:val="left"/>
            </w:pPr>
            <w:r>
              <w:rPr>
                <w:sz w:val="16"/>
              </w:rPr>
              <w:t>Blocked by failed flow prerequisite</w:t>
            </w:r>
          </w:p>
        </w:tc>
      </w:tr>
      <w:tr>
        <w:tc>
          <w:tcPr>
            <w:tcW w:type="dxa" w:w="648"/>
            <w:vAlign w:val="center"/>
          </w:tcPr>
          <w:p>
            <w:pPr>
              <w:jc w:val="center"/>
            </w:pPr>
            <w:r>
              <w:rPr>
                <w:sz w:val="16"/>
              </w:rPr>
              <w:t>E</w:t>
            </w:r>
          </w:p>
        </w:tc>
        <w:tc>
          <w:tcPr>
            <w:tcW w:type="dxa" w:w="3240"/>
            <w:vAlign w:val="center"/>
          </w:tcPr>
          <w:p>
            <w:pPr>
              <w:jc w:val="left"/>
            </w:pPr>
            <w:r>
              <w:rPr>
                <w:sz w:val="16"/>
              </w:rPr>
              <w:t>Freeze / confirmation / robustness</w:t>
            </w:r>
          </w:p>
        </w:tc>
        <w:tc>
          <w:tcPr>
            <w:tcW w:type="dxa" w:w="1440"/>
            <w:vAlign w:val="center"/>
          </w:tcPr>
          <w:p>
            <w:pPr>
              <w:jc w:val="center"/>
            </w:pPr>
            <w:r>
              <w:rPr>
                <w:sz w:val="16"/>
              </w:rPr>
              <w:t>NOT EXECUTED</w:t>
            </w:r>
          </w:p>
        </w:tc>
        <w:tc>
          <w:tcPr>
            <w:tcW w:type="dxa" w:w="3816"/>
            <w:vAlign w:val="center"/>
          </w:tcPr>
          <w:p>
            <w:pPr>
              <w:jc w:val="left"/>
            </w:pPr>
            <w:r>
              <w:rPr>
                <w:sz w:val="16"/>
              </w:rPr>
              <w:t>No candidate may be frozen or confirmed</w:t>
            </w:r>
          </w:p>
        </w:tc>
      </w:tr>
    </w:tbl>
    <w:p>
      <w:pPr>
        <w:spacing w:after="0"/>
      </w:pPr>
    </w:p>
    <w:p>
      <w:pPr>
        <w:pStyle w:val="Heading1"/>
      </w:pPr>
      <w:r>
        <w:t>2. Experimental Context and Evidence Boundary</w:t>
      </w:r>
    </w:p>
    <w:p>
      <w:r>
        <w:t>Phase-0.5 was designed as a staged falsification protocol rather than an architecture sweep. Stage I-A isolates continuous latent flow in the smooth positive-control world while jump is disabled and uncertainty is deterministic. Only a flow mechanism that clears the development gate is permitted to advance to jump isolation.</w:t>
      </w:r>
    </w:p>
    <w:p>
      <w:pPr>
        <w:spacing w:after="40"/>
        <w:jc w:val="center"/>
      </w:pPr>
      <w:r>
        <w:drawing>
          <wp:inline xmlns:a="http://schemas.openxmlformats.org/drawingml/2006/main" xmlns:pic="http://schemas.openxmlformats.org/drawingml/2006/picture">
            <wp:extent cx="6035040" cy="1907785"/>
            <wp:docPr id="1" name="Picture 1"/>
            <wp:cNvGraphicFramePr>
              <a:graphicFrameLocks noChangeAspect="1"/>
            </wp:cNvGraphicFramePr>
            <a:graphic>
              <a:graphicData uri="http://schemas.openxmlformats.org/drawingml/2006/picture">
                <pic:pic>
                  <pic:nvPicPr>
                    <pic:cNvPr id="0" name="fig1_protocol.png"/>
                    <pic:cNvPicPr/>
                  </pic:nvPicPr>
                  <pic:blipFill>
                    <a:blip r:embed="rId11"/>
                    <a:stretch>
                      <a:fillRect/>
                    </a:stretch>
                  </pic:blipFill>
                  <pic:spPr>
                    <a:xfrm>
                      <a:off x="0" y="0"/>
                      <a:ext cx="6035040" cy="1907785"/>
                    </a:xfrm>
                    <a:prstGeom prst="rect"/>
                  </pic:spPr>
                </pic:pic>
              </a:graphicData>
            </a:graphic>
          </wp:inline>
        </w:drawing>
      </w:r>
    </w:p>
    <w:p>
      <w:pPr>
        <w:spacing w:after="160"/>
        <w:jc w:val="center"/>
      </w:pPr>
      <w:r>
        <w:rPr>
          <w:i/>
          <w:color w:val="5A5A5A"/>
          <w:sz w:val="18"/>
        </w:rPr>
        <w:t>Figure 1. Phase-0.5 staged evidence path. The official run terminated after Stage I-A because the flow gate failed.</w:t>
      </w:r>
    </w:p>
    <w:p>
      <w:r>
        <w:t>The development evidence uses five preregistered seed bundles (401/501/601 through 405/505/605) and the primary low-N budgets N = {5, 10, 20, 40}. Confirmatory bundles 701-710 were not touched. No post-hoc threshold change, seed substitution, or manual mechanism selection was performed.</w:t>
      </w:r>
    </w:p>
    <w:p>
      <w:pPr>
        <w:pStyle w:val="Heading1"/>
      </w:pPr>
      <w:r>
        <w:t>3. Stage I-A Flow Gate Result</w:t>
      </w:r>
    </w:p>
    <w:p>
      <w:r>
        <w:t>The gate compares each learned flow candidate against the no-flow control using paired normalized log-N AULC across the four primary train sizes. A candidate passes only if all three conditions hold: mean paired improvement &gt; 0, at least 4/5 bundles favor the candidate, and mean relative improvement is at least the locked minimum effect.</w:t>
      </w:r>
    </w:p>
    <w:p>
      <w:pPr>
        <w:jc w:val="center"/>
      </w:pPr>
      <w:r>
        <w:rPr>
          <w:b/>
          <w:sz w:val="22"/>
        </w:rPr>
        <w:t>PASS ⇔ mean(Δ) &gt; 0  AND  wins ≥ 4/5  AND  mean(Δ / control) ≥ 4.1567%</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shd w:fill="17365D"/>
            <w:vAlign w:val="center"/>
          </w:tcPr>
          <w:p>
            <w:pPr>
              <w:jc w:val="center"/>
            </w:pPr>
            <w:r>
              <w:rPr>
                <w:b/>
                <w:color w:val="FFFFFF"/>
                <w:sz w:val="15"/>
              </w:rPr>
              <w:t>Candidate</w:t>
            </w:r>
          </w:p>
        </w:tc>
        <w:tc>
          <w:tcPr>
            <w:tcW w:type="dxa" w:w="1136"/>
            <w:shd w:fill="17365D"/>
            <w:vAlign w:val="center"/>
          </w:tcPr>
          <w:p>
            <w:pPr>
              <w:jc w:val="center"/>
            </w:pPr>
            <w:r>
              <w:rPr>
                <w:b/>
                <w:color w:val="FFFFFF"/>
                <w:sz w:val="15"/>
              </w:rPr>
              <w:t>Params</w:t>
            </w:r>
          </w:p>
        </w:tc>
        <w:tc>
          <w:tcPr>
            <w:tcW w:type="dxa" w:w="1136"/>
            <w:shd w:fill="17365D"/>
            <w:vAlign w:val="center"/>
          </w:tcPr>
          <w:p>
            <w:pPr>
              <w:jc w:val="center"/>
            </w:pPr>
            <w:r>
              <w:rPr>
                <w:b/>
                <w:color w:val="FFFFFF"/>
                <w:sz w:val="15"/>
              </w:rPr>
              <w:t>Wins</w:t>
            </w:r>
          </w:p>
        </w:tc>
        <w:tc>
          <w:tcPr>
            <w:tcW w:type="dxa" w:w="1136"/>
            <w:shd w:fill="17365D"/>
            <w:vAlign w:val="center"/>
          </w:tcPr>
          <w:p>
            <w:pPr>
              <w:jc w:val="center"/>
            </w:pPr>
            <w:r>
              <w:rPr>
                <w:b/>
                <w:color w:val="FFFFFF"/>
                <w:sz w:val="15"/>
              </w:rPr>
              <w:t>Mean Δ</w:t>
            </w:r>
          </w:p>
        </w:tc>
        <w:tc>
          <w:tcPr>
            <w:tcW w:type="dxa" w:w="1136"/>
            <w:shd w:fill="17365D"/>
            <w:vAlign w:val="center"/>
          </w:tcPr>
          <w:p>
            <w:pPr>
              <w:jc w:val="center"/>
            </w:pPr>
            <w:r>
              <w:rPr>
                <w:b/>
                <w:color w:val="FFFFFF"/>
                <w:sz w:val="15"/>
              </w:rPr>
              <w:t>Median Δ</w:t>
            </w:r>
          </w:p>
        </w:tc>
        <w:tc>
          <w:tcPr>
            <w:tcW w:type="dxa" w:w="1136"/>
            <w:shd w:fill="17365D"/>
            <w:vAlign w:val="center"/>
          </w:tcPr>
          <w:p>
            <w:pPr>
              <w:jc w:val="center"/>
            </w:pPr>
            <w:r>
              <w:rPr>
                <w:b/>
                <w:color w:val="FFFFFF"/>
                <w:sz w:val="15"/>
              </w:rPr>
              <w:t>Mean rel.</w:t>
            </w:r>
          </w:p>
        </w:tc>
        <w:tc>
          <w:tcPr>
            <w:tcW w:type="dxa" w:w="1136"/>
            <w:shd w:fill="17365D"/>
            <w:vAlign w:val="center"/>
          </w:tcPr>
          <w:p>
            <w:pPr>
              <w:jc w:val="center"/>
            </w:pPr>
            <w:r>
              <w:rPr>
                <w:b/>
                <w:color w:val="FFFFFF"/>
                <w:sz w:val="15"/>
              </w:rPr>
              <w:t>Cand. nAULC</w:t>
            </w:r>
          </w:p>
        </w:tc>
        <w:tc>
          <w:tcPr>
            <w:tcW w:type="dxa" w:w="1136"/>
            <w:shd w:fill="17365D"/>
            <w:vAlign w:val="center"/>
          </w:tcPr>
          <w:p>
            <w:pPr>
              <w:jc w:val="center"/>
            </w:pPr>
            <w:r>
              <w:rPr>
                <w:b/>
                <w:color w:val="FFFFFF"/>
                <w:sz w:val="15"/>
              </w:rPr>
              <w:t>Control nAULC</w:t>
            </w:r>
          </w:p>
        </w:tc>
        <w:tc>
          <w:tcPr>
            <w:tcW w:type="dxa" w:w="1136"/>
            <w:shd w:fill="17365D"/>
            <w:vAlign w:val="center"/>
          </w:tcPr>
          <w:p>
            <w:pPr>
              <w:jc w:val="center"/>
            </w:pPr>
            <w:r>
              <w:rPr>
                <w:b/>
                <w:color w:val="FFFFFF"/>
                <w:sz w:val="15"/>
              </w:rPr>
              <w:t>Result</w:t>
            </w:r>
          </w:p>
        </w:tc>
      </w:tr>
      <w:tr>
        <w:tc>
          <w:tcPr>
            <w:tcW w:type="dxa" w:w="1136"/>
            <w:vAlign w:val="center"/>
          </w:tcPr>
          <w:p>
            <w:pPr>
              <w:jc w:val="center"/>
            </w:pPr>
            <w:r>
              <w:rPr>
                <w:sz w:val="15"/>
              </w:rPr>
              <w:t>gated</w:t>
            </w:r>
          </w:p>
        </w:tc>
        <w:tc>
          <w:tcPr>
            <w:tcW w:type="dxa" w:w="1136"/>
            <w:vAlign w:val="center"/>
          </w:tcPr>
          <w:p>
            <w:pPr>
              <w:jc w:val="center"/>
            </w:pPr>
            <w:r>
              <w:rPr>
                <w:sz w:val="15"/>
              </w:rPr>
              <w:t>4804</w:t>
            </w:r>
          </w:p>
        </w:tc>
        <w:tc>
          <w:tcPr>
            <w:tcW w:type="dxa" w:w="1136"/>
            <w:vAlign w:val="center"/>
          </w:tcPr>
          <w:p>
            <w:pPr>
              <w:jc w:val="center"/>
            </w:pPr>
            <w:r>
              <w:rPr>
                <w:sz w:val="15"/>
              </w:rPr>
              <w:t>2/5</w:t>
            </w:r>
          </w:p>
        </w:tc>
        <w:tc>
          <w:tcPr>
            <w:tcW w:type="dxa" w:w="1136"/>
            <w:vAlign w:val="center"/>
          </w:tcPr>
          <w:p>
            <w:pPr>
              <w:jc w:val="center"/>
            </w:pPr>
            <w:r>
              <w:rPr>
                <w:sz w:val="15"/>
              </w:rPr>
              <w:t>-0.010545</w:t>
            </w:r>
          </w:p>
        </w:tc>
        <w:tc>
          <w:tcPr>
            <w:tcW w:type="dxa" w:w="1136"/>
            <w:vAlign w:val="center"/>
          </w:tcPr>
          <w:p>
            <w:pPr>
              <w:jc w:val="center"/>
            </w:pPr>
            <w:r>
              <w:rPr>
                <w:sz w:val="15"/>
              </w:rPr>
              <w:t>-0.020105</w:t>
            </w:r>
          </w:p>
        </w:tc>
        <w:tc>
          <w:tcPr>
            <w:tcW w:type="dxa" w:w="1136"/>
            <w:vAlign w:val="center"/>
          </w:tcPr>
          <w:p>
            <w:pPr>
              <w:jc w:val="center"/>
            </w:pPr>
            <w:r>
              <w:rPr>
                <w:sz w:val="15"/>
              </w:rPr>
              <w:t>-3.620%</w:t>
            </w:r>
          </w:p>
        </w:tc>
        <w:tc>
          <w:tcPr>
            <w:tcW w:type="dxa" w:w="1136"/>
            <w:vAlign w:val="center"/>
          </w:tcPr>
          <w:p>
            <w:pPr>
              <w:jc w:val="center"/>
            </w:pPr>
            <w:r>
              <w:rPr>
                <w:sz w:val="15"/>
              </w:rPr>
              <w:t>0.337302</w:t>
            </w:r>
          </w:p>
        </w:tc>
        <w:tc>
          <w:tcPr>
            <w:tcW w:type="dxa" w:w="1136"/>
            <w:vAlign w:val="center"/>
          </w:tcPr>
          <w:p>
            <w:pPr>
              <w:jc w:val="center"/>
            </w:pPr>
            <w:r>
              <w:rPr>
                <w:sz w:val="15"/>
              </w:rPr>
              <w:t>0.326757</w:t>
            </w:r>
          </w:p>
        </w:tc>
        <w:tc>
          <w:tcPr>
            <w:tcW w:type="dxa" w:w="1136"/>
            <w:vAlign w:val="center"/>
          </w:tcPr>
          <w:p>
            <w:pPr>
              <w:jc w:val="center"/>
            </w:pPr>
            <w:r>
              <w:rPr>
                <w:sz w:val="15"/>
              </w:rPr>
              <w:t>FAIL</w:t>
            </w:r>
          </w:p>
        </w:tc>
      </w:tr>
      <w:tr>
        <w:tc>
          <w:tcPr>
            <w:tcW w:type="dxa" w:w="1136"/>
            <w:vAlign w:val="center"/>
          </w:tcPr>
          <w:p>
            <w:pPr>
              <w:jc w:val="center"/>
            </w:pPr>
            <w:r>
              <w:rPr>
                <w:sz w:val="15"/>
              </w:rPr>
              <w:t>time_scaled</w:t>
            </w:r>
          </w:p>
        </w:tc>
        <w:tc>
          <w:tcPr>
            <w:tcW w:type="dxa" w:w="1136"/>
            <w:vAlign w:val="center"/>
          </w:tcPr>
          <w:p>
            <w:pPr>
              <w:jc w:val="center"/>
            </w:pPr>
            <w:r>
              <w:rPr>
                <w:sz w:val="15"/>
              </w:rPr>
              <w:t>4156</w:t>
            </w:r>
          </w:p>
        </w:tc>
        <w:tc>
          <w:tcPr>
            <w:tcW w:type="dxa" w:w="1136"/>
            <w:vAlign w:val="center"/>
          </w:tcPr>
          <w:p>
            <w:pPr>
              <w:jc w:val="center"/>
            </w:pPr>
            <w:r>
              <w:rPr>
                <w:sz w:val="15"/>
              </w:rPr>
              <w:t>2/5</w:t>
            </w:r>
          </w:p>
        </w:tc>
        <w:tc>
          <w:tcPr>
            <w:tcW w:type="dxa" w:w="1136"/>
            <w:vAlign w:val="center"/>
          </w:tcPr>
          <w:p>
            <w:pPr>
              <w:jc w:val="center"/>
            </w:pPr>
            <w:r>
              <w:rPr>
                <w:sz w:val="15"/>
              </w:rPr>
              <w:t>+0.000978</w:t>
            </w:r>
          </w:p>
        </w:tc>
        <w:tc>
          <w:tcPr>
            <w:tcW w:type="dxa" w:w="1136"/>
            <w:vAlign w:val="center"/>
          </w:tcPr>
          <w:p>
            <w:pPr>
              <w:jc w:val="center"/>
            </w:pPr>
            <w:r>
              <w:rPr>
                <w:sz w:val="15"/>
              </w:rPr>
              <w:t>-0.002238</w:t>
            </w:r>
          </w:p>
        </w:tc>
        <w:tc>
          <w:tcPr>
            <w:tcW w:type="dxa" w:w="1136"/>
            <w:vAlign w:val="center"/>
          </w:tcPr>
          <w:p>
            <w:pPr>
              <w:jc w:val="center"/>
            </w:pPr>
            <w:r>
              <w:rPr>
                <w:sz w:val="15"/>
              </w:rPr>
              <w:t>+0.056%</w:t>
            </w:r>
          </w:p>
        </w:tc>
        <w:tc>
          <w:tcPr>
            <w:tcW w:type="dxa" w:w="1136"/>
            <w:vAlign w:val="center"/>
          </w:tcPr>
          <w:p>
            <w:pPr>
              <w:jc w:val="center"/>
            </w:pPr>
            <w:r>
              <w:rPr>
                <w:sz w:val="15"/>
              </w:rPr>
              <w:t>0.325778</w:t>
            </w:r>
          </w:p>
        </w:tc>
        <w:tc>
          <w:tcPr>
            <w:tcW w:type="dxa" w:w="1136"/>
            <w:vAlign w:val="center"/>
          </w:tcPr>
          <w:p>
            <w:pPr>
              <w:jc w:val="center"/>
            </w:pPr>
            <w:r>
              <w:rPr>
                <w:sz w:val="15"/>
              </w:rPr>
              <w:t>0.326757</w:t>
            </w:r>
          </w:p>
        </w:tc>
        <w:tc>
          <w:tcPr>
            <w:tcW w:type="dxa" w:w="1136"/>
            <w:vAlign w:val="center"/>
          </w:tcPr>
          <w:p>
            <w:pPr>
              <w:jc w:val="center"/>
            </w:pPr>
            <w:r>
              <w:rPr>
                <w:sz w:val="15"/>
              </w:rPr>
              <w:t>FAIL</w:t>
            </w:r>
          </w:p>
        </w:tc>
      </w:tr>
    </w:tbl>
    <w:p>
      <w:pPr>
        <w:spacing w:after="0"/>
      </w:pPr>
    </w:p>
    <w:p>
      <w:pPr>
        <w:spacing w:after="40"/>
        <w:jc w:val="center"/>
      </w:pPr>
      <w:r>
        <w:drawing>
          <wp:inline xmlns:a="http://schemas.openxmlformats.org/drawingml/2006/main" xmlns:pic="http://schemas.openxmlformats.org/drawingml/2006/picture">
            <wp:extent cx="5760720" cy="3227232"/>
            <wp:docPr id="2" name="Picture 2"/>
            <wp:cNvGraphicFramePr>
              <a:graphicFrameLocks noChangeAspect="1"/>
            </wp:cNvGraphicFramePr>
            <a:graphic>
              <a:graphicData uri="http://schemas.openxmlformats.org/drawingml/2006/picture">
                <pic:pic>
                  <pic:nvPicPr>
                    <pic:cNvPr id="0" name="fig2_gate.png"/>
                    <pic:cNvPicPr/>
                  </pic:nvPicPr>
                  <pic:blipFill>
                    <a:blip r:embed="rId12"/>
                    <a:stretch>
                      <a:fillRect/>
                    </a:stretch>
                  </pic:blipFill>
                  <pic:spPr>
                    <a:xfrm>
                      <a:off x="0" y="0"/>
                      <a:ext cx="5760720" cy="3227232"/>
                    </a:xfrm>
                    <a:prstGeom prst="rect"/>
                  </pic:spPr>
                </pic:pic>
              </a:graphicData>
            </a:graphic>
          </wp:inline>
        </w:drawing>
      </w:r>
    </w:p>
    <w:p>
      <w:pPr>
        <w:spacing w:after="160"/>
        <w:jc w:val="center"/>
      </w:pPr>
      <w:r>
        <w:rPr>
          <w:i/>
          <w:color w:val="5A5A5A"/>
          <w:sz w:val="18"/>
        </w:rPr>
        <w:t>Figure 2. Mean paired relative improvement for the two learned flow candidates against the locked 4.1567% effect floor.</w:t>
      </w:r>
    </w:p>
    <w:tbl>
      <w:tblPr>
        <w:tblW w:type="auto" w:w="0"/>
        <w:jc w:val="center"/>
        <w:tblLayout w:type="autofit"/>
        <w:tblLook w:firstColumn="1" w:firstRow="1" w:lastColumn="0" w:lastRow="0" w:noHBand="0" w:noVBand="1" w:val="04A0"/>
      </w:tblPr>
      <w:tblGrid>
        <w:gridCol w:w="10224"/>
      </w:tblGrid>
      <w:tr>
        <w:tc>
          <w:tcPr>
            <w:tcW w:type="dxa" w:w="10224"/>
            <w:shd w:fill="FCE4D6"/>
            <w:tcBorders>
              <w:top w:val="single" w:sz="4" w:color="D9D9D9"/>
              <w:left w:val="single" w:sz="4" w:color="D9D9D9"/>
              <w:bottom w:val="single" w:sz="4" w:color="D9D9D9"/>
              <w:right w:val="single" w:sz="4" w:color="D9D9D9"/>
            </w:tcBorders>
          </w:tcPr>
          <w:p>
            <w:pPr>
              <w:spacing w:after="0"/>
            </w:pPr>
            <w:r>
              <w:rPr>
                <w:b/>
                <w:color w:val="17365D"/>
              </w:rPr>
              <w:t>Decision on Stage I-A</w:t>
              <w:br/>
            </w:r>
            <w:r>
              <w:rPr>
                <w:sz w:val="20"/>
              </w:rPr>
              <w:t>No flow candidate may advance. Preserve the official output and do not resume this run.</w:t>
            </w:r>
          </w:p>
        </w:tc>
      </w:tr>
    </w:tbl>
    <w:p>
      <w:pPr>
        <w:spacing w:after="0"/>
      </w:pPr>
    </w:p>
    <w:p>
      <w:pPr>
        <w:pStyle w:val="Heading1"/>
      </w:pPr>
      <w:r>
        <w:t>4. Seed-Bundle Heterogeneity</w:t>
      </w:r>
    </w:p>
    <w:p>
      <w:r>
        <w:t>Aggregate means conceal substantial heterogeneity. Gated flow has several large negative bundle effects and no stable pattern. Time-scaled flow is more structured: one bundle shows a strong +8.11% nAULC benefit, one a +1.90% benefit, two are slightly negative, and one is strongly negative at -7.64%.</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7365D"/>
            <w:vAlign w:val="center"/>
          </w:tcPr>
          <w:p>
            <w:pPr>
              <w:jc w:val="center"/>
            </w:pPr>
            <w:r>
              <w:rPr>
                <w:b/>
                <w:color w:val="FFFFFF"/>
                <w:sz w:val="17"/>
              </w:rPr>
              <w:t>Bundle (cohort/subset/model)</w:t>
            </w:r>
          </w:p>
        </w:tc>
        <w:tc>
          <w:tcPr>
            <w:tcW w:type="dxa" w:w="2592"/>
            <w:shd w:fill="17365D"/>
            <w:vAlign w:val="center"/>
          </w:tcPr>
          <w:p>
            <w:pPr>
              <w:jc w:val="center"/>
            </w:pPr>
            <w:r>
              <w:rPr>
                <w:b/>
                <w:color w:val="FFFFFF"/>
                <w:sz w:val="17"/>
              </w:rPr>
              <w:t>Gated relative effect</w:t>
            </w:r>
          </w:p>
        </w:tc>
        <w:tc>
          <w:tcPr>
            <w:tcW w:type="dxa" w:w="2592"/>
            <w:shd w:fill="17365D"/>
            <w:vAlign w:val="center"/>
          </w:tcPr>
          <w:p>
            <w:pPr>
              <w:jc w:val="center"/>
            </w:pPr>
            <w:r>
              <w:rPr>
                <w:b/>
                <w:color w:val="FFFFFF"/>
                <w:sz w:val="17"/>
              </w:rPr>
              <w:t>Time-scaled relative effect</w:t>
            </w:r>
          </w:p>
        </w:tc>
      </w:tr>
      <w:tr>
        <w:tc>
          <w:tcPr>
            <w:tcW w:type="dxa" w:w="3744"/>
            <w:vAlign w:val="center"/>
          </w:tcPr>
          <w:p>
            <w:pPr>
              <w:jc w:val="center"/>
            </w:pPr>
            <w:r>
              <w:rPr>
                <w:sz w:val="17"/>
              </w:rPr>
              <w:t>401/501/601</w:t>
            </w:r>
          </w:p>
        </w:tc>
        <w:tc>
          <w:tcPr>
            <w:tcW w:type="dxa" w:w="2592"/>
            <w:vAlign w:val="center"/>
          </w:tcPr>
          <w:p>
            <w:pPr>
              <w:jc w:val="center"/>
            </w:pPr>
            <w:r>
              <w:rPr>
                <w:sz w:val="17"/>
              </w:rPr>
              <w:t>-12.799%</w:t>
            </w:r>
          </w:p>
        </w:tc>
        <w:tc>
          <w:tcPr>
            <w:tcW w:type="dxa" w:w="2592"/>
            <w:vAlign w:val="center"/>
          </w:tcPr>
          <w:p>
            <w:pPr>
              <w:jc w:val="center"/>
            </w:pPr>
            <w:r>
              <w:rPr>
                <w:sz w:val="17"/>
              </w:rPr>
              <w:t>-0.729%</w:t>
            </w:r>
          </w:p>
        </w:tc>
      </w:tr>
      <w:tr>
        <w:tc>
          <w:tcPr>
            <w:tcW w:type="dxa" w:w="3744"/>
            <w:vAlign w:val="center"/>
          </w:tcPr>
          <w:p>
            <w:pPr>
              <w:jc w:val="center"/>
            </w:pPr>
            <w:r>
              <w:rPr>
                <w:sz w:val="17"/>
              </w:rPr>
              <w:t>402/502/602</w:t>
            </w:r>
          </w:p>
        </w:tc>
        <w:tc>
          <w:tcPr>
            <w:tcW w:type="dxa" w:w="2592"/>
            <w:vAlign w:val="center"/>
          </w:tcPr>
          <w:p>
            <w:pPr>
              <w:jc w:val="center"/>
            </w:pPr>
            <w:r>
              <w:rPr>
                <w:sz w:val="17"/>
              </w:rPr>
              <w:t>+7.075%</w:t>
            </w:r>
          </w:p>
        </w:tc>
        <w:tc>
          <w:tcPr>
            <w:tcW w:type="dxa" w:w="2592"/>
            <w:vAlign w:val="center"/>
          </w:tcPr>
          <w:p>
            <w:pPr>
              <w:jc w:val="center"/>
            </w:pPr>
            <w:r>
              <w:rPr>
                <w:sz w:val="17"/>
              </w:rPr>
              <w:t>+8.106%</w:t>
            </w:r>
          </w:p>
        </w:tc>
      </w:tr>
      <w:tr>
        <w:tc>
          <w:tcPr>
            <w:tcW w:type="dxa" w:w="3744"/>
            <w:vAlign w:val="center"/>
          </w:tcPr>
          <w:p>
            <w:pPr>
              <w:jc w:val="center"/>
            </w:pPr>
            <w:r>
              <w:rPr>
                <w:sz w:val="17"/>
              </w:rPr>
              <w:t>403/503/603</w:t>
            </w:r>
          </w:p>
        </w:tc>
        <w:tc>
          <w:tcPr>
            <w:tcW w:type="dxa" w:w="2592"/>
            <w:vAlign w:val="center"/>
          </w:tcPr>
          <w:p>
            <w:pPr>
              <w:jc w:val="center"/>
            </w:pPr>
            <w:r>
              <w:rPr>
                <w:sz w:val="17"/>
              </w:rPr>
              <w:t>+2.789%</w:t>
            </w:r>
          </w:p>
        </w:tc>
        <w:tc>
          <w:tcPr>
            <w:tcW w:type="dxa" w:w="2592"/>
            <w:vAlign w:val="center"/>
          </w:tcPr>
          <w:p>
            <w:pPr>
              <w:jc w:val="center"/>
            </w:pPr>
            <w:r>
              <w:rPr>
                <w:sz w:val="17"/>
              </w:rPr>
              <w:t>+1.900%</w:t>
            </w:r>
          </w:p>
        </w:tc>
      </w:tr>
      <w:tr>
        <w:tc>
          <w:tcPr>
            <w:tcW w:type="dxa" w:w="3744"/>
            <w:vAlign w:val="center"/>
          </w:tcPr>
          <w:p>
            <w:pPr>
              <w:jc w:val="center"/>
            </w:pPr>
            <w:r>
              <w:rPr>
                <w:sz w:val="17"/>
              </w:rPr>
              <w:t>404/504/604</w:t>
            </w:r>
          </w:p>
        </w:tc>
        <w:tc>
          <w:tcPr>
            <w:tcW w:type="dxa" w:w="2592"/>
            <w:vAlign w:val="center"/>
          </w:tcPr>
          <w:p>
            <w:pPr>
              <w:jc w:val="center"/>
            </w:pPr>
            <w:r>
              <w:rPr>
                <w:sz w:val="17"/>
              </w:rPr>
              <w:t>-8.661%</w:t>
            </w:r>
          </w:p>
        </w:tc>
        <w:tc>
          <w:tcPr>
            <w:tcW w:type="dxa" w:w="2592"/>
            <w:vAlign w:val="center"/>
          </w:tcPr>
          <w:p>
            <w:pPr>
              <w:jc w:val="center"/>
            </w:pPr>
            <w:r>
              <w:rPr>
                <w:sz w:val="17"/>
              </w:rPr>
              <w:t>-1.352%</w:t>
            </w:r>
          </w:p>
        </w:tc>
      </w:tr>
      <w:tr>
        <w:tc>
          <w:tcPr>
            <w:tcW w:type="dxa" w:w="3744"/>
            <w:vAlign w:val="center"/>
          </w:tcPr>
          <w:p>
            <w:pPr>
              <w:jc w:val="center"/>
            </w:pPr>
            <w:r>
              <w:rPr>
                <w:sz w:val="17"/>
              </w:rPr>
              <w:t>405/505/605</w:t>
            </w:r>
          </w:p>
        </w:tc>
        <w:tc>
          <w:tcPr>
            <w:tcW w:type="dxa" w:w="2592"/>
            <w:vAlign w:val="center"/>
          </w:tcPr>
          <w:p>
            <w:pPr>
              <w:jc w:val="center"/>
            </w:pPr>
            <w:r>
              <w:rPr>
                <w:sz w:val="17"/>
              </w:rPr>
              <w:t>-6.502%</w:t>
            </w:r>
          </w:p>
        </w:tc>
        <w:tc>
          <w:tcPr>
            <w:tcW w:type="dxa" w:w="2592"/>
            <w:vAlign w:val="center"/>
          </w:tcPr>
          <w:p>
            <w:pPr>
              <w:jc w:val="center"/>
            </w:pPr>
            <w:r>
              <w:rPr>
                <w:sz w:val="17"/>
              </w:rPr>
              <w:t>-7.644%</w:t>
            </w:r>
          </w:p>
        </w:tc>
      </w:tr>
    </w:tbl>
    <w:p>
      <w:pPr>
        <w:spacing w:after="0"/>
      </w:pPr>
    </w:p>
    <w:p>
      <w:pPr>
        <w:spacing w:after="40"/>
        <w:jc w:val="center"/>
      </w:pPr>
      <w:r>
        <w:drawing>
          <wp:inline xmlns:a="http://schemas.openxmlformats.org/drawingml/2006/main" xmlns:pic="http://schemas.openxmlformats.org/drawingml/2006/picture">
            <wp:extent cx="5943600" cy="3076440"/>
            <wp:docPr id="3" name="Picture 3"/>
            <wp:cNvGraphicFramePr>
              <a:graphicFrameLocks noChangeAspect="1"/>
            </wp:cNvGraphicFramePr>
            <a:graphic>
              <a:graphicData uri="http://schemas.openxmlformats.org/drawingml/2006/picture">
                <pic:pic>
                  <pic:nvPicPr>
                    <pic:cNvPr id="0" name="fig3_bundles.png"/>
                    <pic:cNvPicPr/>
                  </pic:nvPicPr>
                  <pic:blipFill>
                    <a:blip r:embed="rId13"/>
                    <a:stretch>
                      <a:fillRect/>
                    </a:stretch>
                  </pic:blipFill>
                  <pic:spPr>
                    <a:xfrm>
                      <a:off x="0" y="0"/>
                      <a:ext cx="5943600" cy="3076440"/>
                    </a:xfrm>
                    <a:prstGeom prst="rect"/>
                  </pic:spPr>
                </pic:pic>
              </a:graphicData>
            </a:graphic>
          </wp:inline>
        </w:drawing>
      </w:r>
    </w:p>
    <w:p>
      <w:pPr>
        <w:spacing w:after="160"/>
        <w:jc w:val="center"/>
      </w:pPr>
      <w:r>
        <w:rPr>
          <w:i/>
          <w:color w:val="5A5A5A"/>
          <w:sz w:val="18"/>
        </w:rPr>
        <w:t>Figure 3. Time-scaled flow paired nAULC effect by development bundle. The sign changes across matched repetitions.</w:t>
      </w:r>
    </w:p>
    <w:p>
      <w:r>
        <w:t>Because each bundle changes cohort, low-N subset, and model-initialization seeds together, the current artifact cannot attribute this heterogeneity to one source. Cohort variation, subset composition, optimization initialization, or their interactions remain plausible.</w:t>
      </w:r>
    </w:p>
    <w:p>
      <w:pPr>
        <w:pStyle w:val="Heading1"/>
      </w:pPr>
      <w:r>
        <w:t>5. Low-N Learning-Regime Diagnosis</w:t>
      </w:r>
    </w:p>
    <w:p>
      <w:r>
        <w:t>Unfolding nAULC into the individual train sizes reveals a late predictive crossover. Time-scaled flow is negative on average at N=5, 10, and 20, then becomes strongly positive at N=40 with 4/5 bundle wins. Gated flow is more erratic and only weakly positive at N=40.</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vAlign w:val="center"/>
          </w:tcPr>
          <w:p>
            <w:pPr>
              <w:jc w:val="center"/>
            </w:pPr>
            <w:r>
              <w:rPr>
                <w:b/>
                <w:color w:val="FFFFFF"/>
                <w:sz w:val="17"/>
              </w:rPr>
              <w:t>N</w:t>
            </w:r>
          </w:p>
        </w:tc>
        <w:tc>
          <w:tcPr>
            <w:tcW w:type="dxa" w:w="2045"/>
            <w:shd w:fill="17365D"/>
            <w:vAlign w:val="center"/>
          </w:tcPr>
          <w:p>
            <w:pPr>
              <w:jc w:val="center"/>
            </w:pPr>
            <w:r>
              <w:rPr>
                <w:b/>
                <w:color w:val="FFFFFF"/>
                <w:sz w:val="17"/>
              </w:rPr>
              <w:t>Gated mean rel.</w:t>
            </w:r>
          </w:p>
        </w:tc>
        <w:tc>
          <w:tcPr>
            <w:tcW w:type="dxa" w:w="2045"/>
            <w:shd w:fill="17365D"/>
            <w:vAlign w:val="center"/>
          </w:tcPr>
          <w:p>
            <w:pPr>
              <w:jc w:val="center"/>
            </w:pPr>
            <w:r>
              <w:rPr>
                <w:b/>
                <w:color w:val="FFFFFF"/>
                <w:sz w:val="17"/>
              </w:rPr>
              <w:t>Gated wins</w:t>
            </w:r>
          </w:p>
        </w:tc>
        <w:tc>
          <w:tcPr>
            <w:tcW w:type="dxa" w:w="2045"/>
            <w:shd w:fill="17365D"/>
            <w:vAlign w:val="center"/>
          </w:tcPr>
          <w:p>
            <w:pPr>
              <w:jc w:val="center"/>
            </w:pPr>
            <w:r>
              <w:rPr>
                <w:b/>
                <w:color w:val="FFFFFF"/>
                <w:sz w:val="17"/>
              </w:rPr>
              <w:t>Time-scaled mean rel.</w:t>
            </w:r>
          </w:p>
        </w:tc>
        <w:tc>
          <w:tcPr>
            <w:tcW w:type="dxa" w:w="2045"/>
            <w:shd w:fill="17365D"/>
            <w:vAlign w:val="center"/>
          </w:tcPr>
          <w:p>
            <w:pPr>
              <w:jc w:val="center"/>
            </w:pPr>
            <w:r>
              <w:rPr>
                <w:b/>
                <w:color w:val="FFFFFF"/>
                <w:sz w:val="17"/>
              </w:rPr>
              <w:t>Time-scaled wins</w:t>
            </w:r>
          </w:p>
        </w:tc>
      </w:tr>
      <w:tr>
        <w:tc>
          <w:tcPr>
            <w:tcW w:type="dxa" w:w="2045"/>
            <w:vAlign w:val="center"/>
          </w:tcPr>
          <w:p>
            <w:pPr>
              <w:jc w:val="center"/>
            </w:pPr>
            <w:r>
              <w:rPr>
                <w:sz w:val="17"/>
              </w:rPr>
              <w:t>5</w:t>
            </w:r>
          </w:p>
        </w:tc>
        <w:tc>
          <w:tcPr>
            <w:tcW w:type="dxa" w:w="2045"/>
            <w:vAlign w:val="center"/>
          </w:tcPr>
          <w:p>
            <w:pPr>
              <w:jc w:val="center"/>
            </w:pPr>
            <w:r>
              <w:rPr>
                <w:sz w:val="17"/>
              </w:rPr>
              <w:t>-6.59%</w:t>
            </w:r>
          </w:p>
        </w:tc>
        <w:tc>
          <w:tcPr>
            <w:tcW w:type="dxa" w:w="2045"/>
            <w:vAlign w:val="center"/>
          </w:tcPr>
          <w:p>
            <w:pPr>
              <w:jc w:val="center"/>
            </w:pPr>
            <w:r>
              <w:rPr>
                <w:sz w:val="17"/>
              </w:rPr>
              <w:t>1/5</w:t>
            </w:r>
          </w:p>
        </w:tc>
        <w:tc>
          <w:tcPr>
            <w:tcW w:type="dxa" w:w="2045"/>
            <w:vAlign w:val="center"/>
          </w:tcPr>
          <w:p>
            <w:pPr>
              <w:jc w:val="center"/>
            </w:pPr>
            <w:r>
              <w:rPr>
                <w:sz w:val="17"/>
              </w:rPr>
              <w:t>-2.57%</w:t>
            </w:r>
          </w:p>
        </w:tc>
        <w:tc>
          <w:tcPr>
            <w:tcW w:type="dxa" w:w="2045"/>
            <w:vAlign w:val="center"/>
          </w:tcPr>
          <w:p>
            <w:pPr>
              <w:jc w:val="center"/>
            </w:pPr>
            <w:r>
              <w:rPr>
                <w:sz w:val="17"/>
              </w:rPr>
              <w:t>1/5</w:t>
            </w:r>
          </w:p>
        </w:tc>
      </w:tr>
      <w:tr>
        <w:tc>
          <w:tcPr>
            <w:tcW w:type="dxa" w:w="2045"/>
            <w:vAlign w:val="center"/>
          </w:tcPr>
          <w:p>
            <w:pPr>
              <w:jc w:val="center"/>
            </w:pPr>
            <w:r>
              <w:rPr>
                <w:sz w:val="17"/>
              </w:rPr>
              <w:t>10</w:t>
            </w:r>
          </w:p>
        </w:tc>
        <w:tc>
          <w:tcPr>
            <w:tcW w:type="dxa" w:w="2045"/>
            <w:vAlign w:val="center"/>
          </w:tcPr>
          <w:p>
            <w:pPr>
              <w:jc w:val="center"/>
            </w:pPr>
            <w:r>
              <w:rPr>
                <w:sz w:val="17"/>
              </w:rPr>
              <w:t>-4.50%</w:t>
            </w:r>
          </w:p>
        </w:tc>
        <w:tc>
          <w:tcPr>
            <w:tcW w:type="dxa" w:w="2045"/>
            <w:vAlign w:val="center"/>
          </w:tcPr>
          <w:p>
            <w:pPr>
              <w:jc w:val="center"/>
            </w:pPr>
            <w:r>
              <w:rPr>
                <w:sz w:val="17"/>
              </w:rPr>
              <w:t>1/5</w:t>
            </w:r>
          </w:p>
        </w:tc>
        <w:tc>
          <w:tcPr>
            <w:tcW w:type="dxa" w:w="2045"/>
            <w:vAlign w:val="center"/>
          </w:tcPr>
          <w:p>
            <w:pPr>
              <w:jc w:val="center"/>
            </w:pPr>
            <w:r>
              <w:rPr>
                <w:sz w:val="17"/>
              </w:rPr>
              <w:t>-2.07%</w:t>
            </w:r>
          </w:p>
        </w:tc>
        <w:tc>
          <w:tcPr>
            <w:tcW w:type="dxa" w:w="2045"/>
            <w:vAlign w:val="center"/>
          </w:tcPr>
          <w:p>
            <w:pPr>
              <w:jc w:val="center"/>
            </w:pPr>
            <w:r>
              <w:rPr>
                <w:sz w:val="17"/>
              </w:rPr>
              <w:t>1/5</w:t>
            </w:r>
          </w:p>
        </w:tc>
      </w:tr>
      <w:tr>
        <w:tc>
          <w:tcPr>
            <w:tcW w:type="dxa" w:w="2045"/>
            <w:vAlign w:val="center"/>
          </w:tcPr>
          <w:p>
            <w:pPr>
              <w:jc w:val="center"/>
            </w:pPr>
            <w:r>
              <w:rPr>
                <w:sz w:val="17"/>
              </w:rPr>
              <w:t>20</w:t>
            </w:r>
          </w:p>
        </w:tc>
        <w:tc>
          <w:tcPr>
            <w:tcW w:type="dxa" w:w="2045"/>
            <w:vAlign w:val="center"/>
          </w:tcPr>
          <w:p>
            <w:pPr>
              <w:jc w:val="center"/>
            </w:pPr>
            <w:r>
              <w:rPr>
                <w:sz w:val="17"/>
              </w:rPr>
              <w:t>-5.91%</w:t>
            </w:r>
          </w:p>
        </w:tc>
        <w:tc>
          <w:tcPr>
            <w:tcW w:type="dxa" w:w="2045"/>
            <w:vAlign w:val="center"/>
          </w:tcPr>
          <w:p>
            <w:pPr>
              <w:jc w:val="center"/>
            </w:pPr>
            <w:r>
              <w:rPr>
                <w:sz w:val="17"/>
              </w:rPr>
              <w:t>2/5</w:t>
            </w:r>
          </w:p>
        </w:tc>
        <w:tc>
          <w:tcPr>
            <w:tcW w:type="dxa" w:w="2045"/>
            <w:vAlign w:val="center"/>
          </w:tcPr>
          <w:p>
            <w:pPr>
              <w:jc w:val="center"/>
            </w:pPr>
            <w:r>
              <w:rPr>
                <w:sz w:val="17"/>
              </w:rPr>
              <w:t>-1.02%</w:t>
            </w:r>
          </w:p>
        </w:tc>
        <w:tc>
          <w:tcPr>
            <w:tcW w:type="dxa" w:w="2045"/>
            <w:vAlign w:val="center"/>
          </w:tcPr>
          <w:p>
            <w:pPr>
              <w:jc w:val="center"/>
            </w:pPr>
            <w:r>
              <w:rPr>
                <w:sz w:val="17"/>
              </w:rPr>
              <w:t>2/5</w:t>
            </w:r>
          </w:p>
        </w:tc>
      </w:tr>
      <w:tr>
        <w:tc>
          <w:tcPr>
            <w:tcW w:type="dxa" w:w="2045"/>
            <w:vAlign w:val="center"/>
          </w:tcPr>
          <w:p>
            <w:pPr>
              <w:jc w:val="center"/>
            </w:pPr>
            <w:r>
              <w:rPr>
                <w:sz w:val="17"/>
              </w:rPr>
              <w:t>40</w:t>
            </w:r>
          </w:p>
        </w:tc>
        <w:tc>
          <w:tcPr>
            <w:tcW w:type="dxa" w:w="2045"/>
            <w:vAlign w:val="center"/>
          </w:tcPr>
          <w:p>
            <w:pPr>
              <w:jc w:val="center"/>
            </w:pPr>
            <w:r>
              <w:rPr>
                <w:sz w:val="17"/>
              </w:rPr>
              <w:t>+4.50%</w:t>
            </w:r>
          </w:p>
        </w:tc>
        <w:tc>
          <w:tcPr>
            <w:tcW w:type="dxa" w:w="2045"/>
            <w:vAlign w:val="center"/>
          </w:tcPr>
          <w:p>
            <w:pPr>
              <w:jc w:val="center"/>
            </w:pPr>
            <w:r>
              <w:rPr>
                <w:sz w:val="17"/>
              </w:rPr>
              <w:t>3/5</w:t>
            </w:r>
          </w:p>
        </w:tc>
        <w:tc>
          <w:tcPr>
            <w:tcW w:type="dxa" w:w="2045"/>
            <w:vAlign w:val="center"/>
          </w:tcPr>
          <w:p>
            <w:pPr>
              <w:jc w:val="center"/>
            </w:pPr>
            <w:r>
              <w:rPr>
                <w:sz w:val="17"/>
              </w:rPr>
              <w:t>+9.70%</w:t>
            </w:r>
          </w:p>
        </w:tc>
        <w:tc>
          <w:tcPr>
            <w:tcW w:type="dxa" w:w="2045"/>
            <w:vAlign w:val="center"/>
          </w:tcPr>
          <w:p>
            <w:pPr>
              <w:jc w:val="center"/>
            </w:pPr>
            <w:r>
              <w:rPr>
                <w:sz w:val="17"/>
              </w:rPr>
              <w:t>4/5</w:t>
            </w:r>
          </w:p>
        </w:tc>
      </w:tr>
    </w:tbl>
    <w:p>
      <w:pPr>
        <w:spacing w:after="0"/>
      </w:pPr>
    </w:p>
    <w:p>
      <w:pPr>
        <w:spacing w:after="40"/>
        <w:jc w:val="center"/>
      </w:pPr>
      <w:r>
        <w:drawing>
          <wp:inline xmlns:a="http://schemas.openxmlformats.org/drawingml/2006/main" xmlns:pic="http://schemas.openxmlformats.org/drawingml/2006/picture">
            <wp:extent cx="5943600" cy="3294093"/>
            <wp:docPr id="4" name="Picture 4"/>
            <wp:cNvGraphicFramePr>
              <a:graphicFrameLocks noChangeAspect="1"/>
            </wp:cNvGraphicFramePr>
            <a:graphic>
              <a:graphicData uri="http://schemas.openxmlformats.org/drawingml/2006/picture">
                <pic:pic>
                  <pic:nvPicPr>
                    <pic:cNvPr id="0" name="fig4_nwise.png"/>
                    <pic:cNvPicPr/>
                  </pic:nvPicPr>
                  <pic:blipFill>
                    <a:blip r:embed="rId14"/>
                    <a:stretch>
                      <a:fillRect/>
                    </a:stretch>
                  </pic:blipFill>
                  <pic:spPr>
                    <a:xfrm>
                      <a:off x="0" y="0"/>
                      <a:ext cx="5943600" cy="3294093"/>
                    </a:xfrm>
                    <a:prstGeom prst="rect"/>
                  </pic:spPr>
                </pic:pic>
              </a:graphicData>
            </a:graphic>
          </wp:inline>
        </w:drawing>
      </w:r>
    </w:p>
    <w:p>
      <w:pPr>
        <w:spacing w:after="160"/>
        <w:jc w:val="center"/>
      </w:pPr>
      <w:r>
        <w:rPr>
          <w:i/>
          <w:color w:val="5A5A5A"/>
          <w:sz w:val="18"/>
        </w:rPr>
        <w:t>Figure 4. Mean relative MAE effect across N. Time-scaled flow only shows a clear positive regime at N=40.</w:t>
      </w:r>
    </w:p>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4" w:color="D9D9D9"/>
              <w:left w:val="single" w:sz="4" w:color="D9D9D9"/>
              <w:bottom w:val="single" w:sz="4" w:color="D9D9D9"/>
              <w:right w:val="single" w:sz="4" w:color="D9D9D9"/>
            </w:tcBorders>
          </w:tcPr>
          <w:p>
            <w:pPr>
              <w:spacing w:after="0"/>
            </w:pPr>
            <w:r>
              <w:rPr>
                <w:b/>
                <w:color w:val="17365D"/>
              </w:rPr>
              <w:t>Interpretation</w:t>
              <w:br/>
            </w:r>
            <w:r>
              <w:rPr>
                <w:sz w:val="20"/>
              </w:rPr>
              <w:t>The Stage I-A failure is not equivalent to "flow never helps." The data instead suggest that the current time-scaled flow requires more effective data or more reliable model selection before its predictive capacity becomes useful. That does not satisfy the intended extreme-low-N claim.</w:t>
            </w:r>
          </w:p>
        </w:tc>
      </w:tr>
    </w:tbl>
    <w:p>
      <w:pPr>
        <w:spacing w:after="0"/>
      </w:pPr>
    </w:p>
    <w:p>
      <w:pPr>
        <w:pStyle w:val="Heading1"/>
      </w:pPr>
      <w:r>
        <w:t>6. Secondary Metrics and Mechanistic Interpretation</w:t>
      </w:r>
    </w:p>
    <w:p>
      <w:r>
        <w:t>The N=40 result must be interpreted across secondary metrics, not MAE alone. Oriented deltas below are defined so that positive values favor time-scaled flow.</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376"/>
            <w:shd w:fill="17365D"/>
            <w:vAlign w:val="center"/>
          </w:tcPr>
          <w:p>
            <w:pPr>
              <w:jc w:val="center"/>
            </w:pPr>
            <w:r>
              <w:rPr>
                <w:b/>
                <w:color w:val="FFFFFF"/>
                <w:sz w:val="16"/>
              </w:rPr>
              <w:t>Metric</w:t>
            </w:r>
          </w:p>
        </w:tc>
        <w:tc>
          <w:tcPr>
            <w:tcW w:type="dxa" w:w="1656"/>
            <w:shd w:fill="17365D"/>
            <w:vAlign w:val="center"/>
          </w:tcPr>
          <w:p>
            <w:pPr>
              <w:jc w:val="center"/>
            </w:pPr>
            <w:r>
              <w:rPr>
                <w:b/>
                <w:color w:val="FFFFFF"/>
                <w:sz w:val="16"/>
              </w:rPr>
              <w:t>N=5</w:t>
            </w:r>
          </w:p>
        </w:tc>
        <w:tc>
          <w:tcPr>
            <w:tcW w:type="dxa" w:w="1656"/>
            <w:shd w:fill="17365D"/>
            <w:vAlign w:val="center"/>
          </w:tcPr>
          <w:p>
            <w:pPr>
              <w:jc w:val="center"/>
            </w:pPr>
            <w:r>
              <w:rPr>
                <w:b/>
                <w:color w:val="FFFFFF"/>
                <w:sz w:val="16"/>
              </w:rPr>
              <w:t>N=10</w:t>
            </w:r>
          </w:p>
        </w:tc>
        <w:tc>
          <w:tcPr>
            <w:tcW w:type="dxa" w:w="1656"/>
            <w:shd w:fill="17365D"/>
            <w:vAlign w:val="center"/>
          </w:tcPr>
          <w:p>
            <w:pPr>
              <w:jc w:val="center"/>
            </w:pPr>
            <w:r>
              <w:rPr>
                <w:b/>
                <w:color w:val="FFFFFF"/>
                <w:sz w:val="16"/>
              </w:rPr>
              <w:t>N=20</w:t>
            </w:r>
          </w:p>
        </w:tc>
        <w:tc>
          <w:tcPr>
            <w:tcW w:type="dxa" w:w="1656"/>
            <w:shd w:fill="17365D"/>
            <w:vAlign w:val="center"/>
          </w:tcPr>
          <w:p>
            <w:pPr>
              <w:jc w:val="center"/>
            </w:pPr>
            <w:r>
              <w:rPr>
                <w:b/>
                <w:color w:val="FFFFFF"/>
                <w:sz w:val="16"/>
              </w:rPr>
              <w:t>N=40</w:t>
            </w:r>
          </w:p>
        </w:tc>
      </w:tr>
      <w:tr>
        <w:tc>
          <w:tcPr>
            <w:tcW w:type="dxa" w:w="2376"/>
            <w:vAlign w:val="center"/>
          </w:tcPr>
          <w:p>
            <w:pPr>
              <w:jc w:val="center"/>
            </w:pPr>
            <w:r>
              <w:rPr>
                <w:sz w:val="16"/>
              </w:rPr>
              <w:t>MAE</w:t>
            </w:r>
          </w:p>
        </w:tc>
        <w:tc>
          <w:tcPr>
            <w:tcW w:type="dxa" w:w="1656"/>
            <w:vAlign w:val="center"/>
          </w:tcPr>
          <w:p>
            <w:pPr>
              <w:jc w:val="center"/>
            </w:pPr>
            <w:r>
              <w:rPr>
                <w:sz w:val="16"/>
              </w:rPr>
              <w:t>-0.009270</w:t>
            </w:r>
          </w:p>
        </w:tc>
        <w:tc>
          <w:tcPr>
            <w:tcW w:type="dxa" w:w="1656"/>
            <w:vAlign w:val="center"/>
          </w:tcPr>
          <w:p>
            <w:pPr>
              <w:jc w:val="center"/>
            </w:pPr>
            <w:r>
              <w:rPr>
                <w:sz w:val="16"/>
              </w:rPr>
              <w:t>-0.006848</w:t>
            </w:r>
          </w:p>
        </w:tc>
        <w:tc>
          <w:tcPr>
            <w:tcW w:type="dxa" w:w="1656"/>
            <w:vAlign w:val="center"/>
          </w:tcPr>
          <w:p>
            <w:pPr>
              <w:jc w:val="center"/>
            </w:pPr>
            <w:r>
              <w:rPr>
                <w:sz w:val="16"/>
              </w:rPr>
              <w:t>-0.000566</w:t>
            </w:r>
          </w:p>
        </w:tc>
        <w:tc>
          <w:tcPr>
            <w:tcW w:type="dxa" w:w="1656"/>
            <w:vAlign w:val="center"/>
          </w:tcPr>
          <w:p>
            <w:pPr>
              <w:jc w:val="center"/>
            </w:pPr>
            <w:r>
              <w:rPr>
                <w:sz w:val="16"/>
              </w:rPr>
              <w:t>+0.029968</w:t>
            </w:r>
          </w:p>
        </w:tc>
      </w:tr>
      <w:tr>
        <w:tc>
          <w:tcPr>
            <w:tcW w:type="dxa" w:w="2376"/>
            <w:vAlign w:val="center"/>
          </w:tcPr>
          <w:p>
            <w:pPr>
              <w:jc w:val="center"/>
            </w:pPr>
            <w:r>
              <w:rPr>
                <w:sz w:val="16"/>
              </w:rPr>
              <w:t>RMSE</w:t>
            </w:r>
          </w:p>
        </w:tc>
        <w:tc>
          <w:tcPr>
            <w:tcW w:type="dxa" w:w="1656"/>
            <w:vAlign w:val="center"/>
          </w:tcPr>
          <w:p>
            <w:pPr>
              <w:jc w:val="center"/>
            </w:pPr>
            <w:r>
              <w:rPr>
                <w:sz w:val="16"/>
              </w:rPr>
              <w:t>-0.009791</w:t>
            </w:r>
          </w:p>
        </w:tc>
        <w:tc>
          <w:tcPr>
            <w:tcW w:type="dxa" w:w="1656"/>
            <w:vAlign w:val="center"/>
          </w:tcPr>
          <w:p>
            <w:pPr>
              <w:jc w:val="center"/>
            </w:pPr>
            <w:r>
              <w:rPr>
                <w:sz w:val="16"/>
              </w:rPr>
              <w:t>-0.011036</w:t>
            </w:r>
          </w:p>
        </w:tc>
        <w:tc>
          <w:tcPr>
            <w:tcW w:type="dxa" w:w="1656"/>
            <w:vAlign w:val="center"/>
          </w:tcPr>
          <w:p>
            <w:pPr>
              <w:jc w:val="center"/>
            </w:pPr>
            <w:r>
              <w:rPr>
                <w:sz w:val="16"/>
              </w:rPr>
              <w:t>+0.000679</w:t>
            </w:r>
          </w:p>
        </w:tc>
        <w:tc>
          <w:tcPr>
            <w:tcW w:type="dxa" w:w="1656"/>
            <w:vAlign w:val="center"/>
          </w:tcPr>
          <w:p>
            <w:pPr>
              <w:jc w:val="center"/>
            </w:pPr>
            <w:r>
              <w:rPr>
                <w:sz w:val="16"/>
              </w:rPr>
              <w:t>+0.048872</w:t>
            </w:r>
          </w:p>
        </w:tc>
      </w:tr>
      <w:tr>
        <w:tc>
          <w:tcPr>
            <w:tcW w:type="dxa" w:w="2376"/>
            <w:vAlign w:val="center"/>
          </w:tcPr>
          <w:p>
            <w:pPr>
              <w:jc w:val="center"/>
            </w:pPr>
            <w:r>
              <w:rPr>
                <w:sz w:val="16"/>
              </w:rPr>
              <w:t>Latent aligned R²</w:t>
            </w:r>
          </w:p>
        </w:tc>
        <w:tc>
          <w:tcPr>
            <w:tcW w:type="dxa" w:w="1656"/>
            <w:vAlign w:val="center"/>
          </w:tcPr>
          <w:p>
            <w:pPr>
              <w:jc w:val="center"/>
            </w:pPr>
            <w:r>
              <w:rPr>
                <w:sz w:val="16"/>
              </w:rPr>
              <w:t>-0.017946</w:t>
            </w:r>
          </w:p>
        </w:tc>
        <w:tc>
          <w:tcPr>
            <w:tcW w:type="dxa" w:w="1656"/>
            <w:vAlign w:val="center"/>
          </w:tcPr>
          <w:p>
            <w:pPr>
              <w:jc w:val="center"/>
            </w:pPr>
            <w:r>
              <w:rPr>
                <w:sz w:val="16"/>
              </w:rPr>
              <w:t>-0.007767</w:t>
            </w:r>
          </w:p>
        </w:tc>
        <w:tc>
          <w:tcPr>
            <w:tcW w:type="dxa" w:w="1656"/>
            <w:vAlign w:val="center"/>
          </w:tcPr>
          <w:p>
            <w:pPr>
              <w:jc w:val="center"/>
            </w:pPr>
            <w:r>
              <w:rPr>
                <w:sz w:val="16"/>
              </w:rPr>
              <w:t>-0.027479</w:t>
            </w:r>
          </w:p>
        </w:tc>
        <w:tc>
          <w:tcPr>
            <w:tcW w:type="dxa" w:w="1656"/>
            <w:vAlign w:val="center"/>
          </w:tcPr>
          <w:p>
            <w:pPr>
              <w:jc w:val="center"/>
            </w:pPr>
            <w:r>
              <w:rPr>
                <w:sz w:val="16"/>
              </w:rPr>
              <w:t>-0.012063</w:t>
            </w:r>
          </w:p>
        </w:tc>
      </w:tr>
      <w:tr>
        <w:tc>
          <w:tcPr>
            <w:tcW w:type="dxa" w:w="2376"/>
            <w:vAlign w:val="center"/>
          </w:tcPr>
          <w:p>
            <w:pPr>
              <w:jc w:val="center"/>
            </w:pPr>
            <w:r>
              <w:rPr>
                <w:sz w:val="16"/>
              </w:rPr>
              <w:t>Event Brier</w:t>
            </w:r>
          </w:p>
        </w:tc>
        <w:tc>
          <w:tcPr>
            <w:tcW w:type="dxa" w:w="1656"/>
            <w:vAlign w:val="center"/>
          </w:tcPr>
          <w:p>
            <w:pPr>
              <w:jc w:val="center"/>
            </w:pPr>
            <w:r>
              <w:rPr>
                <w:sz w:val="16"/>
              </w:rPr>
              <w:t>-0.000884</w:t>
            </w:r>
          </w:p>
        </w:tc>
        <w:tc>
          <w:tcPr>
            <w:tcW w:type="dxa" w:w="1656"/>
            <w:vAlign w:val="center"/>
          </w:tcPr>
          <w:p>
            <w:pPr>
              <w:jc w:val="center"/>
            </w:pPr>
            <w:r>
              <w:rPr>
                <w:sz w:val="16"/>
              </w:rPr>
              <w:t>-0.002585</w:t>
            </w:r>
          </w:p>
        </w:tc>
        <w:tc>
          <w:tcPr>
            <w:tcW w:type="dxa" w:w="1656"/>
            <w:vAlign w:val="center"/>
          </w:tcPr>
          <w:p>
            <w:pPr>
              <w:jc w:val="center"/>
            </w:pPr>
            <w:r>
              <w:rPr>
                <w:sz w:val="16"/>
              </w:rPr>
              <w:t>-0.002951</w:t>
            </w:r>
          </w:p>
        </w:tc>
        <w:tc>
          <w:tcPr>
            <w:tcW w:type="dxa" w:w="1656"/>
            <w:vAlign w:val="center"/>
          </w:tcPr>
          <w:p>
            <w:pPr>
              <w:jc w:val="center"/>
            </w:pPr>
            <w:r>
              <w:rPr>
                <w:sz w:val="16"/>
              </w:rPr>
              <w:t>-0.002222</w:t>
            </w:r>
          </w:p>
        </w:tc>
      </w:tr>
      <w:tr>
        <w:tc>
          <w:tcPr>
            <w:tcW w:type="dxa" w:w="2376"/>
            <w:vAlign w:val="center"/>
          </w:tcPr>
          <w:p>
            <w:pPr>
              <w:jc w:val="center"/>
            </w:pPr>
            <w:r>
              <w:rPr>
                <w:sz w:val="16"/>
              </w:rPr>
              <w:t>Event log-loss</w:t>
            </w:r>
          </w:p>
        </w:tc>
        <w:tc>
          <w:tcPr>
            <w:tcW w:type="dxa" w:w="1656"/>
            <w:vAlign w:val="center"/>
          </w:tcPr>
          <w:p>
            <w:pPr>
              <w:jc w:val="center"/>
            </w:pPr>
            <w:r>
              <w:rPr>
                <w:sz w:val="16"/>
              </w:rPr>
              <w:t>-0.023400</w:t>
            </w:r>
          </w:p>
        </w:tc>
        <w:tc>
          <w:tcPr>
            <w:tcW w:type="dxa" w:w="1656"/>
            <w:vAlign w:val="center"/>
          </w:tcPr>
          <w:p>
            <w:pPr>
              <w:jc w:val="center"/>
            </w:pPr>
            <w:r>
              <w:rPr>
                <w:sz w:val="16"/>
              </w:rPr>
              <w:t>-0.014158</w:t>
            </w:r>
          </w:p>
        </w:tc>
        <w:tc>
          <w:tcPr>
            <w:tcW w:type="dxa" w:w="1656"/>
            <w:vAlign w:val="center"/>
          </w:tcPr>
          <w:p>
            <w:pPr>
              <w:jc w:val="center"/>
            </w:pPr>
            <w:r>
              <w:rPr>
                <w:sz w:val="16"/>
              </w:rPr>
              <w:t>-0.011536</w:t>
            </w:r>
          </w:p>
        </w:tc>
        <w:tc>
          <w:tcPr>
            <w:tcW w:type="dxa" w:w="1656"/>
            <w:vAlign w:val="center"/>
          </w:tcPr>
          <w:p>
            <w:pPr>
              <w:jc w:val="center"/>
            </w:pPr>
            <w:r>
              <w:rPr>
                <w:sz w:val="16"/>
              </w:rPr>
              <w:t>-0.007666</w:t>
            </w:r>
          </w:p>
        </w:tc>
      </w:tr>
      <w:tr>
        <w:tc>
          <w:tcPr>
            <w:tcW w:type="dxa" w:w="2376"/>
            <w:vAlign w:val="center"/>
          </w:tcPr>
          <w:p>
            <w:pPr>
              <w:jc w:val="center"/>
            </w:pPr>
            <w:r>
              <w:rPr>
                <w:sz w:val="16"/>
              </w:rPr>
              <w:t>Event ROC-AUC</w:t>
            </w:r>
          </w:p>
        </w:tc>
        <w:tc>
          <w:tcPr>
            <w:tcW w:type="dxa" w:w="1656"/>
            <w:vAlign w:val="center"/>
          </w:tcPr>
          <w:p>
            <w:pPr>
              <w:jc w:val="center"/>
            </w:pPr>
            <w:r>
              <w:rPr>
                <w:sz w:val="16"/>
              </w:rPr>
              <w:t>+0.006571</w:t>
            </w:r>
          </w:p>
        </w:tc>
        <w:tc>
          <w:tcPr>
            <w:tcW w:type="dxa" w:w="1656"/>
            <w:vAlign w:val="center"/>
          </w:tcPr>
          <w:p>
            <w:pPr>
              <w:jc w:val="center"/>
            </w:pPr>
            <w:r>
              <w:rPr>
                <w:sz w:val="16"/>
              </w:rPr>
              <w:t>+0.007873</w:t>
            </w:r>
          </w:p>
        </w:tc>
        <w:tc>
          <w:tcPr>
            <w:tcW w:type="dxa" w:w="1656"/>
            <w:vAlign w:val="center"/>
          </w:tcPr>
          <w:p>
            <w:pPr>
              <w:jc w:val="center"/>
            </w:pPr>
            <w:r>
              <w:rPr>
                <w:sz w:val="16"/>
              </w:rPr>
              <w:t>+0.012929</w:t>
            </w:r>
          </w:p>
        </w:tc>
        <w:tc>
          <w:tcPr>
            <w:tcW w:type="dxa" w:w="1656"/>
            <w:vAlign w:val="center"/>
          </w:tcPr>
          <w:p>
            <w:pPr>
              <w:jc w:val="center"/>
            </w:pPr>
            <w:r>
              <w:rPr>
                <w:sz w:val="16"/>
              </w:rPr>
              <w:t>+0.017878</w:t>
            </w:r>
          </w:p>
        </w:tc>
      </w:tr>
    </w:tbl>
    <w:p>
      <w:pPr>
        <w:spacing w:after="0"/>
      </w:pPr>
    </w:p>
    <w:p>
      <w:pPr>
        <w:spacing w:after="40"/>
        <w:jc w:val="center"/>
      </w:pPr>
      <w:r>
        <w:drawing>
          <wp:inline xmlns:a="http://schemas.openxmlformats.org/drawingml/2006/main" xmlns:pic="http://schemas.openxmlformats.org/drawingml/2006/picture">
            <wp:extent cx="5943600" cy="3208239"/>
            <wp:docPr id="5" name="Picture 5"/>
            <wp:cNvGraphicFramePr>
              <a:graphicFrameLocks noChangeAspect="1"/>
            </wp:cNvGraphicFramePr>
            <a:graphic>
              <a:graphicData uri="http://schemas.openxmlformats.org/drawingml/2006/picture">
                <pic:pic>
                  <pic:nvPicPr>
                    <pic:cNvPr id="0" name="fig5_secondary.png"/>
                    <pic:cNvPicPr/>
                  </pic:nvPicPr>
                  <pic:blipFill>
                    <a:blip r:embed="rId15"/>
                    <a:stretch>
                      <a:fillRect/>
                    </a:stretch>
                  </pic:blipFill>
                  <pic:spPr>
                    <a:xfrm>
                      <a:off x="0" y="0"/>
                      <a:ext cx="5943600" cy="3208239"/>
                    </a:xfrm>
                    <a:prstGeom prst="rect"/>
                  </pic:spPr>
                </pic:pic>
              </a:graphicData>
            </a:graphic>
          </wp:inline>
        </w:drawing>
      </w:r>
    </w:p>
    <w:p>
      <w:pPr>
        <w:spacing w:after="160"/>
        <w:jc w:val="center"/>
      </w:pPr>
      <w:r>
        <w:rPr>
          <w:i/>
          <w:color w:val="5A5A5A"/>
          <w:sz w:val="18"/>
        </w:rPr>
        <w:t>Figure 5. N=40 oriented secondary-metric effects. Point prediction improves, but latent-state alignment and probability calibration do not.</w:t>
      </w:r>
    </w:p>
    <w:p>
      <w:r>
        <w:t>At N=40, time-scaled flow improves MAE and RMSE with 4/5 wins and also improves event ROC-AUC. However, latent aligned R² remains worse (1/5 wins), while event Brier score and event log-loss are worse on average. This supports a predictive transformation effect rather than improved reconstruction of the known simulator latent process.</w:t>
      </w:r>
    </w:p>
    <w:tbl>
      <w:tblPr>
        <w:tblW w:type="auto" w:w="0"/>
        <w:jc w:val="center"/>
        <w:tblLayout w:type="autofit"/>
        <w:tblLook w:firstColumn="1" w:firstRow="1" w:lastColumn="0" w:lastRow="0" w:noHBand="0" w:noVBand="1" w:val="04A0"/>
      </w:tblPr>
      <w:tblGrid>
        <w:gridCol w:w="10224"/>
      </w:tblGrid>
      <w:tr>
        <w:tc>
          <w:tcPr>
            <w:tcW w:type="dxa" w:w="10224"/>
            <w:shd w:fill="FCE4D6"/>
            <w:tcBorders>
              <w:top w:val="single" w:sz="4" w:color="D9D9D9"/>
              <w:left w:val="single" w:sz="4" w:color="D9D9D9"/>
              <w:bottom w:val="single" w:sz="4" w:color="D9D9D9"/>
              <w:right w:val="single" w:sz="4" w:color="D9D9D9"/>
            </w:tcBorders>
          </w:tcPr>
          <w:p>
            <w:pPr>
              <w:spacing w:after="0"/>
            </w:pPr>
            <w:r>
              <w:rPr>
                <w:b/>
                <w:color w:val="17365D"/>
              </w:rPr>
              <w:t>Mechanistic caution</w:t>
              <w:br/>
            </w:r>
            <w:r>
              <w:rPr>
                <w:sz w:val="20"/>
              </w:rPr>
              <w:t>Do not describe the N=40 crossover as successful latent-mechanism recovery. The predictive gain and latent-alignment result point in opposite directions.</w:t>
            </w:r>
          </w:p>
        </w:tc>
      </w:tr>
    </w:tbl>
    <w:p>
      <w:pPr>
        <w:spacing w:after="0"/>
      </w:pPr>
    </w:p>
    <w:p>
      <w:pPr>
        <w:pStyle w:val="Heading1"/>
      </w:pPr>
      <w:r>
        <w:t>7. Low-N Model-Selection Constraint</w:t>
      </w:r>
    </w:p>
    <w:p>
      <w:r>
        <w:t>The nominal low-N budget is split internally into fit and validation patients. At the smallest budgets, early stopping is therefore based on extremely small validation sets.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7365D"/>
            <w:vAlign w:val="center"/>
          </w:tcPr>
          <w:p>
            <w:pPr>
              <w:jc w:val="center"/>
            </w:pPr>
            <w:r>
              <w:rPr>
                <w:b/>
                <w:color w:val="FFFFFF"/>
                <w:sz w:val="18"/>
              </w:rPr>
              <w:t>Nominal N</w:t>
            </w:r>
          </w:p>
        </w:tc>
        <w:tc>
          <w:tcPr>
            <w:tcW w:type="dxa" w:w="2160"/>
            <w:shd w:fill="17365D"/>
            <w:vAlign w:val="center"/>
          </w:tcPr>
          <w:p>
            <w:pPr>
              <w:jc w:val="center"/>
            </w:pPr>
            <w:r>
              <w:rPr>
                <w:b/>
                <w:color w:val="FFFFFF"/>
                <w:sz w:val="18"/>
              </w:rPr>
              <w:t>Fit patients</w:t>
            </w:r>
          </w:p>
        </w:tc>
        <w:tc>
          <w:tcPr>
            <w:tcW w:type="dxa" w:w="2592"/>
            <w:shd w:fill="17365D"/>
            <w:vAlign w:val="center"/>
          </w:tcPr>
          <w:p>
            <w:pPr>
              <w:jc w:val="center"/>
            </w:pPr>
            <w:r>
              <w:rPr>
                <w:b/>
                <w:color w:val="FFFFFF"/>
                <w:sz w:val="18"/>
              </w:rPr>
              <w:t>Validation patients</w:t>
            </w:r>
          </w:p>
        </w:tc>
      </w:tr>
      <w:tr>
        <w:tc>
          <w:tcPr>
            <w:tcW w:type="dxa" w:w="2160"/>
            <w:vAlign w:val="center"/>
          </w:tcPr>
          <w:p>
            <w:pPr>
              <w:jc w:val="center"/>
            </w:pPr>
            <w:r>
              <w:rPr>
                <w:sz w:val="18"/>
              </w:rPr>
              <w:t>5</w:t>
            </w:r>
          </w:p>
        </w:tc>
        <w:tc>
          <w:tcPr>
            <w:tcW w:type="dxa" w:w="2160"/>
            <w:vAlign w:val="center"/>
          </w:tcPr>
          <w:p>
            <w:pPr>
              <w:jc w:val="center"/>
            </w:pPr>
            <w:r>
              <w:rPr>
                <w:sz w:val="18"/>
              </w:rPr>
              <w:t>4</w:t>
            </w:r>
          </w:p>
        </w:tc>
        <w:tc>
          <w:tcPr>
            <w:tcW w:type="dxa" w:w="2592"/>
            <w:vAlign w:val="center"/>
          </w:tcPr>
          <w:p>
            <w:pPr>
              <w:jc w:val="center"/>
            </w:pPr>
            <w:r>
              <w:rPr>
                <w:sz w:val="18"/>
              </w:rPr>
              <w:t>1</w:t>
            </w:r>
          </w:p>
        </w:tc>
      </w:tr>
      <w:tr>
        <w:tc>
          <w:tcPr>
            <w:tcW w:type="dxa" w:w="2160"/>
            <w:vAlign w:val="center"/>
          </w:tcPr>
          <w:p>
            <w:pPr>
              <w:jc w:val="center"/>
            </w:pPr>
            <w:r>
              <w:rPr>
                <w:sz w:val="18"/>
              </w:rPr>
              <w:t>10</w:t>
            </w:r>
          </w:p>
        </w:tc>
        <w:tc>
          <w:tcPr>
            <w:tcW w:type="dxa" w:w="2160"/>
            <w:vAlign w:val="center"/>
          </w:tcPr>
          <w:p>
            <w:pPr>
              <w:jc w:val="center"/>
            </w:pPr>
            <w:r>
              <w:rPr>
                <w:sz w:val="18"/>
              </w:rPr>
              <w:t>8</w:t>
            </w:r>
          </w:p>
        </w:tc>
        <w:tc>
          <w:tcPr>
            <w:tcW w:type="dxa" w:w="2592"/>
            <w:vAlign w:val="center"/>
          </w:tcPr>
          <w:p>
            <w:pPr>
              <w:jc w:val="center"/>
            </w:pPr>
            <w:r>
              <w:rPr>
                <w:sz w:val="18"/>
              </w:rPr>
              <w:t>2</w:t>
            </w:r>
          </w:p>
        </w:tc>
      </w:tr>
      <w:tr>
        <w:tc>
          <w:tcPr>
            <w:tcW w:type="dxa" w:w="2160"/>
            <w:vAlign w:val="center"/>
          </w:tcPr>
          <w:p>
            <w:pPr>
              <w:jc w:val="center"/>
            </w:pPr>
            <w:r>
              <w:rPr>
                <w:sz w:val="18"/>
              </w:rPr>
              <w:t>20</w:t>
            </w:r>
          </w:p>
        </w:tc>
        <w:tc>
          <w:tcPr>
            <w:tcW w:type="dxa" w:w="2160"/>
            <w:vAlign w:val="center"/>
          </w:tcPr>
          <w:p>
            <w:pPr>
              <w:jc w:val="center"/>
            </w:pPr>
            <w:r>
              <w:rPr>
                <w:sz w:val="18"/>
              </w:rPr>
              <w:t>16</w:t>
            </w:r>
          </w:p>
        </w:tc>
        <w:tc>
          <w:tcPr>
            <w:tcW w:type="dxa" w:w="2592"/>
            <w:vAlign w:val="center"/>
          </w:tcPr>
          <w:p>
            <w:pPr>
              <w:jc w:val="center"/>
            </w:pPr>
            <w:r>
              <w:rPr>
                <w:sz w:val="18"/>
              </w:rPr>
              <w:t>4</w:t>
            </w:r>
          </w:p>
        </w:tc>
      </w:tr>
      <w:tr>
        <w:tc>
          <w:tcPr>
            <w:tcW w:type="dxa" w:w="2160"/>
            <w:vAlign w:val="center"/>
          </w:tcPr>
          <w:p>
            <w:pPr>
              <w:jc w:val="center"/>
            </w:pPr>
            <w:r>
              <w:rPr>
                <w:sz w:val="18"/>
              </w:rPr>
              <w:t>40</w:t>
            </w:r>
          </w:p>
        </w:tc>
        <w:tc>
          <w:tcPr>
            <w:tcW w:type="dxa" w:w="2160"/>
            <w:vAlign w:val="center"/>
          </w:tcPr>
          <w:p>
            <w:pPr>
              <w:jc w:val="center"/>
            </w:pPr>
            <w:r>
              <w:rPr>
                <w:sz w:val="18"/>
              </w:rPr>
              <w:t>32</w:t>
            </w:r>
          </w:p>
        </w:tc>
        <w:tc>
          <w:tcPr>
            <w:tcW w:type="dxa" w:w="2592"/>
            <w:vAlign w:val="center"/>
          </w:tcPr>
          <w:p>
            <w:pPr>
              <w:jc w:val="center"/>
            </w:pPr>
            <w:r>
              <w:rPr>
                <w:sz w:val="18"/>
              </w:rPr>
              <w:t>8</w:t>
            </w:r>
          </w:p>
        </w:tc>
      </w:tr>
    </w:tbl>
    <w:p>
      <w:pPr>
        <w:spacing w:after="0"/>
      </w:pPr>
    </w:p>
    <w:p>
      <w:pPr>
        <w:spacing w:after="40"/>
        <w:jc w:val="center"/>
      </w:pPr>
      <w:r>
        <w:drawing>
          <wp:inline xmlns:a="http://schemas.openxmlformats.org/drawingml/2006/main" xmlns:pic="http://schemas.openxmlformats.org/drawingml/2006/picture">
            <wp:extent cx="5303520" cy="2779363"/>
            <wp:docPr id="6" name="Picture 6"/>
            <wp:cNvGraphicFramePr>
              <a:graphicFrameLocks noChangeAspect="1"/>
            </wp:cNvGraphicFramePr>
            <a:graphic>
              <a:graphicData uri="http://schemas.openxmlformats.org/drawingml/2006/picture">
                <pic:pic>
                  <pic:nvPicPr>
                    <pic:cNvPr id="0" name="fig6_budget.png"/>
                    <pic:cNvPicPr/>
                  </pic:nvPicPr>
                  <pic:blipFill>
                    <a:blip r:embed="rId16"/>
                    <a:stretch>
                      <a:fillRect/>
                    </a:stretch>
                  </pic:blipFill>
                  <pic:spPr>
                    <a:xfrm>
                      <a:off x="0" y="0"/>
                      <a:ext cx="5303520" cy="2779363"/>
                    </a:xfrm>
                    <a:prstGeom prst="rect"/>
                  </pic:spPr>
                </pic:pic>
              </a:graphicData>
            </a:graphic>
          </wp:inline>
        </w:drawing>
      </w:r>
    </w:p>
    <w:p>
      <w:pPr>
        <w:spacing w:after="160"/>
        <w:jc w:val="center"/>
      </w:pPr>
      <w:r>
        <w:rPr>
          <w:i/>
          <w:color w:val="5A5A5A"/>
          <w:sz w:val="18"/>
        </w:rPr>
        <w:t>Figure 6. Training/validation allocation. N=5 uses four fit patients and a single validation patient.</w:t>
      </w:r>
    </w:p>
    <w:p>
      <w:r>
        <w:t>The training loop selects the best checkpoint using a multitask validation objective (value loss plus event loss), while the scientific flow gate is ultimately based on test MAE nAULC. This mismatch is not itself a protocol violation, but it makes checkpoint-selection variance a plausible contributor to the low-N instability, especially when N=5 uses one validation patient and N=10 uses two.</w:t>
      </w:r>
    </w:p>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4" w:color="D9D9D9"/>
              <w:left w:val="single" w:sz="4" w:color="D9D9D9"/>
              <w:bottom w:val="single" w:sz="4" w:color="D9D9D9"/>
              <w:right w:val="single" w:sz="4" w:color="D9D9D9"/>
            </w:tcBorders>
          </w:tcPr>
          <w:p>
            <w:pPr>
              <w:spacing w:after="0"/>
            </w:pPr>
            <w:r>
              <w:rPr>
                <w:b/>
                <w:color w:val="17365D"/>
              </w:rPr>
              <w:t>Evidence boundary</w:t>
              <w:br/>
            </w:r>
            <w:r>
              <w:rPr>
                <w:sz w:val="20"/>
              </w:rPr>
              <w:t>This is a diagnostic hypothesis, not an explanation proven by the official artifacts. Epoch-level train/validation trajectories and best-epoch metadata were not persisted in this run.</w:t>
            </w:r>
          </w:p>
        </w:tc>
      </w:tr>
    </w:tbl>
    <w:p>
      <w:pPr>
        <w:spacing w:after="0"/>
      </w:pPr>
    </w:p>
    <w:p>
      <w:pPr>
        <w:pStyle w:val="Heading1"/>
      </w:pPr>
      <w:r>
        <w:t>8. Phase-0.5 Decision</w:t>
      </w:r>
    </w:p>
    <w:p>
      <w:r>
        <w:t>The official Phase-0.5 run terminates at Stage I-A. Since flow is a prerequisite mechanism in the staged protocol, jump isolation, uncertainty selection, timing audit, freeze, confirmatory low-N testing, and robustness testing are not scientifically authorized within this run.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17365D"/>
            <w:vAlign w:val="center"/>
          </w:tcPr>
          <w:p>
            <w:pPr>
              <w:jc w:val="center"/>
            </w:pPr>
            <w:r>
              <w:rPr>
                <w:b/>
                <w:color w:val="FFFFFF"/>
                <w:sz w:val="16"/>
              </w:rPr>
              <w:t>Protocol component</w:t>
            </w:r>
          </w:p>
        </w:tc>
        <w:tc>
          <w:tcPr>
            <w:tcW w:type="dxa" w:w="1800"/>
            <w:shd w:fill="17365D"/>
            <w:vAlign w:val="center"/>
          </w:tcPr>
          <w:p>
            <w:pPr>
              <w:jc w:val="center"/>
            </w:pPr>
            <w:r>
              <w:rPr>
                <w:b/>
                <w:color w:val="FFFFFF"/>
                <w:sz w:val="16"/>
              </w:rPr>
              <w:t>Execution</w:t>
            </w:r>
          </w:p>
        </w:tc>
        <w:tc>
          <w:tcPr>
            <w:tcW w:type="dxa" w:w="1584"/>
            <w:shd w:fill="17365D"/>
            <w:vAlign w:val="center"/>
          </w:tcPr>
          <w:p>
            <w:pPr>
              <w:jc w:val="center"/>
            </w:pPr>
            <w:r>
              <w:rPr>
                <w:b/>
                <w:color w:val="FFFFFF"/>
                <w:sz w:val="16"/>
              </w:rPr>
              <w:t>Status</w:t>
            </w:r>
          </w:p>
        </w:tc>
        <w:tc>
          <w:tcPr>
            <w:tcW w:type="dxa" w:w="3816"/>
            <w:shd w:fill="17365D"/>
            <w:vAlign w:val="center"/>
          </w:tcPr>
          <w:p>
            <w:pPr>
              <w:jc w:val="center"/>
            </w:pPr>
            <w:r>
              <w:rPr>
                <w:b/>
                <w:color w:val="FFFFFF"/>
                <w:sz w:val="16"/>
              </w:rPr>
              <w:t>Decision</w:t>
            </w:r>
          </w:p>
        </w:tc>
      </w:tr>
      <w:tr>
        <w:tc>
          <w:tcPr>
            <w:tcW w:type="dxa" w:w="2448"/>
            <w:vAlign w:val="center"/>
          </w:tcPr>
          <w:p>
            <w:pPr>
              <w:jc w:val="center"/>
            </w:pPr>
            <w:r>
              <w:rPr>
                <w:sz w:val="16"/>
              </w:rPr>
              <w:t>Stage I-A flow</w:t>
            </w:r>
          </w:p>
        </w:tc>
        <w:tc>
          <w:tcPr>
            <w:tcW w:type="dxa" w:w="1800"/>
            <w:vAlign w:val="center"/>
          </w:tcPr>
          <w:p>
            <w:pPr>
              <w:jc w:val="center"/>
            </w:pPr>
            <w:r>
              <w:rPr>
                <w:sz w:val="16"/>
              </w:rPr>
              <w:t>60/60 cells</w:t>
            </w:r>
          </w:p>
        </w:tc>
        <w:tc>
          <w:tcPr>
            <w:tcW w:type="dxa" w:w="1584"/>
            <w:vAlign w:val="center"/>
          </w:tcPr>
          <w:p>
            <w:pPr>
              <w:jc w:val="center"/>
            </w:pPr>
            <w:r>
              <w:rPr>
                <w:sz w:val="16"/>
              </w:rPr>
              <w:t>FAIL</w:t>
            </w:r>
          </w:p>
        </w:tc>
        <w:tc>
          <w:tcPr>
            <w:tcW w:type="dxa" w:w="3816"/>
            <w:vAlign w:val="center"/>
          </w:tcPr>
          <w:p>
            <w:pPr>
              <w:jc w:val="left"/>
            </w:pPr>
            <w:r>
              <w:rPr>
                <w:sz w:val="16"/>
              </w:rPr>
              <w:t>Completed, no candidate selected</w:t>
            </w:r>
          </w:p>
        </w:tc>
      </w:tr>
      <w:tr>
        <w:tc>
          <w:tcPr>
            <w:tcW w:type="dxa" w:w="2448"/>
            <w:vAlign w:val="center"/>
          </w:tcPr>
          <w:p>
            <w:pPr>
              <w:jc w:val="center"/>
            </w:pPr>
            <w:r>
              <w:rPr>
                <w:sz w:val="16"/>
              </w:rPr>
              <w:t>Stage I-B jump</w:t>
            </w:r>
          </w:p>
        </w:tc>
        <w:tc>
          <w:tcPr>
            <w:tcW w:type="dxa" w:w="1800"/>
            <w:vAlign w:val="center"/>
          </w:tcPr>
          <w:p>
            <w:pPr>
              <w:jc w:val="center"/>
            </w:pPr>
            <w:r>
              <w:rPr>
                <w:sz w:val="16"/>
              </w:rPr>
              <w:t>0/60</w:t>
            </w:r>
          </w:p>
        </w:tc>
        <w:tc>
          <w:tcPr>
            <w:tcW w:type="dxa" w:w="1584"/>
            <w:vAlign w:val="center"/>
          </w:tcPr>
          <w:p>
            <w:pPr>
              <w:jc w:val="center"/>
            </w:pPr>
            <w:r>
              <w:rPr>
                <w:sz w:val="16"/>
              </w:rPr>
              <w:t>BLOCKED</w:t>
            </w:r>
          </w:p>
        </w:tc>
        <w:tc>
          <w:tcPr>
            <w:tcW w:type="dxa" w:w="3816"/>
            <w:vAlign w:val="center"/>
          </w:tcPr>
          <w:p>
            <w:pPr>
              <w:jc w:val="center"/>
            </w:pPr>
            <w:r>
              <w:rPr>
                <w:sz w:val="16"/>
              </w:rPr>
              <w:t>Not started</w:t>
            </w:r>
          </w:p>
        </w:tc>
      </w:tr>
      <w:tr>
        <w:tc>
          <w:tcPr>
            <w:tcW w:type="dxa" w:w="2448"/>
            <w:vAlign w:val="center"/>
          </w:tcPr>
          <w:p>
            <w:pPr>
              <w:jc w:val="left"/>
            </w:pPr>
            <w:r>
              <w:rPr>
                <w:sz w:val="16"/>
              </w:rPr>
              <w:t>Stage I-C uncertainty</w:t>
            </w:r>
          </w:p>
        </w:tc>
        <w:tc>
          <w:tcPr>
            <w:tcW w:type="dxa" w:w="1800"/>
            <w:vAlign w:val="center"/>
          </w:tcPr>
          <w:p>
            <w:pPr>
              <w:jc w:val="center"/>
            </w:pPr>
            <w:r>
              <w:rPr>
                <w:sz w:val="16"/>
              </w:rPr>
              <w:t>0/180</w:t>
            </w:r>
          </w:p>
        </w:tc>
        <w:tc>
          <w:tcPr>
            <w:tcW w:type="dxa" w:w="1584"/>
            <w:vAlign w:val="center"/>
          </w:tcPr>
          <w:p>
            <w:pPr>
              <w:jc w:val="center"/>
            </w:pPr>
            <w:r>
              <w:rPr>
                <w:sz w:val="16"/>
              </w:rPr>
              <w:t>BLOCKED</w:t>
            </w:r>
          </w:p>
        </w:tc>
        <w:tc>
          <w:tcPr>
            <w:tcW w:type="dxa" w:w="3816"/>
            <w:vAlign w:val="center"/>
          </w:tcPr>
          <w:p>
            <w:pPr>
              <w:jc w:val="center"/>
            </w:pPr>
            <w:r>
              <w:rPr>
                <w:sz w:val="16"/>
              </w:rPr>
              <w:t>Not started</w:t>
            </w:r>
          </w:p>
        </w:tc>
      </w:tr>
      <w:tr>
        <w:tc>
          <w:tcPr>
            <w:tcW w:type="dxa" w:w="2448"/>
            <w:vAlign w:val="center"/>
          </w:tcPr>
          <w:p>
            <w:pPr>
              <w:jc w:val="left"/>
            </w:pPr>
            <w:r>
              <w:rPr>
                <w:sz w:val="16"/>
              </w:rPr>
              <w:t>Stage I-D timing audit</w:t>
            </w:r>
          </w:p>
        </w:tc>
        <w:tc>
          <w:tcPr>
            <w:tcW w:type="dxa" w:w="1800"/>
            <w:vAlign w:val="center"/>
          </w:tcPr>
          <w:p>
            <w:pPr>
              <w:jc w:val="center"/>
            </w:pPr>
            <w:r>
              <w:rPr>
                <w:sz w:val="16"/>
              </w:rPr>
              <w:t>0/120</w:t>
            </w:r>
          </w:p>
        </w:tc>
        <w:tc>
          <w:tcPr>
            <w:tcW w:type="dxa" w:w="1584"/>
            <w:vAlign w:val="center"/>
          </w:tcPr>
          <w:p>
            <w:pPr>
              <w:jc w:val="center"/>
            </w:pPr>
            <w:r>
              <w:rPr>
                <w:sz w:val="16"/>
              </w:rPr>
              <w:t>BLOCKED</w:t>
            </w:r>
          </w:p>
        </w:tc>
        <w:tc>
          <w:tcPr>
            <w:tcW w:type="dxa" w:w="3816"/>
            <w:vAlign w:val="center"/>
          </w:tcPr>
          <w:p>
            <w:pPr>
              <w:jc w:val="center"/>
            </w:pPr>
            <w:r>
              <w:rPr>
                <w:sz w:val="16"/>
              </w:rPr>
              <w:t>Not started</w:t>
            </w:r>
          </w:p>
        </w:tc>
      </w:tr>
      <w:tr>
        <w:tc>
          <w:tcPr>
            <w:tcW w:type="dxa" w:w="2448"/>
            <w:vAlign w:val="center"/>
          </w:tcPr>
          <w:p>
            <w:pPr>
              <w:jc w:val="center"/>
            </w:pPr>
            <w:r>
              <w:rPr>
                <w:sz w:val="16"/>
              </w:rPr>
              <w:t>Stage II freeze</w:t>
            </w:r>
          </w:p>
        </w:tc>
        <w:tc>
          <w:tcPr>
            <w:tcW w:type="dxa" w:w="1800"/>
            <w:vAlign w:val="center"/>
          </w:tcPr>
          <w:p>
            <w:pPr>
              <w:jc w:val="center"/>
            </w:pPr>
            <w:r>
              <w:rPr>
                <w:sz w:val="16"/>
              </w:rPr>
              <w:t>Not executed</w:t>
            </w:r>
          </w:p>
        </w:tc>
        <w:tc>
          <w:tcPr>
            <w:tcW w:type="dxa" w:w="1584"/>
            <w:vAlign w:val="center"/>
          </w:tcPr>
          <w:p>
            <w:pPr>
              <w:jc w:val="center"/>
            </w:pPr>
            <w:r>
              <w:rPr>
                <w:sz w:val="16"/>
              </w:rPr>
              <w:t>BLOCKED</w:t>
            </w:r>
          </w:p>
        </w:tc>
        <w:tc>
          <w:tcPr>
            <w:tcW w:type="dxa" w:w="3816"/>
            <w:vAlign w:val="center"/>
          </w:tcPr>
          <w:p>
            <w:pPr>
              <w:jc w:val="left"/>
            </w:pPr>
            <w:r>
              <w:rPr>
                <w:sz w:val="16"/>
              </w:rPr>
              <w:t>No candidate to freeze</w:t>
            </w:r>
          </w:p>
        </w:tc>
      </w:tr>
      <w:tr>
        <w:tc>
          <w:tcPr>
            <w:tcW w:type="dxa" w:w="2448"/>
            <w:vAlign w:val="center"/>
          </w:tcPr>
          <w:p>
            <w:pPr>
              <w:jc w:val="left"/>
            </w:pPr>
            <w:r>
              <w:rPr>
                <w:sz w:val="16"/>
              </w:rPr>
              <w:t>Stage III confirmation</w:t>
            </w:r>
          </w:p>
        </w:tc>
        <w:tc>
          <w:tcPr>
            <w:tcW w:type="dxa" w:w="1800"/>
            <w:vAlign w:val="center"/>
          </w:tcPr>
          <w:p>
            <w:pPr>
              <w:jc w:val="center"/>
            </w:pPr>
            <w:r>
              <w:rPr>
                <w:sz w:val="16"/>
              </w:rPr>
              <w:t>Untouched</w:t>
            </w:r>
          </w:p>
        </w:tc>
        <w:tc>
          <w:tcPr>
            <w:tcW w:type="dxa" w:w="1584"/>
            <w:vAlign w:val="center"/>
          </w:tcPr>
          <w:p>
            <w:pPr>
              <w:jc w:val="center"/>
            </w:pPr>
            <w:r>
              <w:rPr>
                <w:sz w:val="16"/>
              </w:rPr>
              <w:t>PROTECTED</w:t>
            </w:r>
          </w:p>
        </w:tc>
        <w:tc>
          <w:tcPr>
            <w:tcW w:type="dxa" w:w="3816"/>
            <w:vAlign w:val="center"/>
          </w:tcPr>
          <w:p>
            <w:pPr>
              <w:jc w:val="left"/>
            </w:pPr>
            <w:r>
              <w:rPr>
                <w:sz w:val="16"/>
              </w:rPr>
              <w:t>Confirmatory bundles 701-710 not evaluated</w:t>
            </w:r>
          </w:p>
        </w:tc>
      </w:tr>
      <w:tr>
        <w:tc>
          <w:tcPr>
            <w:tcW w:type="dxa" w:w="2448"/>
            <w:vAlign w:val="center"/>
          </w:tcPr>
          <w:p>
            <w:pPr>
              <w:jc w:val="left"/>
            </w:pPr>
            <w:r>
              <w:rPr>
                <w:sz w:val="16"/>
              </w:rPr>
              <w:t>Stage IV robustness</w:t>
            </w:r>
          </w:p>
        </w:tc>
        <w:tc>
          <w:tcPr>
            <w:tcW w:type="dxa" w:w="1800"/>
            <w:vAlign w:val="center"/>
          </w:tcPr>
          <w:p>
            <w:pPr>
              <w:jc w:val="center"/>
            </w:pPr>
            <w:r>
              <w:rPr>
                <w:sz w:val="16"/>
              </w:rPr>
              <w:t>Untouched</w:t>
            </w:r>
          </w:p>
        </w:tc>
        <w:tc>
          <w:tcPr>
            <w:tcW w:type="dxa" w:w="1584"/>
            <w:vAlign w:val="center"/>
          </w:tcPr>
          <w:p>
            <w:pPr>
              <w:jc w:val="center"/>
            </w:pPr>
            <w:r>
              <w:rPr>
                <w:sz w:val="16"/>
              </w:rPr>
              <w:t>PROTECTED</w:t>
            </w:r>
          </w:p>
        </w:tc>
        <w:tc>
          <w:tcPr>
            <w:tcW w:type="dxa" w:w="3816"/>
            <w:vAlign w:val="center"/>
          </w:tcPr>
          <w:p>
            <w:pPr>
              <w:jc w:val="left"/>
            </w:pPr>
            <w:r>
              <w:rPr>
                <w:sz w:val="16"/>
              </w:rPr>
              <w:t>Cannot rescue a failed Stage III / Stage I</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4" w:color="D9D9D9"/>
              <w:left w:val="single" w:sz="4" w:color="D9D9D9"/>
              <w:bottom w:val="single" w:sz="4" w:color="D9D9D9"/>
              <w:right w:val="single" w:sz="4" w:color="D9D9D9"/>
            </w:tcBorders>
          </w:tcPr>
          <w:p>
            <w:pPr>
              <w:spacing w:after="0"/>
            </w:pPr>
            <w:r>
              <w:rPr>
                <w:b/>
                <w:color w:val="17365D"/>
              </w:rPr>
              <w:t>Scientific verdict</w:t>
              <w:br/>
            </w:r>
            <w:r>
              <w:rPr>
                <w:sz w:val="20"/>
              </w:rPr>
              <w:t>The current Phase-0.5 implementation does not validate a reproducible extreme-low-N continuous-flow advantage. The time-scaled mechanism shows a potentially useful predictive regime at N=40, but this signal is too late, too heterogeneous across bundles, and not accompanied by improved latent recovery. Preserve the run as an immutable negative result.</w:t>
            </w:r>
          </w:p>
        </w:tc>
      </w:tr>
    </w:tbl>
    <w:p>
      <w:pPr>
        <w:spacing w:after="0"/>
      </w:pPr>
    </w:p>
    <w:p>
      <w:pPr>
        <w:pStyle w:val="Heading1"/>
      </w:pPr>
      <w:r>
        <w:t>9. Recommended Follow-up Agenda (Outside Official Phase-0.5)</w:t>
      </w:r>
    </w:p>
    <w:p>
      <w:r>
        <w:t>Any further experimentation should be explicitly separated from the failed official run and restricted to development information. The goal is diagnosis before redesign, not continuation of the stopped protocol.</w:t>
      </w:r>
    </w:p>
    <w:tbl>
      <w:tblPr>
        <w:tblW w:type="auto" w:w="0"/>
        <w:jc w:val="center"/>
        <w:tblLayout w:type="autofit"/>
        <w:tblLook w:firstColumn="1" w:firstRow="1" w:lastColumn="0" w:lastRow="0" w:noHBand="0" w:noVBand="1" w:val="04A0"/>
      </w:tblPr>
      <w:tblGrid>
        <w:gridCol w:w="10224"/>
      </w:tblGrid>
      <w:tr>
        <w:tc>
          <w:tcPr>
            <w:tcW w:type="dxa" w:w="10224"/>
            <w:shd w:fill="F2F2F2"/>
            <w:tcBorders>
              <w:top w:val="single" w:sz="4" w:color="D9D9D9"/>
              <w:left w:val="single" w:sz="4" w:color="D9D9D9"/>
              <w:bottom w:val="single" w:sz="4" w:color="D9D9D9"/>
              <w:right w:val="single" w:sz="4" w:color="D9D9D9"/>
            </w:tcBorders>
          </w:tcPr>
          <w:p>
            <w:pPr>
              <w:spacing w:after="0"/>
            </w:pPr>
            <w:r>
              <w:rPr>
                <w:b/>
                <w:color w:val="17365D"/>
              </w:rPr>
              <w:t>Training instrumentation</w:t>
              <w:br/>
            </w:r>
            <w:r>
              <w:rPr>
                <w:sz w:val="20"/>
              </w:rPr>
              <w:t>Persist epoch-level train/validation core loss, value loss, event loss, best epoch, stopping epoch, gradient norms, and flow-state/update magnitude.</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2F2F2"/>
            <w:tcBorders>
              <w:top w:val="single" w:sz="4" w:color="D9D9D9"/>
              <w:left w:val="single" w:sz="4" w:color="D9D9D9"/>
              <w:bottom w:val="single" w:sz="4" w:color="D9D9D9"/>
              <w:right w:val="single" w:sz="4" w:color="D9D9D9"/>
            </w:tcBorders>
          </w:tcPr>
          <w:p>
            <w:pPr>
              <w:spacing w:after="0"/>
            </w:pPr>
            <w:r>
              <w:rPr>
                <w:b/>
                <w:color w:val="17365D"/>
              </w:rPr>
              <w:t>Exact development reproduction</w:t>
              <w:br/>
            </w:r>
            <w:r>
              <w:rPr>
                <w:sz w:val="20"/>
              </w:rPr>
              <w:t>Re-run only no-flow versus time-scaled flow on the same five development bundles and N={5,10,20,40} in a separate diagnostic output to verify the crossover while capturing trajectories.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2F2F2"/>
            <w:tcBorders>
              <w:top w:val="single" w:sz="4" w:color="D9D9D9"/>
              <w:left w:val="single" w:sz="4" w:color="D9D9D9"/>
              <w:bottom w:val="single" w:sz="4" w:color="D9D9D9"/>
              <w:right w:val="single" w:sz="4" w:color="D9D9D9"/>
            </w:tcBorders>
          </w:tcPr>
          <w:p>
            <w:pPr>
              <w:spacing w:after="0"/>
            </w:pPr>
            <w:r>
              <w:rPr>
                <w:b/>
                <w:color w:val="17365D"/>
              </w:rPr>
              <w:t>Variance decomposition</w:t>
              <w:br/>
            </w:r>
            <w:r>
              <w:rPr>
                <w:sz w:val="20"/>
              </w:rPr>
              <w:t>Hold two seed sources fixed while varying the third to separate cohort, low-N subset, and initialization variance. Do not touch confirmatory bundles.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2F2F2"/>
            <w:tcBorders>
              <w:top w:val="single" w:sz="4" w:color="D9D9D9"/>
              <w:left w:val="single" w:sz="4" w:color="D9D9D9"/>
              <w:bottom w:val="single" w:sz="4" w:color="D9D9D9"/>
              <w:right w:val="single" w:sz="4" w:color="D9D9D9"/>
            </w:tcBorders>
          </w:tcPr>
          <w:p>
            <w:pPr>
              <w:spacing w:after="0"/>
            </w:pPr>
            <w:r>
              <w:rPr>
                <w:b/>
                <w:color w:val="17365D"/>
              </w:rPr>
              <w:t>Mechanism redesign only after diagnosis</w:t>
              <w:br/>
            </w:r>
            <w:r>
              <w:rPr>
                <w:sz w:val="20"/>
              </w:rPr>
              <w:t>If model-seed variance dominates, address optimization/regularization; if subset variance dominates, address low-N statistical stability; if cohort variance dominates, inspect world/mechanism heterogeneity.</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2F2F2"/>
            <w:tcBorders>
              <w:top w:val="single" w:sz="4" w:color="D9D9D9"/>
              <w:left w:val="single" w:sz="4" w:color="D9D9D9"/>
              <w:bottom w:val="single" w:sz="4" w:color="D9D9D9"/>
              <w:right w:val="single" w:sz="4" w:color="D9D9D9"/>
            </w:tcBorders>
          </w:tcPr>
          <w:p>
            <w:pPr>
              <w:spacing w:after="0"/>
            </w:pPr>
            <w:r>
              <w:rPr>
                <w:b/>
                <w:color w:val="17365D"/>
              </w:rPr>
              <w:t>Latent-vs-predictive objective</w:t>
              <w:br/>
            </w:r>
            <w:r>
              <w:rPr>
                <w:sz w:val="20"/>
              </w:rPr>
              <w:t>Investigate why MAE/RMSE improve at N=40 while latent aligned R² worsens. A future mechanism claim should require predictive and mechanistic evidence to agree.</w:t>
            </w:r>
          </w:p>
        </w:tc>
      </w:tr>
    </w:tbl>
    <w:p>
      <w:pPr>
        <w:spacing w:after="0"/>
      </w:pPr>
    </w:p>
    <w:p>
      <w:pPr>
        <w:pStyle w:val="Heading1"/>
      </w:pPr>
      <w:r>
        <w:t>10. Execution Integrity and Provenance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96"/>
            <w:shd w:fill="17365D"/>
            <w:vAlign w:val="center"/>
          </w:tcPr>
          <w:p>
            <w:pPr>
              <w:jc w:val="center"/>
            </w:pPr>
            <w:r>
              <w:rPr>
                <w:b/>
                <w:color w:val="FFFFFF"/>
                <w:sz w:val="16"/>
              </w:rPr>
              <w:t>Field</w:t>
            </w:r>
          </w:p>
        </w:tc>
        <w:tc>
          <w:tcPr>
            <w:tcW w:type="dxa" w:w="6192"/>
            <w:shd w:fill="17365D"/>
            <w:vAlign w:val="center"/>
          </w:tcPr>
          <w:p>
            <w:pPr>
              <w:jc w:val="center"/>
            </w:pPr>
            <w:r>
              <w:rPr>
                <w:b/>
                <w:color w:val="FFFFFF"/>
                <w:sz w:val="16"/>
              </w:rPr>
              <w:t>Value</w:t>
            </w:r>
          </w:p>
        </w:tc>
      </w:tr>
      <w:tr>
        <w:tc>
          <w:tcPr>
            <w:tcW w:type="dxa" w:w="3096"/>
            <w:vAlign w:val="center"/>
          </w:tcPr>
          <w:p>
            <w:pPr>
              <w:jc w:val="center"/>
            </w:pPr>
            <w:r>
              <w:rPr>
                <w:sz w:val="16"/>
              </w:rPr>
              <w:t>Repository HEAD</w:t>
            </w:r>
          </w:p>
        </w:tc>
        <w:tc>
          <w:tcPr>
            <w:tcW w:type="dxa" w:w="6192"/>
            <w:vAlign w:val="center"/>
          </w:tcPr>
          <w:p>
            <w:pPr>
              <w:jc w:val="left"/>
            </w:pPr>
            <w:r>
              <w:rPr>
                <w:sz w:val="16"/>
              </w:rPr>
              <w:t>50a94c06bc1c419ca55738f15f074cc06ccc3f36</w:t>
            </w:r>
          </w:p>
        </w:tc>
      </w:tr>
      <w:tr>
        <w:tc>
          <w:tcPr>
            <w:tcW w:type="dxa" w:w="3096"/>
            <w:vAlign w:val="center"/>
          </w:tcPr>
          <w:p>
            <w:pPr>
              <w:jc w:val="left"/>
            </w:pPr>
            <w:r>
              <w:rPr>
                <w:sz w:val="16"/>
              </w:rPr>
              <w:t>Validated code commit</w:t>
            </w:r>
          </w:p>
        </w:tc>
        <w:tc>
          <w:tcPr>
            <w:tcW w:type="dxa" w:w="6192"/>
            <w:vAlign w:val="center"/>
          </w:tcPr>
          <w:p>
            <w:pPr>
              <w:jc w:val="left"/>
            </w:pPr>
            <w:r>
              <w:rPr>
                <w:sz w:val="16"/>
              </w:rPr>
              <w:t>3fb62ff71e3d9f9750b6dbc1ebf5525db3f71e71</w:t>
            </w:r>
          </w:p>
        </w:tc>
      </w:tr>
      <w:tr>
        <w:tc>
          <w:tcPr>
            <w:tcW w:type="dxa" w:w="3096"/>
            <w:vAlign w:val="center"/>
          </w:tcPr>
          <w:p>
            <w:pPr>
              <w:jc w:val="left"/>
            </w:pPr>
            <w:r>
              <w:rPr>
                <w:sz w:val="16"/>
              </w:rPr>
              <w:t>Phase-0 execution anchor</w:t>
            </w:r>
          </w:p>
        </w:tc>
        <w:tc>
          <w:tcPr>
            <w:tcW w:type="dxa" w:w="6192"/>
            <w:vAlign w:val="center"/>
          </w:tcPr>
          <w:p>
            <w:pPr>
              <w:jc w:val="left"/>
            </w:pPr>
            <w:r>
              <w:rPr>
                <w:sz w:val="16"/>
              </w:rPr>
              <w:t>d6f105eee73fcb8e9cc5987d292b1bb98a687382</w:t>
            </w:r>
          </w:p>
        </w:tc>
      </w:tr>
      <w:tr>
        <w:tc>
          <w:tcPr>
            <w:tcW w:type="dxa" w:w="3096"/>
            <w:vAlign w:val="center"/>
          </w:tcPr>
          <w:p>
            <w:pPr>
              <w:jc w:val="center"/>
            </w:pPr>
            <w:r>
              <w:rPr>
                <w:sz w:val="16"/>
              </w:rPr>
              <w:t>Runtime</w:t>
            </w:r>
          </w:p>
        </w:tc>
        <w:tc>
          <w:tcPr>
            <w:tcW w:type="dxa" w:w="6192"/>
            <w:vAlign w:val="center"/>
          </w:tcPr>
          <w:p>
            <w:pPr>
              <w:jc w:val="left"/>
            </w:pPr>
            <w:r>
              <w:rPr>
                <w:sz w:val="16"/>
              </w:rPr>
              <w:t>Linux WSL2 · Python project venv · PyTorch 2.13.0+cu130</w:t>
            </w:r>
          </w:p>
        </w:tc>
      </w:tr>
      <w:tr>
        <w:tc>
          <w:tcPr>
            <w:tcW w:type="dxa" w:w="3096"/>
            <w:vAlign w:val="center"/>
          </w:tcPr>
          <w:p>
            <w:pPr>
              <w:jc w:val="center"/>
            </w:pPr>
            <w:r>
              <w:rPr>
                <w:sz w:val="16"/>
              </w:rPr>
              <w:t>CUDA runtime</w:t>
            </w:r>
          </w:p>
        </w:tc>
        <w:tc>
          <w:tcPr>
            <w:tcW w:type="dxa" w:w="6192"/>
            <w:vAlign w:val="center"/>
          </w:tcPr>
          <w:p>
            <w:pPr>
              <w:jc w:val="center"/>
            </w:pPr>
            <w:r>
              <w:rPr>
                <w:sz w:val="16"/>
              </w:rPr>
              <w:t>13.0</w:t>
            </w:r>
          </w:p>
        </w:tc>
      </w:tr>
      <w:tr>
        <w:tc>
          <w:tcPr>
            <w:tcW w:type="dxa" w:w="3096"/>
            <w:vAlign w:val="center"/>
          </w:tcPr>
          <w:p>
            <w:pPr>
              <w:jc w:val="center"/>
            </w:pPr>
            <w:r>
              <w:rPr>
                <w:sz w:val="16"/>
              </w:rPr>
              <w:t>GPU</w:t>
            </w:r>
          </w:p>
        </w:tc>
        <w:tc>
          <w:tcPr>
            <w:tcW w:type="dxa" w:w="6192"/>
            <w:vAlign w:val="center"/>
          </w:tcPr>
          <w:p>
            <w:pPr>
              <w:jc w:val="left"/>
            </w:pPr>
            <w:r>
              <w:rPr>
                <w:sz w:val="16"/>
              </w:rPr>
              <w:t>NVIDIA GeForce RTX 4060 Laptop GPU · 8188 MiB</w:t>
            </w:r>
          </w:p>
        </w:tc>
      </w:tr>
      <w:tr>
        <w:tc>
          <w:tcPr>
            <w:tcW w:type="dxa" w:w="3096"/>
            <w:vAlign w:val="center"/>
          </w:tcPr>
          <w:p>
            <w:pPr>
              <w:jc w:val="center"/>
            </w:pPr>
            <w:r>
              <w:rPr>
                <w:sz w:val="16"/>
              </w:rPr>
              <w:t>Workers</w:t>
            </w:r>
          </w:p>
        </w:tc>
        <w:tc>
          <w:tcPr>
            <w:tcW w:type="dxa" w:w="6192"/>
            <w:vAlign w:val="center"/>
          </w:tcPr>
          <w:p>
            <w:pPr>
              <w:jc w:val="center"/>
            </w:pPr>
            <w:r>
              <w:rPr>
                <w:sz w:val="16"/>
              </w:rPr>
              <w:t>1</w:t>
            </w:r>
          </w:p>
        </w:tc>
      </w:tr>
      <w:tr>
        <w:tc>
          <w:tcPr>
            <w:tcW w:type="dxa" w:w="3096"/>
            <w:vAlign w:val="center"/>
          </w:tcPr>
          <w:p>
            <w:pPr>
              <w:jc w:val="left"/>
            </w:pPr>
            <w:r>
              <w:rPr>
                <w:sz w:val="16"/>
              </w:rPr>
              <w:t>Observed launcher elapsed</w:t>
            </w:r>
          </w:p>
        </w:tc>
        <w:tc>
          <w:tcPr>
            <w:tcW w:type="dxa" w:w="6192"/>
            <w:vAlign w:val="center"/>
          </w:tcPr>
          <w:p>
            <w:pPr>
              <w:jc w:val="center"/>
            </w:pPr>
            <w:r>
              <w:rPr>
                <w:sz w:val="16"/>
              </w:rPr>
              <w:t>00 h 09 m 11 s</w:t>
            </w:r>
          </w:p>
        </w:tc>
      </w:tr>
      <w:tr>
        <w:tc>
          <w:tcPr>
            <w:tcW w:type="dxa" w:w="3096"/>
            <w:vAlign w:val="center"/>
          </w:tcPr>
          <w:p>
            <w:pPr>
              <w:jc w:val="center"/>
            </w:pPr>
            <w:r>
              <w:rPr>
                <w:sz w:val="16"/>
              </w:rPr>
              <w:t>Flow cells</w:t>
            </w:r>
          </w:p>
        </w:tc>
        <w:tc>
          <w:tcPr>
            <w:tcW w:type="dxa" w:w="6192"/>
            <w:vAlign w:val="center"/>
          </w:tcPr>
          <w:p>
            <w:pPr>
              <w:jc w:val="center"/>
            </w:pPr>
            <w:r>
              <w:rPr>
                <w:sz w:val="16"/>
              </w:rPr>
              <w:t>60 / 60 complete</w:t>
            </w:r>
          </w:p>
        </w:tc>
      </w:tr>
      <w:tr>
        <w:tc>
          <w:tcPr>
            <w:tcW w:type="dxa" w:w="3096"/>
            <w:vAlign w:val="center"/>
          </w:tcPr>
          <w:p>
            <w:pPr>
              <w:jc w:val="left"/>
            </w:pPr>
            <w:r>
              <w:rPr>
                <w:sz w:val="16"/>
              </w:rPr>
              <w:t>Subsequent Stage-I cells</w:t>
            </w:r>
          </w:p>
        </w:tc>
        <w:tc>
          <w:tcPr>
            <w:tcW w:type="dxa" w:w="6192"/>
            <w:vAlign w:val="center"/>
          </w:tcPr>
          <w:p>
            <w:pPr>
              <w:jc w:val="center"/>
            </w:pPr>
            <w:r>
              <w:rPr>
                <w:sz w:val="16"/>
              </w:rPr>
              <w:t>0 / 360 executed</w:t>
            </w:r>
          </w:p>
        </w:tc>
      </w:tr>
      <w:tr>
        <w:tc>
          <w:tcPr>
            <w:tcW w:type="dxa" w:w="3096"/>
            <w:vAlign w:val="center"/>
          </w:tcPr>
          <w:p>
            <w:pPr>
              <w:jc w:val="left"/>
            </w:pPr>
            <w:r>
              <w:rPr>
                <w:sz w:val="16"/>
              </w:rPr>
              <w:t>Phase-0 noise floor</w:t>
            </w:r>
          </w:p>
        </w:tc>
        <w:tc>
          <w:tcPr>
            <w:tcW w:type="dxa" w:w="6192"/>
            <w:vAlign w:val="center"/>
          </w:tcPr>
          <w:p>
            <w:pPr>
              <w:jc w:val="left"/>
            </w:pPr>
            <w:r>
              <w:rPr>
                <w:sz w:val="16"/>
              </w:rPr>
              <w:t>0.041566851216 (4.1567%)</w:t>
            </w:r>
          </w:p>
        </w:tc>
      </w:tr>
      <w:tr>
        <w:tc>
          <w:tcPr>
            <w:tcW w:type="dxa" w:w="3096"/>
            <w:vAlign w:val="center"/>
          </w:tcPr>
          <w:p>
            <w:pPr>
              <w:jc w:val="left"/>
            </w:pPr>
            <w:r>
              <w:rPr>
                <w:sz w:val="16"/>
              </w:rPr>
              <w:t>Locked minimum relative effect</w:t>
            </w:r>
          </w:p>
        </w:tc>
        <w:tc>
          <w:tcPr>
            <w:tcW w:type="dxa" w:w="6192"/>
            <w:vAlign w:val="center"/>
          </w:tcPr>
          <w:p>
            <w:pPr>
              <w:jc w:val="left"/>
            </w:pPr>
            <w:r>
              <w:rPr>
                <w:sz w:val="16"/>
              </w:rPr>
              <w:t>0.041566851216 (4.1567%)</w:t>
            </w:r>
          </w:p>
        </w:tc>
      </w:tr>
      <w:tr>
        <w:tc>
          <w:tcPr>
            <w:tcW w:type="dxa" w:w="3096"/>
            <w:vAlign w:val="center"/>
          </w:tcPr>
          <w:p>
            <w:pPr>
              <w:jc w:val="left"/>
            </w:pPr>
            <w:r>
              <w:rPr>
                <w:sz w:val="16"/>
              </w:rPr>
              <w:t>Flow gate artifact</w:t>
            </w:r>
          </w:p>
        </w:tc>
        <w:tc>
          <w:tcPr>
            <w:tcW w:type="dxa" w:w="6192"/>
            <w:vAlign w:val="center"/>
          </w:tcPr>
          <w:p>
            <w:pPr>
              <w:jc w:val="left"/>
            </w:pPr>
            <w:r>
              <w:rPr>
                <w:sz w:val="16"/>
              </w:rPr>
              <w:t>development/flow_gate.csv</w:t>
            </w:r>
          </w:p>
        </w:tc>
      </w:tr>
      <w:tr>
        <w:tc>
          <w:tcPr>
            <w:tcW w:type="dxa" w:w="3096"/>
            <w:vAlign w:val="center"/>
          </w:tcPr>
          <w:p>
            <w:pPr>
              <w:jc w:val="center"/>
            </w:pPr>
            <w:r>
              <w:rPr>
                <w:sz w:val="16"/>
              </w:rPr>
              <w:t>Official output</w:t>
            </w:r>
          </w:p>
        </w:tc>
        <w:tc>
          <w:tcPr>
            <w:tcW w:type="dxa" w:w="6192"/>
            <w:vAlign w:val="center"/>
          </w:tcPr>
          <w:p>
            <w:pPr>
              <w:jc w:val="left"/>
            </w:pPr>
            <w:r>
              <w:rPr>
                <w:sz w:val="16"/>
              </w:rPr>
              <w:t>outputs/phase05_official_50a94c06bc1c419ca55738f15f074cc06ccc3f36</w:t>
            </w:r>
          </w:p>
        </w:tc>
      </w:tr>
    </w:tbl>
    <w:p>
      <w:pPr>
        <w:spacing w:after="0"/>
      </w:pPr>
    </w:p>
    <w:p>
      <w:r>
        <w:t>The launcher returned exit code 1 because the application intentionally raises a runtime exception when the flow development gate fails. All 60 planned flow cells were already persisted, and the gate artifact was written before the stop. This report therefore treats the event as a protocol-governed scientific termination rather than a computational failure.</w:t>
      </w:r>
    </w:p>
    <w:p>
      <w:pPr>
        <w:pStyle w:val="Heading1"/>
      </w:pPr>
      <w:r>
        <w:t>11. Interpretation Limits</w:t>
      </w:r>
    </w:p>
    <w:p>
      <w:pPr>
        <w:pStyle w:val="ListBullet"/>
      </w:pPr>
      <w:r>
        <w:t>The result is synthetic methodological evidence only; it does not establish clinical validity, utility, safety, or transportability.</w:t>
      </w:r>
    </w:p>
    <w:p>
      <w:pPr>
        <w:pStyle w:val="ListBullet"/>
      </w:pPr>
      <w:r>
        <w:t>The N=40 postmortem pattern is exploratory because Stage I-A was preregistered around low-N nAULC across N={5,10,20,40}; it must not be relabeled as a Phase-0.5 success criterion.</w:t>
      </w:r>
    </w:p>
    <w:p>
      <w:pPr>
        <w:pStyle w:val="ListBullet"/>
      </w:pPr>
      <w:r>
        <w:t>Bundle-level heterogeneity cannot yet be attributed uniquely to cohort seed, subset seed, or model seed because all three vary together in each matched bundle.</w:t>
      </w:r>
    </w:p>
    <w:p>
      <w:pPr>
        <w:pStyle w:val="ListBullet"/>
      </w:pPr>
      <w:r>
        <w:t>The apparent checkpoint-selection explanation is plausible but unproven because epoch-level training and validation trajectories were not persisted.</w:t>
      </w:r>
    </w:p>
    <w:p>
      <w:pPr>
        <w:pStyle w:val="ListBullet"/>
      </w:pPr>
      <w:r>
        <w:t>No confirmatory seed bundle was evaluated. This protected boundary should remain intact until a new protocol is explicitly designed and frozen.</w:t>
      </w:r>
    </w:p>
    <w:p>
      <w:pPr>
        <w:pStyle w:val="ListBullet"/>
      </w:pPr>
      <w:r>
        <w:t>The observed N=40 predictive benefit should not be described as mechanistic latent recovery because latent aligned R² is worse on average at every N.</w:t>
      </w:r>
    </w:p>
    <w:tbl>
      <w:tblPr>
        <w:tblW w:type="auto" w:w="0"/>
        <w:jc w:val="center"/>
        <w:tblLayout w:type="autofit"/>
        <w:tblLook w:firstColumn="1" w:firstRow="1" w:lastColumn="0" w:lastRow="0" w:noHBand="0" w:noVBand="1" w:val="04A0"/>
      </w:tblPr>
      <w:tblGrid>
        <w:gridCol w:w="10224"/>
      </w:tblGrid>
      <w:tr>
        <w:tc>
          <w:tcPr>
            <w:tcW w:type="dxa" w:w="10224"/>
            <w:shd w:fill="FCE4D6"/>
            <w:tcBorders>
              <w:top w:val="single" w:sz="4" w:color="D9D9D9"/>
              <w:left w:val="single" w:sz="4" w:color="D9D9D9"/>
              <w:bottom w:val="single" w:sz="4" w:color="D9D9D9"/>
              <w:right w:val="single" w:sz="4" w:color="D9D9D9"/>
            </w:tcBorders>
          </w:tcPr>
          <w:p>
            <w:pPr>
              <w:spacing w:after="0"/>
            </w:pPr>
            <w:r>
              <w:rPr>
                <w:b/>
                <w:color w:val="17365D"/>
              </w:rPr>
              <w:t>Recommended status</w:t>
              <w:br/>
            </w:r>
            <w:r>
              <w:rPr>
                <w:sz w:val="20"/>
              </w:rPr>
              <w:t>PHASE-0.5 OFFICIAL RESULT: TERMINATED AT STAGE I-A (FLOW GATE FAIL). Preserve as the immutable second synthetic decision record. Do not resume, freeze, confirm, or reinterpret the N=40 signal as preregistered success.</w:t>
            </w:r>
          </w:p>
        </w:tc>
      </w:tr>
    </w:tbl>
    <w:p>
      <w:pPr>
        <w:spacing w:after="0"/>
      </w:pPr>
    </w:p>
    <w:p>
      <w:r>
        <w:br w:type="page"/>
      </w:r>
    </w:p>
    <w:p>
      <w:pPr>
        <w:pStyle w:val="Heading1"/>
        <w:keepNext/>
      </w:pPr>
      <w:r>
        <w:t>12. Evidence Inventory and Reproducibility Map</w:t>
      </w:r>
    </w:p>
    <w:tbl>
      <w:tblPr>
        <w:tblW w:type="auto" w:w="0"/>
        <w:tblLayout w:type="autofit"/>
        <w:tblLook w:firstColumn="1" w:firstRow="1" w:lastColumn="0" w:lastRow="0" w:noHBand="0" w:noVBand="1" w:val="04A0"/>
      </w:tblPr>
      <w:tblGrid>
        <w:gridCol w:w="10224"/>
      </w:tblGrid>
      <w:tr>
        <w:tc>
          <w:tcPr>
            <w:tcW w:type="dxa" w:w="10224"/>
            <w:shd w:fill="D9EAF7"/>
            <w:tcMar>
              <w:top w:w="90" w:type="dxa"/>
              <w:start w:w="100" w:type="dxa"/>
              <w:bottom w:w="90" w:type="dxa"/>
              <w:end w:w="100" w:type="dxa"/>
            </w:tcMar>
          </w:tcPr>
          <w:p>
            <w:pPr>
              <w:spacing w:after="0"/>
            </w:pPr>
            <w:r>
              <w:rPr>
                <w:rFonts w:ascii="Arial" w:hAnsi="Arial"/>
                <w:b/>
                <w:color w:val="17365D"/>
                <w:sz w:val="19"/>
              </w:rPr>
              <w:t>EVIDENCE CLASS: ARCHIVAL / REPRODUCIBILITY</w:t>
            </w:r>
          </w:p>
        </w:tc>
      </w:tr>
    </w:tbl>
    <w:p>
      <w:pPr>
        <w:spacing w:after="100" w:line="245" w:lineRule="auto"/>
      </w:pPr>
      <w:r>
        <w:rPr>
          <w:rFonts w:ascii="Arial" w:hAnsi="Arial"/>
          <w:sz w:val="19"/>
        </w:rPr>
        <w:t>The original nine-page decision record is retained intact as the scientific narrative. This appendix maps the persisted official execution to the deterministic repository-side derivations used to audit the gate and support the exploratory postmortem.</w:t>
      </w:r>
    </w:p>
    <w:tbl>
      <w:tblPr>
        <w:tblStyle w:val="TableGrid"/>
        <w:tblW w:type="auto" w:w="0"/>
        <w:tblLayout w:type="fixed"/>
        <w:tblLook w:firstColumn="1" w:firstRow="1" w:lastColumn="0" w:lastRow="0" w:noHBand="0" w:noVBand="1" w:val="04A0"/>
      </w:tblPr>
      <w:tblGrid>
        <w:gridCol w:w="5112"/>
        <w:gridCol w:w="5112"/>
      </w:tblGrid>
      <w:tr>
        <w:tc>
          <w:tcPr>
            <w:tcW w:type="dxa" w:w="295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Evidence item</w:t>
            </w:r>
          </w:p>
        </w:tc>
        <w:tc>
          <w:tcPr>
            <w:tcW w:type="dxa" w:w="7200"/>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Pinned value</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Implementation SHA</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50a94c06bc1c419ca55738f15f074cc06ccc3f36</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Protocol-lock SHA-256</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33b25ebe46620626ae3d1bbbd6152fc3aacdb0e6200dd87e03c4fdec99e70db9</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Phase-0.5 config SHA-256</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befd7140cbf68cb981418cdc0c8880bb0652c2a6db614d05f61ad267297d519b</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Specification SHA-256</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c32dae3d702991e47387e1523004c9c02141ae331891a6b7a7e422079d72283e</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Simulator config SHA-256</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f093115ae47274680e8b7cf1c7fea440a739079881099227e5b8c4abc0320aa8</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Flow invocation wall time</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521.2366377040016 s (~8 m 41 s)</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End-to-end launcher elapsed</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00 h 09 m 11 s</w:t>
            </w:r>
          </w:p>
        </w:tc>
      </w:tr>
      <w:tr>
        <w:tc>
          <w:tcPr>
            <w:tcW w:type="dxa" w:w="2952"/>
            <w:vAlign w:val="center"/>
            <w:tcMar>
              <w:top w:w="60" w:type="dxa"/>
              <w:start w:w="80" w:type="dxa"/>
              <w:bottom w:w="60" w:type="dxa"/>
              <w:end w:w="80" w:type="dxa"/>
            </w:tcMar>
          </w:tcPr>
          <w:p>
            <w:pPr>
              <w:spacing w:before="0" w:after="0" w:line="240" w:lineRule="auto"/>
            </w:pPr>
            <w:r>
              <w:rPr>
                <w:rFonts w:ascii="Arial" w:hAnsi="Arial"/>
                <w:sz w:val="15"/>
              </w:rPr>
              <w:t>Official persisted scope</w:t>
            </w:r>
          </w:p>
        </w:tc>
        <w:tc>
          <w:tcPr>
            <w:tcW w:type="dxa" w:w="7200"/>
            <w:vAlign w:val="center"/>
            <w:tcMar>
              <w:top w:w="60" w:type="dxa"/>
              <w:start w:w="80" w:type="dxa"/>
              <w:bottom w:w="60" w:type="dxa"/>
              <w:end w:w="80" w:type="dxa"/>
            </w:tcMar>
          </w:tcPr>
          <w:p>
            <w:pPr>
              <w:spacing w:before="0" w:after="0" w:line="240" w:lineRule="auto"/>
            </w:pPr>
            <w:r>
              <w:rPr>
                <w:rFonts w:ascii="Arial" w:hAnsi="Arial"/>
                <w:sz w:val="15"/>
              </w:rPr>
              <w:t>60/60 Stage I-A flow cells; 360 metric rows; zero recorded execution failures</w:t>
            </w:r>
          </w:p>
        </w:tc>
      </w:tr>
    </w:tbl>
    <w:p>
      <w:pPr>
        <w:spacing w:before="100" w:after="60"/>
      </w:pPr>
      <w:r>
        <w:rPr>
          <w:rFonts w:ascii="Arial" w:hAnsi="Arial"/>
          <w:b/>
          <w:color w:val="17365D"/>
          <w:sz w:val="22"/>
        </w:rPr>
        <w:t>Repository evidence lineage</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656"/>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Layer</w:t>
            </w:r>
          </w:p>
        </w:tc>
        <w:tc>
          <w:tcPr>
            <w:tcW w:type="dxa" w:w="295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Artifact</w:t>
            </w:r>
          </w:p>
        </w:tc>
        <w:tc>
          <w:tcPr>
            <w:tcW w:type="dxa" w:w="3384"/>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Contents / transformation</w:t>
            </w:r>
          </w:p>
        </w:tc>
        <w:tc>
          <w:tcPr>
            <w:tcW w:type="dxa" w:w="208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Scientific role</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Official raw output</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raw/official_output/</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60 cell JSONs + flow gate + protocol/provenance</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Immutable source evidence</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Raw checksum manifest</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integrity/full_output_checksums.sha256</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SHA-256 over original output tree</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Byte-equivalence audit</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Analysis generator</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tools/analysis/phase05/generate_tables.py</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Deterministic flattening + paired recomputation</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No manual spreadsheet arithmetic</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Canonical metric surface</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tables/flow_cell_metrics.csv</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360 persisted test-metric rows</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Complete Stage I-A metric surface</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Gate verification</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tables/flow_gate_verified.csv</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Independent recomputation of both flow candidates</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Official decision integrity</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Exploratory tables</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tables/flow_bundle_effects.csv; flow_n_effects.csv; flow_metric_summary.csv</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Bundle/N/metric paired effects</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Postmortem only</w:t>
            </w:r>
          </w:p>
        </w:tc>
      </w:tr>
      <w:tr>
        <w:tc>
          <w:tcPr>
            <w:tcW w:type="dxa" w:w="1656"/>
            <w:vAlign w:val="center"/>
            <w:tcMar>
              <w:top w:w="60" w:type="dxa"/>
              <w:start w:w="80" w:type="dxa"/>
              <w:bottom w:w="60" w:type="dxa"/>
              <w:end w:w="80" w:type="dxa"/>
            </w:tcMar>
          </w:tcPr>
          <w:p>
            <w:pPr>
              <w:spacing w:before="0" w:after="0" w:line="240" w:lineRule="auto"/>
            </w:pPr>
            <w:r>
              <w:rPr>
                <w:rFonts w:ascii="Arial" w:hAnsi="Arial"/>
                <w:sz w:val="14"/>
              </w:rPr>
              <w:t>External archive</w:t>
            </w:r>
          </w:p>
        </w:tc>
        <w:tc>
          <w:tcPr>
            <w:tcW w:type="dxa" w:w="2952"/>
            <w:vAlign w:val="center"/>
            <w:tcMar>
              <w:top w:w="60" w:type="dxa"/>
              <w:start w:w="80" w:type="dxa"/>
              <w:bottom w:w="60" w:type="dxa"/>
              <w:end w:w="80" w:type="dxa"/>
            </w:tcMar>
          </w:tcPr>
          <w:p>
            <w:pPr>
              <w:spacing w:before="0" w:after="0" w:line="240" w:lineRule="auto"/>
            </w:pPr>
            <w:r>
              <w:rPr>
                <w:rFonts w:ascii="Arial" w:hAnsi="Arial"/>
                <w:sz w:val="14"/>
              </w:rPr>
              <w:t>phase05_official_50a94c.tar.zst</w:t>
            </w:r>
          </w:p>
        </w:tc>
        <w:tc>
          <w:tcPr>
            <w:tcW w:type="dxa" w:w="3384"/>
            <w:vAlign w:val="center"/>
            <w:tcMar>
              <w:top w:w="60" w:type="dxa"/>
              <w:start w:w="80" w:type="dxa"/>
              <w:bottom w:w="60" w:type="dxa"/>
              <w:end w:w="80" w:type="dxa"/>
            </w:tcMar>
          </w:tcPr>
          <w:p>
            <w:pPr>
              <w:spacing w:before="0" w:after="0" w:line="240" w:lineRule="auto"/>
            </w:pPr>
            <w:r>
              <w:rPr>
                <w:rFonts w:ascii="Arial" w:hAnsi="Arial"/>
                <w:sz w:val="14"/>
              </w:rPr>
              <w:t>zstd integrity test passed; digest recorded separately</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Durable off-Git copy</w:t>
            </w:r>
          </w:p>
        </w:tc>
      </w:tr>
    </w:tbl>
    <w:tbl>
      <w:tblPr>
        <w:tblW w:type="auto" w:w="0"/>
        <w:tblLayout w:type="autofit"/>
        <w:tblLook w:firstColumn="1" w:firstRow="1" w:lastColumn="0" w:lastRow="0" w:noHBand="0" w:noVBand="1" w:val="04A0"/>
      </w:tblPr>
      <w:tblGrid>
        <w:gridCol w:w="10224"/>
      </w:tblGrid>
      <w:tr>
        <w:tc>
          <w:tcPr>
            <w:tcW w:type="dxa" w:w="10224"/>
            <w:shd w:fill="FFF2CC"/>
            <w:tcMar>
              <w:top w:w="90" w:type="dxa"/>
              <w:start w:w="100" w:type="dxa"/>
              <w:bottom w:w="90" w:type="dxa"/>
              <w:end w:w="100" w:type="dxa"/>
            </w:tcMar>
          </w:tcPr>
          <w:p>
            <w:pPr>
              <w:spacing w:after="0"/>
            </w:pPr>
            <w:r>
              <w:rPr>
                <w:rFonts w:ascii="Arial" w:hAnsi="Arial"/>
                <w:b/>
                <w:color w:val="17365D"/>
                <w:sz w:val="19"/>
              </w:rPr>
              <w:t>Closeout note: the repository evidence manifest should be generated only after this final DOCX is placed in docs/results/phase05/, so the human decision record is itself covered by the final hash set.</w:t>
            </w:r>
          </w:p>
        </w:tc>
      </w:tr>
    </w:tbl>
    <w:p>
      <w:r>
        <w:br w:type="page"/>
      </w:r>
    </w:p>
    <w:p>
      <w:pPr>
        <w:pStyle w:val="Heading1"/>
        <w:keepNext/>
      </w:pPr>
      <w:r>
        <w:t>13. Complete Exploratory Metric Matrix</w:t>
      </w:r>
    </w:p>
    <w:tbl>
      <w:tblPr>
        <w:tblW w:type="auto" w:w="0"/>
        <w:tblLayout w:type="autofit"/>
        <w:tblLook w:firstColumn="1" w:firstRow="1" w:lastColumn="0" w:lastRow="0" w:noHBand="0" w:noVBand="1" w:val="04A0"/>
      </w:tblPr>
      <w:tblGrid>
        <w:gridCol w:w="10224"/>
      </w:tblGrid>
      <w:tr>
        <w:tc>
          <w:tcPr>
            <w:tcW w:type="dxa" w:w="10224"/>
            <w:shd w:fill="FCE4D6"/>
            <w:tcMar>
              <w:top w:w="90" w:type="dxa"/>
              <w:start w:w="100" w:type="dxa"/>
              <w:bottom w:w="90" w:type="dxa"/>
              <w:end w:w="100" w:type="dxa"/>
            </w:tcMar>
          </w:tcPr>
          <w:p>
            <w:pPr>
              <w:spacing w:after="0"/>
            </w:pPr>
            <w:r>
              <w:rPr>
                <w:rFonts w:ascii="Arial" w:hAnsi="Arial"/>
                <w:b/>
                <w:color w:val="17365D"/>
                <w:sz w:val="19"/>
              </w:rPr>
              <w:t>EVIDENCE CLASS: EXPLORATORY POSTMORTEM — NOT A PREREGISTERED SUCCESS CRITERION</w:t>
            </w:r>
          </w:p>
        </w:tc>
      </w:tr>
    </w:tbl>
    <w:p>
      <w:pPr>
        <w:spacing w:after="100" w:line="245" w:lineRule="auto"/>
      </w:pPr>
      <w:r>
        <w:rPr>
          <w:rFonts w:ascii="Arial" w:hAnsi="Arial"/>
          <w:sz w:val="19"/>
        </w:rPr>
        <w:t>The table below expands the time-scaled-flow postmortem across every persisted metric and every primary training budget. Effects are oriented so that positive values always favor time-scaled flow. The value in parentheses is the number of development bundles, out of five, in which the candidate was better.</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208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Metric</w:t>
            </w:r>
          </w:p>
        </w:tc>
        <w:tc>
          <w:tcPr>
            <w:tcW w:type="dxa" w:w="100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Better</w:t>
            </w:r>
          </w:p>
        </w:tc>
        <w:tc>
          <w:tcPr>
            <w:tcW w:type="dxa" w:w="172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N=5 effect</w:t>
            </w:r>
          </w:p>
        </w:tc>
        <w:tc>
          <w:tcPr>
            <w:tcW w:type="dxa" w:w="172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N=10 effect</w:t>
            </w:r>
          </w:p>
        </w:tc>
        <w:tc>
          <w:tcPr>
            <w:tcW w:type="dxa" w:w="172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N=20 effect</w:t>
            </w:r>
          </w:p>
        </w:tc>
        <w:tc>
          <w:tcPr>
            <w:tcW w:type="dxa" w:w="172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N=40 effect</w:t>
            </w:r>
          </w:p>
        </w:tc>
      </w:tr>
      <w:tr>
        <w:tc>
          <w:tcPr>
            <w:tcW w:type="dxa" w:w="2088"/>
            <w:vAlign w:val="center"/>
            <w:tcMar>
              <w:top w:w="60" w:type="dxa"/>
              <w:start w:w="80" w:type="dxa"/>
              <w:bottom w:w="60" w:type="dxa"/>
              <w:end w:w="80" w:type="dxa"/>
            </w:tcMar>
          </w:tcPr>
          <w:p>
            <w:pPr>
              <w:spacing w:before="0" w:after="0" w:line="240" w:lineRule="auto"/>
            </w:pPr>
            <w:r>
              <w:rPr>
                <w:rFonts w:ascii="Arial" w:hAnsi="Arial"/>
                <w:sz w:val="15"/>
              </w:rPr>
              <w:t>MAE</w:t>
            </w:r>
          </w:p>
        </w:tc>
        <w:tc>
          <w:tcPr>
            <w:tcW w:type="dxa" w:w="1008"/>
            <w:vAlign w:val="center"/>
            <w:tcMar>
              <w:top w:w="60" w:type="dxa"/>
              <w:start w:w="80" w:type="dxa"/>
              <w:bottom w:w="60" w:type="dxa"/>
              <w:end w:w="80" w:type="dxa"/>
            </w:tcMar>
          </w:tcPr>
          <w:p>
            <w:pPr>
              <w:spacing w:before="0" w:after="0" w:line="240" w:lineRule="auto"/>
            </w:pPr>
            <w:r>
              <w:rPr>
                <w:rFonts w:ascii="Arial" w:hAnsi="Arial"/>
                <w:sz w:val="15"/>
              </w:rPr>
              <w:t>lower</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-0.009270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-0.006848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-0.000566 (2/5)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+0.029968 (4/5)</w:t>
            </w:r>
          </w:p>
        </w:tc>
      </w:tr>
      <w:tr>
        <w:tc>
          <w:tcPr>
            <w:tcW w:type="dxa" w:w="2088"/>
            <w:vAlign w:val="center"/>
            <w:tcMar>
              <w:top w:w="60" w:type="dxa"/>
              <w:start w:w="80" w:type="dxa"/>
              <w:bottom w:w="60" w:type="dxa"/>
              <w:end w:w="80" w:type="dxa"/>
            </w:tcMar>
          </w:tcPr>
          <w:p>
            <w:pPr>
              <w:spacing w:before="0" w:after="0" w:line="240" w:lineRule="auto"/>
            </w:pPr>
            <w:r>
              <w:rPr>
                <w:rFonts w:ascii="Arial" w:hAnsi="Arial"/>
                <w:sz w:val="15"/>
              </w:rPr>
              <w:t>RMSE</w:t>
            </w:r>
          </w:p>
        </w:tc>
        <w:tc>
          <w:tcPr>
            <w:tcW w:type="dxa" w:w="1008"/>
            <w:vAlign w:val="center"/>
            <w:tcMar>
              <w:top w:w="60" w:type="dxa"/>
              <w:start w:w="80" w:type="dxa"/>
              <w:bottom w:w="60" w:type="dxa"/>
              <w:end w:w="80" w:type="dxa"/>
            </w:tcMar>
          </w:tcPr>
          <w:p>
            <w:pPr>
              <w:spacing w:before="0" w:after="0" w:line="240" w:lineRule="auto"/>
            </w:pPr>
            <w:r>
              <w:rPr>
                <w:rFonts w:ascii="Arial" w:hAnsi="Arial"/>
                <w:sz w:val="15"/>
              </w:rPr>
              <w:t>lower</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-0.009791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-0.011036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+0.000679 (2/5)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+0.048872 (4/5)</w:t>
            </w:r>
          </w:p>
        </w:tc>
      </w:tr>
      <w:tr>
        <w:tc>
          <w:tcPr>
            <w:tcW w:type="dxa" w:w="2088"/>
            <w:vAlign w:val="center"/>
            <w:tcMar>
              <w:top w:w="60" w:type="dxa"/>
              <w:start w:w="80" w:type="dxa"/>
              <w:bottom w:w="60" w:type="dxa"/>
              <w:end w:w="80" w:type="dxa"/>
            </w:tcMar>
          </w:tcPr>
          <w:p>
            <w:pPr>
              <w:spacing w:before="0" w:after="0" w:line="240" w:lineRule="auto"/>
            </w:pPr>
            <w:r>
              <w:rPr>
                <w:rFonts w:ascii="Arial" w:hAnsi="Arial"/>
                <w:sz w:val="15"/>
              </w:rPr>
              <w:t>Latent aligned R²</w:t>
            </w:r>
          </w:p>
        </w:tc>
        <w:tc>
          <w:tcPr>
            <w:tcW w:type="dxa" w:w="1008"/>
            <w:vAlign w:val="center"/>
            <w:tcMar>
              <w:top w:w="60" w:type="dxa"/>
              <w:start w:w="80" w:type="dxa"/>
              <w:bottom w:w="60" w:type="dxa"/>
              <w:end w:w="80" w:type="dxa"/>
            </w:tcMar>
          </w:tcPr>
          <w:p>
            <w:pPr>
              <w:spacing w:before="0" w:after="0" w:line="240" w:lineRule="auto"/>
            </w:pPr>
            <w:r>
              <w:rPr>
                <w:rFonts w:ascii="Arial" w:hAnsi="Arial"/>
                <w:sz w:val="15"/>
              </w:rPr>
              <w:t>higher</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-0.017946 (2/5)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-0.007767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-0.027479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-0.012063 (1/5)</w:t>
            </w:r>
          </w:p>
        </w:tc>
      </w:tr>
      <w:tr>
        <w:tc>
          <w:tcPr>
            <w:tcW w:type="dxa" w:w="2088"/>
            <w:vAlign w:val="center"/>
            <w:tcMar>
              <w:top w:w="60" w:type="dxa"/>
              <w:start w:w="80" w:type="dxa"/>
              <w:bottom w:w="60" w:type="dxa"/>
              <w:end w:w="80" w:type="dxa"/>
            </w:tcMar>
          </w:tcPr>
          <w:p>
            <w:pPr>
              <w:spacing w:before="0" w:after="0" w:line="240" w:lineRule="auto"/>
            </w:pPr>
            <w:r>
              <w:rPr>
                <w:rFonts w:ascii="Arial" w:hAnsi="Arial"/>
                <w:sz w:val="15"/>
              </w:rPr>
              <w:t>Event Brier</w:t>
            </w:r>
          </w:p>
        </w:tc>
        <w:tc>
          <w:tcPr>
            <w:tcW w:type="dxa" w:w="1008"/>
            <w:vAlign w:val="center"/>
            <w:tcMar>
              <w:top w:w="60" w:type="dxa"/>
              <w:start w:w="80" w:type="dxa"/>
              <w:bottom w:w="60" w:type="dxa"/>
              <w:end w:w="80" w:type="dxa"/>
            </w:tcMar>
          </w:tcPr>
          <w:p>
            <w:pPr>
              <w:spacing w:before="0" w:after="0" w:line="240" w:lineRule="auto"/>
            </w:pPr>
            <w:r>
              <w:rPr>
                <w:rFonts w:ascii="Arial" w:hAnsi="Arial"/>
                <w:sz w:val="15"/>
              </w:rPr>
              <w:t>lower</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-0.000884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-0.002585 (2/5)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-0.002951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-0.002222 (2/5)</w:t>
            </w:r>
          </w:p>
        </w:tc>
      </w:tr>
      <w:tr>
        <w:tc>
          <w:tcPr>
            <w:tcW w:type="dxa" w:w="2088"/>
            <w:vAlign w:val="center"/>
            <w:tcMar>
              <w:top w:w="60" w:type="dxa"/>
              <w:start w:w="80" w:type="dxa"/>
              <w:bottom w:w="60" w:type="dxa"/>
              <w:end w:w="80" w:type="dxa"/>
            </w:tcMar>
          </w:tcPr>
          <w:p>
            <w:pPr>
              <w:spacing w:before="0" w:after="0" w:line="240" w:lineRule="auto"/>
            </w:pPr>
            <w:r>
              <w:rPr>
                <w:rFonts w:ascii="Arial" w:hAnsi="Arial"/>
                <w:sz w:val="15"/>
              </w:rPr>
              <w:t>Event log-loss</w:t>
            </w:r>
          </w:p>
        </w:tc>
        <w:tc>
          <w:tcPr>
            <w:tcW w:type="dxa" w:w="1008"/>
            <w:vAlign w:val="center"/>
            <w:tcMar>
              <w:top w:w="60" w:type="dxa"/>
              <w:start w:w="80" w:type="dxa"/>
              <w:bottom w:w="60" w:type="dxa"/>
              <w:end w:w="80" w:type="dxa"/>
            </w:tcMar>
          </w:tcPr>
          <w:p>
            <w:pPr>
              <w:spacing w:before="0" w:after="0" w:line="240" w:lineRule="auto"/>
            </w:pPr>
            <w:r>
              <w:rPr>
                <w:rFonts w:ascii="Arial" w:hAnsi="Arial"/>
                <w:sz w:val="15"/>
              </w:rPr>
              <w:t>lower</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-0.023400 (0/5)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-0.014158 (0/5)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-0.011536 (1/5)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-0.007666 (2/5)</w:t>
            </w:r>
          </w:p>
        </w:tc>
      </w:tr>
      <w:tr>
        <w:tc>
          <w:tcPr>
            <w:tcW w:type="dxa" w:w="2088"/>
            <w:vAlign w:val="center"/>
            <w:tcMar>
              <w:top w:w="60" w:type="dxa"/>
              <w:start w:w="80" w:type="dxa"/>
              <w:bottom w:w="60" w:type="dxa"/>
              <w:end w:w="80" w:type="dxa"/>
            </w:tcMar>
          </w:tcPr>
          <w:p>
            <w:pPr>
              <w:spacing w:before="0" w:after="0" w:line="240" w:lineRule="auto"/>
            </w:pPr>
            <w:r>
              <w:rPr>
                <w:rFonts w:ascii="Arial" w:hAnsi="Arial"/>
                <w:sz w:val="15"/>
              </w:rPr>
              <w:t>Event ROC-AUC</w:t>
            </w:r>
          </w:p>
        </w:tc>
        <w:tc>
          <w:tcPr>
            <w:tcW w:type="dxa" w:w="1008"/>
            <w:vAlign w:val="center"/>
            <w:tcMar>
              <w:top w:w="60" w:type="dxa"/>
              <w:start w:w="80" w:type="dxa"/>
              <w:bottom w:w="60" w:type="dxa"/>
              <w:end w:w="80" w:type="dxa"/>
            </w:tcMar>
          </w:tcPr>
          <w:p>
            <w:pPr>
              <w:spacing w:before="0" w:after="0" w:line="240" w:lineRule="auto"/>
            </w:pPr>
            <w:r>
              <w:rPr>
                <w:rFonts w:ascii="Arial" w:hAnsi="Arial"/>
                <w:sz w:val="15"/>
              </w:rPr>
              <w:t>higher</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+0.006571 (3/5)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+0.007873 (4/5)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+0.012929 (4/5)</w:t>
            </w:r>
          </w:p>
        </w:tc>
        <w:tc>
          <w:tcPr>
            <w:tcW w:type="dxa" w:w="1728"/>
            <w:vAlign w:val="center"/>
            <w:tcMar>
              <w:top w:w="60" w:type="dxa"/>
              <w:start w:w="80" w:type="dxa"/>
              <w:bottom w:w="60" w:type="dxa"/>
              <w:end w:w="80" w:type="dxa"/>
            </w:tcMar>
          </w:tcPr>
          <w:p>
            <w:pPr>
              <w:spacing w:before="0" w:after="0" w:line="240" w:lineRule="auto"/>
            </w:pPr>
            <w:r>
              <w:rPr>
                <w:rFonts w:ascii="Arial" w:hAnsi="Arial"/>
                <w:sz w:val="15"/>
              </w:rPr>
              <w:t>+0.017878 (4/5)</w:t>
            </w:r>
          </w:p>
        </w:tc>
      </w:tr>
    </w:tbl>
    <w:p>
      <w:pPr>
        <w:spacing w:before="140" w:after="60"/>
      </w:pPr>
      <w:r>
        <w:rPr>
          <w:rFonts w:ascii="Arial" w:hAnsi="Arial"/>
          <w:b/>
          <w:color w:val="17365D"/>
          <w:sz w:val="22"/>
        </w:rPr>
        <w:t>N=40 predictive-versus-mechanistic divergence</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944"/>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Metric</w:t>
            </w:r>
          </w:p>
        </w:tc>
        <w:tc>
          <w:tcPr>
            <w:tcW w:type="dxa" w:w="151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Candidate mean</w:t>
            </w:r>
          </w:p>
        </w:tc>
        <w:tc>
          <w:tcPr>
            <w:tcW w:type="dxa" w:w="151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Control mean</w:t>
            </w:r>
          </w:p>
        </w:tc>
        <w:tc>
          <w:tcPr>
            <w:tcW w:type="dxa" w:w="151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Oriented effect</w:t>
            </w:r>
          </w:p>
        </w:tc>
        <w:tc>
          <w:tcPr>
            <w:tcW w:type="dxa" w:w="864"/>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Wins</w:t>
            </w:r>
          </w:p>
        </w:tc>
        <w:tc>
          <w:tcPr>
            <w:tcW w:type="dxa" w:w="2880"/>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5"/>
              </w:rPr>
              <w:t>Interpretation</w:t>
            </w:r>
          </w:p>
        </w:tc>
      </w:tr>
      <w:tr>
        <w:tc>
          <w:tcPr>
            <w:tcW w:type="dxa" w:w="1944"/>
            <w:vAlign w:val="center"/>
            <w:tcMar>
              <w:top w:w="60" w:type="dxa"/>
              <w:start w:w="80" w:type="dxa"/>
              <w:bottom w:w="60" w:type="dxa"/>
              <w:end w:w="80" w:type="dxa"/>
            </w:tcMar>
          </w:tcPr>
          <w:p>
            <w:pPr>
              <w:spacing w:before="0" w:after="0" w:line="240" w:lineRule="auto"/>
            </w:pPr>
            <w:r>
              <w:rPr>
                <w:rFonts w:ascii="Arial" w:hAnsi="Arial"/>
                <w:sz w:val="15"/>
              </w:rPr>
              <w:t>MAE</w:t>
            </w:r>
          </w:p>
        </w:tc>
        <w:tc>
          <w:tcPr>
            <w:tcW w:type="dxa" w:w="1512"/>
            <w:vAlign w:val="center"/>
            <w:tcMar>
              <w:top w:w="60" w:type="dxa"/>
              <w:start w:w="80" w:type="dxa"/>
              <w:bottom w:w="60" w:type="dxa"/>
              <w:end w:w="80" w:type="dxa"/>
            </w:tcMar>
          </w:tcPr>
          <w:p>
            <w:pPr>
              <w:spacing w:before="0" w:after="0" w:line="240" w:lineRule="auto"/>
            </w:pPr>
            <w:r>
              <w:rPr>
                <w:rFonts w:ascii="Arial" w:hAnsi="Arial"/>
                <w:sz w:val="15"/>
              </w:rPr>
              <w:t>0.284985</w:t>
            </w:r>
          </w:p>
        </w:tc>
        <w:tc>
          <w:tcPr>
            <w:tcW w:type="dxa" w:w="1512"/>
            <w:vAlign w:val="center"/>
            <w:tcMar>
              <w:top w:w="60" w:type="dxa"/>
              <w:start w:w="80" w:type="dxa"/>
              <w:bottom w:w="60" w:type="dxa"/>
              <w:end w:w="80" w:type="dxa"/>
            </w:tcMar>
          </w:tcPr>
          <w:p>
            <w:pPr>
              <w:spacing w:before="0" w:after="0" w:line="240" w:lineRule="auto"/>
            </w:pPr>
            <w:r>
              <w:rPr>
                <w:rFonts w:ascii="Arial" w:hAnsi="Arial"/>
                <w:sz w:val="15"/>
              </w:rPr>
              <w:t>0.314953</w:t>
            </w:r>
          </w:p>
        </w:tc>
        <w:tc>
          <w:tcPr>
            <w:tcW w:type="dxa" w:w="1512"/>
            <w:vAlign w:val="center"/>
            <w:tcMar>
              <w:top w:w="60" w:type="dxa"/>
              <w:start w:w="80" w:type="dxa"/>
              <w:bottom w:w="60" w:type="dxa"/>
              <w:end w:w="80" w:type="dxa"/>
            </w:tcMar>
          </w:tcPr>
          <w:p>
            <w:pPr>
              <w:spacing w:before="0" w:after="0" w:line="240" w:lineRule="auto"/>
            </w:pPr>
            <w:r>
              <w:rPr>
                <w:rFonts w:ascii="Arial" w:hAnsi="Arial"/>
                <w:sz w:val="15"/>
              </w:rPr>
              <w:t>+0.029968</w:t>
            </w:r>
          </w:p>
        </w:tc>
        <w:tc>
          <w:tcPr>
            <w:tcW w:type="dxa" w:w="864"/>
            <w:vAlign w:val="center"/>
            <w:tcMar>
              <w:top w:w="60" w:type="dxa"/>
              <w:start w:w="80" w:type="dxa"/>
              <w:bottom w:w="60" w:type="dxa"/>
              <w:end w:w="80" w:type="dxa"/>
            </w:tcMar>
          </w:tcPr>
          <w:p>
            <w:pPr>
              <w:spacing w:before="0" w:after="0" w:line="240" w:lineRule="auto"/>
            </w:pPr>
            <w:r>
              <w:rPr>
                <w:rFonts w:ascii="Arial" w:hAnsi="Arial"/>
                <w:sz w:val="15"/>
              </w:rPr>
              <w:t>4/5</w:t>
            </w:r>
          </w:p>
        </w:tc>
        <w:tc>
          <w:tcPr>
            <w:tcW w:type="dxa" w:w="2880"/>
            <w:vAlign w:val="center"/>
            <w:tcMar>
              <w:top w:w="60" w:type="dxa"/>
              <w:start w:w="80" w:type="dxa"/>
              <w:bottom w:w="60" w:type="dxa"/>
              <w:end w:w="80" w:type="dxa"/>
            </w:tcMar>
          </w:tcPr>
          <w:p>
            <w:pPr>
              <w:spacing w:before="0" w:after="0" w:line="240" w:lineRule="auto"/>
            </w:pPr>
            <w:r>
              <w:rPr>
                <w:rFonts w:ascii="Arial" w:hAnsi="Arial"/>
                <w:sz w:val="15"/>
              </w:rPr>
              <w:t>Predictive error improves</w:t>
            </w:r>
          </w:p>
        </w:tc>
      </w:tr>
      <w:tr>
        <w:tc>
          <w:tcPr>
            <w:tcW w:type="dxa" w:w="1944"/>
            <w:vAlign w:val="center"/>
            <w:tcMar>
              <w:top w:w="60" w:type="dxa"/>
              <w:start w:w="80" w:type="dxa"/>
              <w:bottom w:w="60" w:type="dxa"/>
              <w:end w:w="80" w:type="dxa"/>
            </w:tcMar>
          </w:tcPr>
          <w:p>
            <w:pPr>
              <w:spacing w:before="0" w:after="0" w:line="240" w:lineRule="auto"/>
            </w:pPr>
            <w:r>
              <w:rPr>
                <w:rFonts w:ascii="Arial" w:hAnsi="Arial"/>
                <w:sz w:val="15"/>
              </w:rPr>
              <w:t>Latent aligned R²</w:t>
            </w:r>
          </w:p>
        </w:tc>
        <w:tc>
          <w:tcPr>
            <w:tcW w:type="dxa" w:w="1512"/>
            <w:vAlign w:val="center"/>
            <w:tcMar>
              <w:top w:w="60" w:type="dxa"/>
              <w:start w:w="80" w:type="dxa"/>
              <w:bottom w:w="60" w:type="dxa"/>
              <w:end w:w="80" w:type="dxa"/>
            </w:tcMar>
          </w:tcPr>
          <w:p>
            <w:pPr>
              <w:spacing w:before="0" w:after="0" w:line="240" w:lineRule="auto"/>
            </w:pPr>
            <w:r>
              <w:rPr>
                <w:rFonts w:ascii="Arial" w:hAnsi="Arial"/>
                <w:sz w:val="15"/>
              </w:rPr>
              <w:t>0.303137</w:t>
            </w:r>
          </w:p>
        </w:tc>
        <w:tc>
          <w:tcPr>
            <w:tcW w:type="dxa" w:w="1512"/>
            <w:vAlign w:val="center"/>
            <w:tcMar>
              <w:top w:w="60" w:type="dxa"/>
              <w:start w:w="80" w:type="dxa"/>
              <w:bottom w:w="60" w:type="dxa"/>
              <w:end w:w="80" w:type="dxa"/>
            </w:tcMar>
          </w:tcPr>
          <w:p>
            <w:pPr>
              <w:spacing w:before="0" w:after="0" w:line="240" w:lineRule="auto"/>
            </w:pPr>
            <w:r>
              <w:rPr>
                <w:rFonts w:ascii="Arial" w:hAnsi="Arial"/>
                <w:sz w:val="15"/>
              </w:rPr>
              <w:t>0.315199</w:t>
            </w:r>
          </w:p>
        </w:tc>
        <w:tc>
          <w:tcPr>
            <w:tcW w:type="dxa" w:w="1512"/>
            <w:vAlign w:val="center"/>
            <w:tcMar>
              <w:top w:w="60" w:type="dxa"/>
              <w:start w:w="80" w:type="dxa"/>
              <w:bottom w:w="60" w:type="dxa"/>
              <w:end w:w="80" w:type="dxa"/>
            </w:tcMar>
          </w:tcPr>
          <w:p>
            <w:pPr>
              <w:spacing w:before="0" w:after="0" w:line="240" w:lineRule="auto"/>
            </w:pPr>
            <w:r>
              <w:rPr>
                <w:rFonts w:ascii="Arial" w:hAnsi="Arial"/>
                <w:sz w:val="15"/>
              </w:rPr>
              <w:t>-0.012063</w:t>
            </w:r>
          </w:p>
        </w:tc>
        <w:tc>
          <w:tcPr>
            <w:tcW w:type="dxa" w:w="864"/>
            <w:vAlign w:val="center"/>
            <w:tcMar>
              <w:top w:w="60" w:type="dxa"/>
              <w:start w:w="80" w:type="dxa"/>
              <w:bottom w:w="60" w:type="dxa"/>
              <w:end w:w="80" w:type="dxa"/>
            </w:tcMar>
          </w:tcPr>
          <w:p>
            <w:pPr>
              <w:spacing w:before="0" w:after="0" w:line="240" w:lineRule="auto"/>
            </w:pPr>
            <w:r>
              <w:rPr>
                <w:rFonts w:ascii="Arial" w:hAnsi="Arial"/>
                <w:sz w:val="15"/>
              </w:rPr>
              <w:t>1/5</w:t>
            </w:r>
          </w:p>
        </w:tc>
        <w:tc>
          <w:tcPr>
            <w:tcW w:type="dxa" w:w="2880"/>
            <w:vAlign w:val="center"/>
            <w:tcMar>
              <w:top w:w="60" w:type="dxa"/>
              <w:start w:w="80" w:type="dxa"/>
              <w:bottom w:w="60" w:type="dxa"/>
              <w:end w:w="80" w:type="dxa"/>
            </w:tcMar>
          </w:tcPr>
          <w:p>
            <w:pPr>
              <w:spacing w:before="0" w:after="0" w:line="240" w:lineRule="auto"/>
            </w:pPr>
            <w:r>
              <w:rPr>
                <w:rFonts w:ascii="Arial" w:hAnsi="Arial"/>
                <w:sz w:val="15"/>
              </w:rPr>
              <w:t>Latent recovery worsens</w:t>
            </w:r>
          </w:p>
        </w:tc>
      </w:tr>
    </w:tbl>
    <w:p>
      <w:pPr>
        <w:spacing w:after="100" w:line="245" w:lineRule="auto"/>
      </w:pPr>
      <w:r>
        <w:rPr>
          <w:rFonts w:ascii="Arial" w:hAnsi="Arial"/>
          <w:sz w:val="18"/>
        </w:rPr>
        <w:t>The N=40 pattern is therefore internally asymmetric: value prediction becomes favorable, while the known simulator latent state is not recovered more faithfully and probability calibration remains unfavorable. This supports the narrower description "late predictive crossover" and argues against labeling the signal as successful mechanistic recovery.</w:t>
      </w:r>
    </w:p>
    <w:tbl>
      <w:tblPr>
        <w:tblW w:type="auto" w:w="0"/>
        <w:tblLayout w:type="autofit"/>
        <w:tblLook w:firstColumn="1" w:firstRow="1" w:lastColumn="0" w:lastRow="0" w:noHBand="0" w:noVBand="1" w:val="04A0"/>
      </w:tblPr>
      <w:tblGrid>
        <w:gridCol w:w="10224"/>
      </w:tblGrid>
      <w:tr>
        <w:tc>
          <w:tcPr>
            <w:tcW w:type="dxa" w:w="10224"/>
            <w:shd w:fill="FFF2CC"/>
            <w:tcMar>
              <w:top w:w="90" w:type="dxa"/>
              <w:start w:w="100" w:type="dxa"/>
              <w:bottom w:w="90" w:type="dxa"/>
              <w:end w:w="100" w:type="dxa"/>
            </w:tcMar>
          </w:tcPr>
          <w:p>
            <w:pPr>
              <w:spacing w:after="0"/>
            </w:pPr>
            <w:r>
              <w:rPr>
                <w:rFonts w:ascii="Arial" w:hAnsi="Arial"/>
                <w:b/>
                <w:color w:val="17365D"/>
                <w:sz w:val="19"/>
              </w:rPr>
              <w:t>Interpretation guardrail: Stage I-A remains failed because the official decision statistic is paired MAE nAULC across N={5,10,20,40}, with the locked 4.1567% effect floor and 4/5 consistency requirement. No N-specific postmortem row can retrospectively replace that criterion.</w:t>
            </w:r>
          </w:p>
        </w:tc>
      </w:tr>
    </w:tbl>
    <w:p>
      <w:r>
        <w:br w:type="page"/>
      </w:r>
    </w:p>
    <w:p>
      <w:pPr>
        <w:pStyle w:val="Heading1"/>
        <w:keepNext/>
      </w:pPr>
      <w:r>
        <w:t>14. Phase-0 → Phase-0.5 → Phase-0.6 Reasoning Chain</w:t>
      </w:r>
    </w:p>
    <w:tbl>
      <w:tblPr>
        <w:tblW w:type="auto" w:w="0"/>
        <w:tblLayout w:type="autofit"/>
        <w:tblLook w:firstColumn="1" w:firstRow="1" w:lastColumn="0" w:lastRow="0" w:noHBand="0" w:noVBand="1" w:val="04A0"/>
      </w:tblPr>
      <w:tblGrid>
        <w:gridCol w:w="10224"/>
      </w:tblGrid>
      <w:tr>
        <w:tc>
          <w:tcPr>
            <w:tcW w:type="dxa" w:w="10224"/>
            <w:shd w:fill="D9EAF7"/>
            <w:tcMar>
              <w:top w:w="90" w:type="dxa"/>
              <w:start w:w="100" w:type="dxa"/>
              <w:bottom w:w="90" w:type="dxa"/>
              <w:end w:w="100" w:type="dxa"/>
            </w:tcMar>
          </w:tcPr>
          <w:p>
            <w:pPr>
              <w:spacing w:after="0"/>
            </w:pPr>
            <w:r>
              <w:rPr>
                <w:rFonts w:ascii="Arial" w:hAnsi="Arial"/>
                <w:b/>
                <w:color w:val="17365D"/>
                <w:sz w:val="19"/>
              </w:rPr>
              <w:t>STATUS: PHASE-0.6 IS A SEPARATE DIAGNOSTIC PROGRAM; CONFIRMATORY BUNDLES REMAIN PROTECTED</w:t>
            </w:r>
          </w:p>
        </w:tc>
      </w:tr>
    </w:tbl>
    <w:p>
      <w:pPr>
        <w:spacing w:after="100" w:line="245" w:lineRule="auto"/>
      </w:pPr>
      <w:r>
        <w:rPr>
          <w:rFonts w:ascii="Arial" w:hAnsi="Arial"/>
          <w:sz w:val="19"/>
        </w:rPr>
        <w:t>The negative Phase-0.5 result narrows the next scientific question. The next step is not to resume the stopped protocol or try another mechanism opportunistically; it is to identify why the time-scaled model exhibits seed- and N-dependent predictive behavior without corresponding latent recovery.</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15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Phase</w:t>
            </w:r>
          </w:p>
        </w:tc>
        <w:tc>
          <w:tcPr>
            <w:tcW w:type="dxa" w:w="259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Falsified / unresolved claim</w:t>
            </w:r>
          </w:p>
        </w:tc>
        <w:tc>
          <w:tcPr>
            <w:tcW w:type="dxa" w:w="4392"/>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Key evidence</w:t>
            </w:r>
          </w:p>
        </w:tc>
        <w:tc>
          <w:tcPr>
            <w:tcW w:type="dxa" w:w="2088"/>
            <w:vAlign w:val="center"/>
            <w:tcMar>
              <w:top w:w="60" w:type="dxa"/>
              <w:start w:w="80" w:type="dxa"/>
              <w:bottom w:w="60" w:type="dxa"/>
              <w:end w:w="80" w:type="dxa"/>
            </w:tcMar>
            <w:shd w:fill="17365D"/>
          </w:tcPr>
          <w:p>
            <w:pPr>
              <w:spacing w:before="0" w:after="0" w:line="240" w:lineRule="auto"/>
              <w:jc w:val="center"/>
            </w:pPr>
            <w:r>
              <w:rPr>
                <w:rFonts w:ascii="Arial" w:hAnsi="Arial"/>
                <w:b/>
                <w:color w:val="FFFFFF"/>
                <w:sz w:val="14"/>
              </w:rPr>
              <w:t>Authorized consequence</w:t>
            </w:r>
          </w:p>
        </w:tc>
      </w:tr>
      <w:tr>
        <w:tc>
          <w:tcPr>
            <w:tcW w:type="dxa" w:w="1152"/>
            <w:vAlign w:val="center"/>
            <w:tcMar>
              <w:top w:w="60" w:type="dxa"/>
              <w:start w:w="80" w:type="dxa"/>
              <w:bottom w:w="60" w:type="dxa"/>
              <w:end w:w="80" w:type="dxa"/>
            </w:tcMar>
          </w:tcPr>
          <w:p>
            <w:pPr>
              <w:spacing w:before="0" w:after="0" w:line="240" w:lineRule="auto"/>
            </w:pPr>
            <w:r>
              <w:rPr>
                <w:rFonts w:ascii="Arial" w:hAnsi="Arial"/>
                <w:sz w:val="14"/>
              </w:rPr>
              <w:t>Phase 0</w:t>
            </w:r>
          </w:p>
        </w:tc>
        <w:tc>
          <w:tcPr>
            <w:tcW w:type="dxa" w:w="2592"/>
            <w:vAlign w:val="center"/>
            <w:tcMar>
              <w:top w:w="60" w:type="dxa"/>
              <w:start w:w="80" w:type="dxa"/>
              <w:bottom w:w="60" w:type="dxa"/>
              <w:end w:w="80" w:type="dxa"/>
            </w:tcMar>
          </w:tcPr>
          <w:p>
            <w:pPr>
              <w:spacing w:before="0" w:after="0" w:line="240" w:lineRule="auto"/>
            </w:pPr>
            <w:r>
              <w:rPr>
                <w:rFonts w:ascii="Arial" w:hAnsi="Arial"/>
                <w:sz w:val="14"/>
              </w:rPr>
              <w:t>Extreme-low-N advantage not established</w:t>
            </w:r>
          </w:p>
        </w:tc>
        <w:tc>
          <w:tcPr>
            <w:tcW w:type="dxa" w:w="4392"/>
            <w:vAlign w:val="center"/>
            <w:tcMar>
              <w:top w:w="60" w:type="dxa"/>
              <w:start w:w="80" w:type="dxa"/>
              <w:bottom w:w="60" w:type="dxa"/>
              <w:end w:w="80" w:type="dxa"/>
            </w:tcMar>
          </w:tcPr>
          <w:p>
            <w:pPr>
              <w:spacing w:before="0" w:after="0" w:line="240" w:lineRule="auto"/>
            </w:pPr>
            <w:r>
              <w:rPr>
                <w:rFonts w:ascii="Arial" w:hAnsi="Arial"/>
                <w:sz w:val="14"/>
              </w:rPr>
              <w:t>0/12 primary N≤40 simultaneous mean-MAE wins; crossover appeared only around N≈80–100</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Mechanistic redesign required</w:t>
            </w:r>
          </w:p>
        </w:tc>
      </w:tr>
      <w:tr>
        <w:tc>
          <w:tcPr>
            <w:tcW w:type="dxa" w:w="1152"/>
            <w:vAlign w:val="center"/>
            <w:tcMar>
              <w:top w:w="60" w:type="dxa"/>
              <w:start w:w="80" w:type="dxa"/>
              <w:bottom w:w="60" w:type="dxa"/>
              <w:end w:w="80" w:type="dxa"/>
            </w:tcMar>
          </w:tcPr>
          <w:p>
            <w:pPr>
              <w:spacing w:before="0" w:after="0" w:line="240" w:lineRule="auto"/>
            </w:pPr>
            <w:r>
              <w:rPr>
                <w:rFonts w:ascii="Arial" w:hAnsi="Arial"/>
                <w:sz w:val="14"/>
              </w:rPr>
              <w:t>Phase 0.5</w:t>
            </w:r>
          </w:p>
        </w:tc>
        <w:tc>
          <w:tcPr>
            <w:tcW w:type="dxa" w:w="2592"/>
            <w:vAlign w:val="center"/>
            <w:tcMar>
              <w:top w:w="60" w:type="dxa"/>
              <w:start w:w="80" w:type="dxa"/>
              <w:bottom w:w="60" w:type="dxa"/>
              <w:end w:w="80" w:type="dxa"/>
            </w:tcMar>
          </w:tcPr>
          <w:p>
            <w:pPr>
              <w:spacing w:before="0" w:after="0" w:line="240" w:lineRule="auto"/>
            </w:pPr>
            <w:r>
              <w:rPr>
                <w:rFonts w:ascii="Arial" w:hAnsi="Arial"/>
                <w:sz w:val="14"/>
              </w:rPr>
              <w:t>Flow mechanism gate not established</w:t>
            </w:r>
          </w:p>
        </w:tc>
        <w:tc>
          <w:tcPr>
            <w:tcW w:type="dxa" w:w="4392"/>
            <w:vAlign w:val="center"/>
            <w:tcMar>
              <w:top w:w="60" w:type="dxa"/>
              <w:start w:w="80" w:type="dxa"/>
              <w:bottom w:w="60" w:type="dxa"/>
              <w:end w:w="80" w:type="dxa"/>
            </w:tcMar>
          </w:tcPr>
          <w:p>
            <w:pPr>
              <w:spacing w:before="0" w:after="0" w:line="240" w:lineRule="auto"/>
            </w:pPr>
            <w:r>
              <w:rPr>
                <w:rFonts w:ascii="Arial" w:hAnsi="Arial"/>
                <w:sz w:val="14"/>
              </w:rPr>
              <w:t>gated: 2/5 wins, -3.62% mean relative; time_scaled: 2/5 wins, +0.056%; both below 4.1567%</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Stop at Stage I-A; no freeze/confirmation</w:t>
            </w:r>
          </w:p>
        </w:tc>
      </w:tr>
      <w:tr>
        <w:tc>
          <w:tcPr>
            <w:tcW w:type="dxa" w:w="1152"/>
            <w:vAlign w:val="center"/>
            <w:tcMar>
              <w:top w:w="60" w:type="dxa"/>
              <w:start w:w="80" w:type="dxa"/>
              <w:bottom w:w="60" w:type="dxa"/>
              <w:end w:w="80" w:type="dxa"/>
            </w:tcMar>
          </w:tcPr>
          <w:p>
            <w:pPr>
              <w:spacing w:before="0" w:after="0" w:line="240" w:lineRule="auto"/>
            </w:pPr>
            <w:r>
              <w:rPr>
                <w:rFonts w:ascii="Arial" w:hAnsi="Arial"/>
                <w:sz w:val="14"/>
              </w:rPr>
              <w:t>Phase 0.6</w:t>
            </w:r>
          </w:p>
        </w:tc>
        <w:tc>
          <w:tcPr>
            <w:tcW w:type="dxa" w:w="2592"/>
            <w:vAlign w:val="center"/>
            <w:tcMar>
              <w:top w:w="60" w:type="dxa"/>
              <w:start w:w="80" w:type="dxa"/>
              <w:bottom w:w="60" w:type="dxa"/>
              <w:end w:w="80" w:type="dxa"/>
            </w:tcMar>
          </w:tcPr>
          <w:p>
            <w:pPr>
              <w:spacing w:before="0" w:after="0" w:line="240" w:lineRule="auto"/>
            </w:pPr>
            <w:r>
              <w:rPr>
                <w:rFonts w:ascii="Arial" w:hAnsi="Arial"/>
                <w:sz w:val="14"/>
              </w:rPr>
              <w:t>Diagnose the structured failure</w:t>
            </w:r>
          </w:p>
        </w:tc>
        <w:tc>
          <w:tcPr>
            <w:tcW w:type="dxa" w:w="4392"/>
            <w:vAlign w:val="center"/>
            <w:tcMar>
              <w:top w:w="60" w:type="dxa"/>
              <w:start w:w="80" w:type="dxa"/>
              <w:bottom w:w="60" w:type="dxa"/>
              <w:end w:w="80" w:type="dxa"/>
            </w:tcMar>
          </w:tcPr>
          <w:p>
            <w:pPr>
              <w:spacing w:before="0" w:after="0" w:line="240" w:lineRule="auto"/>
            </w:pPr>
            <w:r>
              <w:rPr>
                <w:rFonts w:ascii="Arial" w:hAnsi="Arial"/>
                <w:sz w:val="14"/>
              </w:rPr>
              <w:t>Reproduce no-flow vs time_scaled with trajectory instrumentation; decompose variance sources before redesign</w:t>
            </w:r>
          </w:p>
        </w:tc>
        <w:tc>
          <w:tcPr>
            <w:tcW w:type="dxa" w:w="2088"/>
            <w:vAlign w:val="center"/>
            <w:tcMar>
              <w:top w:w="60" w:type="dxa"/>
              <w:start w:w="80" w:type="dxa"/>
              <w:bottom w:w="60" w:type="dxa"/>
              <w:end w:w="80" w:type="dxa"/>
            </w:tcMar>
          </w:tcPr>
          <w:p>
            <w:pPr>
              <w:spacing w:before="0" w:after="0" w:line="240" w:lineRule="auto"/>
            </w:pPr>
            <w:r>
              <w:rPr>
                <w:rFonts w:ascii="Arial" w:hAnsi="Arial"/>
                <w:sz w:val="14"/>
              </w:rPr>
              <w:t>Development-only diagnostics; confirmatory seeds untouched</w:t>
            </w:r>
          </w:p>
        </w:tc>
      </w:tr>
    </w:tbl>
    <w:p>
      <w:pPr>
        <w:spacing w:before="120" w:after="60"/>
      </w:pPr>
      <w:r>
        <w:rPr>
          <w:rFonts w:ascii="Arial" w:hAnsi="Arial"/>
          <w:b/>
          <w:color w:val="17365D"/>
          <w:sz w:val="22"/>
        </w:rPr>
        <w:t>Proposed Phase-0.6 diagnostic sequence</w:t>
      </w:r>
    </w:p>
    <w:tbl>
      <w:tblPr>
        <w:tblW w:type="auto" w:w="0"/>
        <w:tblLook w:firstColumn="1" w:firstRow="1" w:lastColumn="0" w:lastRow="0" w:noHBand="0" w:noVBand="1" w:val="04A0"/>
      </w:tblPr>
      <w:tblGrid>
        <w:gridCol w:w="10224"/>
      </w:tblGrid>
      <w:tr>
        <w:tc>
          <w:tcPr>
            <w:tcW w:type="dxa" w:w="10224"/>
            <w:shd w:fill="F2F2F2"/>
            <w:tcMar>
              <w:top w:w="70" w:type="dxa"/>
              <w:start w:w="90" w:type="dxa"/>
              <w:bottom w:w="70" w:type="dxa"/>
              <w:end w:w="90" w:type="dxa"/>
            </w:tcMar>
          </w:tcPr>
          <w:p>
            <w:pPr>
              <w:spacing w:after="0"/>
            </w:pPr>
            <w:r>
              <w:rPr>
                <w:rFonts w:ascii="Arial" w:hAnsi="Arial"/>
                <w:b/>
                <w:color w:val="17365D"/>
                <w:sz w:val="18"/>
              </w:rPr>
              <w:t>D0 — instrumentation</w:t>
              <w:br/>
            </w:r>
            <w:r>
              <w:rPr>
                <w:rFonts w:ascii="Arial" w:hAnsi="Arial"/>
                <w:sz w:val="16"/>
              </w:rPr>
              <w:t>Persist epoch-level train/validation core, value and event losses; validation MAE/RMSE; gradient and parameter norms; flow-state displacement/update magnitude; stopping epoch; production best-composite epoch; shadow best-validation-MAE epoch. No behavior change.</w:t>
            </w:r>
          </w:p>
        </w:tc>
      </w:tr>
    </w:tbl>
    <w:tbl>
      <w:tblPr>
        <w:tblW w:type="auto" w:w="0"/>
        <w:tblLook w:firstColumn="1" w:firstRow="1" w:lastColumn="0" w:lastRow="0" w:noHBand="0" w:noVBand="1" w:val="04A0"/>
      </w:tblPr>
      <w:tblGrid>
        <w:gridCol w:w="10224"/>
      </w:tblGrid>
      <w:tr>
        <w:tc>
          <w:tcPr>
            <w:tcW w:type="dxa" w:w="10224"/>
            <w:shd w:fill="F2F2F2"/>
            <w:tcMar>
              <w:top w:w="70" w:type="dxa"/>
              <w:start w:w="90" w:type="dxa"/>
              <w:bottom w:w="70" w:type="dxa"/>
              <w:end w:w="90" w:type="dxa"/>
            </w:tcMar>
          </w:tcPr>
          <w:p>
            <w:pPr>
              <w:spacing w:after="0"/>
            </w:pPr>
            <w:r>
              <w:rPr>
                <w:rFonts w:ascii="Arial" w:hAnsi="Arial"/>
                <w:b/>
                <w:color w:val="17365D"/>
                <w:sz w:val="18"/>
              </w:rPr>
              <w:t>D1 — exact 40-cell reproduction</w:t>
              <w:br/>
            </w:r>
            <w:r>
              <w:rPr>
                <w:rFonts w:ascii="Arial" w:hAnsi="Arial"/>
                <w:sz w:val="16"/>
              </w:rPr>
              <w:t>Five development bundles × four N values × {none, time_scaled}. First characterize CUDA/reproduction tolerance; then test whether the observed N-dependent crossover reproduces while the original nAULC gate remains failed.</w:t>
            </w:r>
          </w:p>
        </w:tc>
      </w:tr>
    </w:tbl>
    <w:tbl>
      <w:tblPr>
        <w:tblW w:type="auto" w:w="0"/>
        <w:tblLook w:firstColumn="1" w:firstRow="1" w:lastColumn="0" w:lastRow="0" w:noHBand="0" w:noVBand="1" w:val="04A0"/>
      </w:tblPr>
      <w:tblGrid>
        <w:gridCol w:w="10224"/>
      </w:tblGrid>
      <w:tr>
        <w:tc>
          <w:tcPr>
            <w:tcW w:type="dxa" w:w="10224"/>
            <w:shd w:fill="F2F2F2"/>
            <w:tcMar>
              <w:top w:w="70" w:type="dxa"/>
              <w:start w:w="90" w:type="dxa"/>
              <w:bottom w:w="70" w:type="dxa"/>
              <w:end w:w="90" w:type="dxa"/>
            </w:tcMar>
          </w:tcPr>
          <w:p>
            <w:pPr>
              <w:spacing w:after="0"/>
            </w:pPr>
            <w:r>
              <w:rPr>
                <w:rFonts w:ascii="Arial" w:hAnsi="Arial"/>
                <w:b/>
                <w:color w:val="17365D"/>
                <w:sz w:val="18"/>
              </w:rPr>
              <w:t>D2 — orthogonal variance screen</w:t>
              <w:br/>
            </w:r>
            <w:r>
              <w:rPr>
                <w:rFonts w:ascii="Arial" w:hAnsi="Arial"/>
                <w:sz w:val="16"/>
              </w:rPr>
              <w:t>Use a balanced cohort/subset/model-seed design to estimate marginal main effects and identify whether cohort, subset composition, or initialization is the dominant source of heterogeneity. Do not claim interaction identification from a strength-2 array.</w:t>
            </w:r>
          </w:p>
        </w:tc>
      </w:tr>
    </w:tbl>
    <w:tbl>
      <w:tblPr>
        <w:tblW w:type="auto" w:w="0"/>
        <w:tblLook w:firstColumn="1" w:firstRow="1" w:lastColumn="0" w:lastRow="0" w:noHBand="0" w:noVBand="1" w:val="04A0"/>
      </w:tblPr>
      <w:tblGrid>
        <w:gridCol w:w="10224"/>
      </w:tblGrid>
      <w:tr>
        <w:tc>
          <w:tcPr>
            <w:tcW w:type="dxa" w:w="10224"/>
            <w:shd w:fill="F2F2F2"/>
            <w:tcMar>
              <w:top w:w="70" w:type="dxa"/>
              <w:start w:w="90" w:type="dxa"/>
              <w:bottom w:w="70" w:type="dxa"/>
              <w:end w:w="90" w:type="dxa"/>
            </w:tcMar>
          </w:tcPr>
          <w:p>
            <w:pPr>
              <w:spacing w:after="0"/>
            </w:pPr>
            <w:r>
              <w:rPr>
                <w:rFonts w:ascii="Arial" w:hAnsi="Arial"/>
                <w:b/>
                <w:color w:val="17365D"/>
                <w:sz w:val="18"/>
              </w:rPr>
              <w:t>D3 — hypothesis adjudication</w:t>
              <w:br/>
            </w:r>
            <w:r>
              <w:rPr>
                <w:rFonts w:ascii="Arial" w:hAnsi="Arial"/>
                <w:sz w:val="16"/>
              </w:rPr>
              <w:t>Evaluate optimization/init variance, subset variance, cohort variance, sample-complexity threshold, checkpoint-objective mismatch, capacity effects, and predictive-versus-mechanistic mismatch.</w:t>
            </w:r>
          </w:p>
        </w:tc>
      </w:tr>
    </w:tbl>
    <w:tbl>
      <w:tblPr>
        <w:tblW w:type="auto" w:w="0"/>
        <w:tblLook w:firstColumn="1" w:firstRow="1" w:lastColumn="0" w:lastRow="0" w:noHBand="0" w:noVBand="1" w:val="04A0"/>
      </w:tblPr>
      <w:tblGrid>
        <w:gridCol w:w="10224"/>
      </w:tblGrid>
      <w:tr>
        <w:tc>
          <w:tcPr>
            <w:tcW w:type="dxa" w:w="10224"/>
            <w:shd w:fill="F2F2F2"/>
            <w:tcMar>
              <w:top w:w="70" w:type="dxa"/>
              <w:start w:w="90" w:type="dxa"/>
              <w:bottom w:w="70" w:type="dxa"/>
              <w:end w:w="90" w:type="dxa"/>
            </w:tcMar>
          </w:tcPr>
          <w:p>
            <w:pPr>
              <w:spacing w:after="0"/>
            </w:pPr>
            <w:r>
              <w:rPr>
                <w:rFonts w:ascii="Arial" w:hAnsi="Arial"/>
                <w:b/>
                <w:color w:val="17365D"/>
                <w:sz w:val="18"/>
              </w:rPr>
              <w:t>D4 — evidence-driven redesign</w:t>
              <w:br/>
            </w:r>
            <w:r>
              <w:rPr>
                <w:rFonts w:ascii="Arial" w:hAnsi="Arial"/>
                <w:sz w:val="16"/>
              </w:rPr>
              <w:t>Change architecture, optimization, selection objective, or evaluation criteria only after D0–D3 identify the dominant failure mode; then freeze a new falsification protocol before any confirmatory work.</w:t>
            </w:r>
          </w:p>
        </w:tc>
      </w:tr>
    </w:tbl>
    <w:tbl>
      <w:tblPr>
        <w:tblW w:type="auto" w:w="0"/>
        <w:tblLayout w:type="autofit"/>
        <w:tblLook w:firstColumn="1" w:firstRow="1" w:lastColumn="0" w:lastRow="0" w:noHBand="0" w:noVBand="1" w:val="04A0"/>
      </w:tblPr>
      <w:tblGrid>
        <w:gridCol w:w="10224"/>
      </w:tblGrid>
      <w:tr>
        <w:tc>
          <w:tcPr>
            <w:tcW w:type="dxa" w:w="10224"/>
            <w:shd w:fill="FFF2CC"/>
            <w:tcMar>
              <w:top w:w="90" w:type="dxa"/>
              <w:start w:w="100" w:type="dxa"/>
              <w:bottom w:w="90" w:type="dxa"/>
              <w:end w:w="100" w:type="dxa"/>
            </w:tcMar>
          </w:tcPr>
          <w:p>
            <w:pPr>
              <w:spacing w:after="0"/>
            </w:pPr>
            <w:r>
              <w:rPr>
                <w:rFonts w:ascii="Arial" w:hAnsi="Arial"/>
                <w:b/>
                <w:color w:val="17365D"/>
                <w:sz w:val="19"/>
              </w:rPr>
              <w:t>Protected boundary: bundles 701/801/901 through 710/810/910 remain untouched. Phase-0.6 must use only development information until a new architecture and confirmation protocol are explicitly frozen.</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E6E6E"/>
        <w:sz w:val="16"/>
      </w:rPr>
      <w:t>AFMC Phase-0.5 Mechanistic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AFMC Phase-0.5 Mechanistic Validation Report — Final Archival Decision Record</dc:title>
  <dc:subject>Phase-0.5 official Stage I-A result, exploratory postmortem, provenance, and diagnostic transition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