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left"/>
      </w:pPr>
      <w:r>
        <w:rPr>
          <w:rFonts w:ascii="Liberation Sans" w:hAnsi="Liberation Sans"/>
          <w:b/>
          <w:color w:val="17365D"/>
          <w:sz w:val="52"/>
        </w:rPr>
        <w:t>Phase-0 Synthetic Validation</w:t>
        <w:br/>
        <w:t>Results and Decision Record</w:t>
      </w:r>
    </w:p>
    <w:p>
      <w:r>
        <w:rPr>
          <w:rFonts w:ascii="Liberation Sans" w:hAnsi="Liberation Sans"/>
          <w:color w:val="2F5597"/>
          <w:sz w:val="26"/>
        </w:rPr>
        <w:t>Low-resource dynamical adaptation of longitudinal EHR foundation representations</w:t>
      </w:r>
    </w:p>
    <w:p>
      <w:pPr>
        <w:spacing w:before="400"/>
      </w:pPr>
      <w:r>
        <w:rPr>
          <w:rFonts w:ascii="Liberation Sans" w:hAnsi="Liberation Sans"/>
          <w:b/>
          <w:color w:val="222222"/>
          <w:sz w:val="20"/>
        </w:rPr>
        <w:t>Official execution</w:t>
      </w:r>
    </w:p>
    <w:p>
      <w:pPr>
        <w:spacing w:after="60"/>
      </w:pPr>
      <w:r>
        <w:rPr>
          <w:rFonts w:ascii="Liberation Sans" w:hAnsi="Liberation Sans"/>
          <w:b/>
          <w:color w:val="222222"/>
          <w:sz w:val="18"/>
        </w:rPr>
        <w:t xml:space="preserve">Protocol anchor: </w:t>
      </w:r>
      <w:r>
        <w:rPr>
          <w:rFonts w:ascii="Liberation Sans" w:hAnsi="Liberation Sans"/>
          <w:color w:val="666666"/>
          <w:sz w:val="18"/>
        </w:rPr>
        <w:t>be5a66b2e45362f60c90844e4e25673fb7bb3e21</w:t>
      </w:r>
    </w:p>
    <w:p>
      <w:pPr>
        <w:spacing w:after="60"/>
      </w:pPr>
      <w:r>
        <w:rPr>
          <w:rFonts w:ascii="Liberation Sans" w:hAnsi="Liberation Sans"/>
          <w:b/>
          <w:color w:val="222222"/>
          <w:sz w:val="18"/>
        </w:rPr>
        <w:t xml:space="preserve">Execution SHA: </w:t>
      </w:r>
      <w:r>
        <w:rPr>
          <w:rFonts w:ascii="Liberation Sans" w:hAnsi="Liberation Sans"/>
          <w:color w:val="666666"/>
          <w:sz w:val="18"/>
        </w:rPr>
        <w:t>d6f105eee73fcb8e9cc5987d292b1bb98a687382</w:t>
      </w:r>
    </w:p>
    <w:p>
      <w:pPr>
        <w:spacing w:after="60"/>
      </w:pPr>
      <w:r>
        <w:rPr>
          <w:rFonts w:ascii="Liberation Sans" w:hAnsi="Liberation Sans"/>
          <w:b/>
          <w:color w:val="222222"/>
          <w:sz w:val="18"/>
        </w:rPr>
        <w:t xml:space="preserve">Runtime: </w:t>
      </w:r>
      <w:r>
        <w:rPr>
          <w:rFonts w:ascii="Liberation Sans" w:hAnsi="Liberation Sans"/>
          <w:color w:val="666666"/>
          <w:sz w:val="18"/>
        </w:rPr>
        <w:t>Native WSL2 · CUDA 13.0 · NVIDIA GeForce RTX 4060 Laptop GPU · 2 workers</w:t>
      </w:r>
    </w:p>
    <w:p>
      <w:pPr>
        <w:spacing w:after="60"/>
      </w:pPr>
      <w:r>
        <w:rPr>
          <w:rFonts w:ascii="Liberation Sans" w:hAnsi="Liberation Sans"/>
          <w:b/>
          <w:color w:val="222222"/>
          <w:sz w:val="18"/>
        </w:rPr>
        <w:t xml:space="preserve">Execution time: </w:t>
      </w:r>
      <w:r>
        <w:rPr>
          <w:rFonts w:ascii="Liberation Sans" w:hAnsi="Liberation Sans"/>
          <w:color w:val="666666"/>
          <w:sz w:val="18"/>
        </w:rPr>
        <w:t>03 h 40 m 02.49 s</w:t>
      </w:r>
    </w:p>
    <w:p>
      <w:pPr>
        <w:spacing w:after="60"/>
      </w:pPr>
      <w:r>
        <w:rPr>
          <w:rFonts w:ascii="Liberation Sans" w:hAnsi="Liberation Sans"/>
          <w:b/>
          <w:color w:val="222222"/>
          <w:sz w:val="18"/>
        </w:rPr>
        <w:t xml:space="preserve">Benchmark scope: </w:t>
      </w:r>
      <w:r>
        <w:rPr>
          <w:rFonts w:ascii="Liberation Sans" w:hAnsi="Liberation Sans"/>
          <w:color w:val="666666"/>
          <w:sz w:val="18"/>
        </w:rPr>
        <w:t>25/25 shards · 2,730/2,730 cells · 23,520 metric rows</w:t>
      </w:r>
    </w:p>
    <w:p>
      <w:pPr>
        <w:spacing w:after="60"/>
      </w:pPr>
      <w:r>
        <w:rPr>
          <w:rFonts w:ascii="Liberation Sans" w:hAnsi="Liberation Sans"/>
          <w:b/>
          <w:color w:val="222222"/>
          <w:sz w:val="18"/>
        </w:rPr>
        <w:t xml:space="preserve">Integrity: </w:t>
      </w:r>
      <w:r>
        <w:rPr>
          <w:rFonts w:ascii="Liberation Sans" w:hAnsi="Liberation Sans"/>
          <w:color w:val="666666"/>
          <w:sz w:val="18"/>
        </w:rPr>
        <w:t>0 failed · 0 cancelled · 0 incomplete · 0 duplicate keys · 0 NaN/Inf</w:t>
      </w:r>
    </w:p>
    <w:p>
      <w:pPr>
        <w:spacing w:after="60"/>
      </w:pPr>
      <w:r>
        <w:rPr>
          <w:rFonts w:ascii="Liberation Sans" w:hAnsi="Liberation Sans"/>
          <w:b/>
          <w:color w:val="222222"/>
          <w:sz w:val="18"/>
        </w:rPr>
        <w:t xml:space="preserve">Date: </w:t>
      </w:r>
      <w:r>
        <w:rPr>
          <w:rFonts w:ascii="Liberation Sans" w:hAnsi="Liberation Sans"/>
          <w:color w:val="666666"/>
          <w:sz w:val="18"/>
        </w:rPr>
        <w:t>23 August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tcMar>
              <w:top w:w="120" w:type="dxa"/>
              <w:start w:w="150" w:type="dxa"/>
              <w:bottom w:w="120" w:type="dxa"/>
              <w:end w:w="150" w:type="dxa"/>
            </w:tcMar>
            <w:shd w:fill="FFF4CE"/>
          </w:tcPr>
          <w:p>
            <w:r>
              <w:rPr>
                <w:rFonts w:ascii="Liberation Sans" w:hAnsi="Liberation Sans"/>
                <w:b/>
                <w:color w:val="17365D"/>
                <w:sz w:val="20"/>
              </w:rPr>
              <w:t>Decision in one sentence</w:t>
              <w:br/>
            </w:r>
            <w:r>
              <w:rPr>
                <w:rFonts w:ascii="Liberation Sans" w:hAnsi="Liberation Sans"/>
                <w:color w:val="222222"/>
                <w:sz w:val="19"/>
              </w:rPr>
              <w:t>The structured Flow-Jump adapter shows real signal in higher-N and shift regimes, but the current implementation does not validate the intended extreme-low-N superiority claim; Phase-0 therefore supports a focused Phase-0.5 redesign rather than immediate clinical deployment.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BodyText"/>
        <w:spacing w:after="120"/>
      </w:pPr>
      <w:r>
        <w:rPr>
          <w:rFonts w:ascii="Liberation Sans" w:hAnsi="Liberation Sans"/>
          <w:color w:val="222222"/>
          <w:sz w:val="20"/>
        </w:rPr>
        <w:t>The official Phase-0 synthetic benchmark completed successfully and passed execution, persistence, provenance, and metric-integrity audits. The result is scientifically mixed: Flow-Jump is capable of outperforming both a frozen-representation linear probe and a scratch GRU, but those simultaneous wins occur only in 4 of 18 dynamics-world/N settings and only at N = 80 or 100.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tcMar>
              <w:top w:w="120" w:type="dxa"/>
              <w:start w:w="150" w:type="dxa"/>
              <w:bottom w:w="120" w:type="dxa"/>
              <w:end w:w="150" w:type="dxa"/>
            </w:tcMar>
            <w:shd w:fill="FCE8E8"/>
          </w:tcPr>
          <w:p>
            <w:r>
              <w:rPr>
                <w:rFonts w:ascii="Liberation Sans" w:hAnsi="Liberation Sans"/>
                <w:b/>
                <w:color w:val="17365D"/>
                <w:sz w:val="20"/>
              </w:rPr>
              <w:t>Central result</w:t>
              <w:br/>
            </w:r>
            <w:r>
              <w:rPr>
                <w:rFonts w:ascii="Liberation Sans" w:hAnsi="Liberation Sans"/>
                <w:color w:val="222222"/>
                <w:sz w:val="19"/>
              </w:rPr>
              <w:t>For the genuinely scarce-data regime N ≤ 40, Flow-Jump beats both primary comparators in 0 of 12 dynamics-world settings. This directly weakens the strongest version of the original sample-efficiency hypothesis.</w:t>
            </w:r>
          </w:p>
        </w:tc>
      </w:tr>
    </w:tbl>
    <w:p>
      <w:pPr>
        <w:spacing w:after="0"/>
      </w:pPr>
    </w:p>
    <w:p>
      <w:pPr>
        <w:pStyle w:val="BodyText"/>
        <w:spacing w:after="120"/>
      </w:pPr>
      <w:r>
        <w:rPr>
          <w:rFonts w:ascii="Liberation Sans" w:hAnsi="Liberation Sans"/>
          <w:color w:val="222222"/>
          <w:sz w:val="20"/>
        </w:rPr>
        <w:t>At the same time, the model often outperforms the representation-linear probe, particularly under site shift, and begins to overtake the GRU at larger training budgets. The synthetic harness therefore identifies a potentially useful dynamical inductive bias whose crossover currently occurs too late for the intended extreme-low-resource setting.</w:t>
      </w:r>
    </w:p>
    <w:p>
      <w:pPr>
        <w:pStyle w:val="BodyText"/>
        <w:spacing w:after="120"/>
      </w:pPr>
      <w:r>
        <w:rPr>
          <w:rFonts w:ascii="Liberation Sans" w:hAnsi="Liberation Sans"/>
          <w:color w:val="222222"/>
          <w:sz w:val="20"/>
        </w:rPr>
        <w:t>The ablations provide actionable diagnosis: the continuous-flow pathway is modestly useful in several difficult worlds; the explicit jump pathway is useful in informative-observation settings but is not clearly useful in the dedicated jumps world; the observation-process head provides negligible or negative robustness benefit; and removing the probabilistic scale pathway improves MAE substantially, raising an optimization/calibration trade-off that must be examined before retaining that component.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2459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Criterion</w:t>
            </w:r>
          </w:p>
        </w:tc>
        <w:tc>
          <w:tcPr>
            <w:tcW w:type="dxa" w:w="2459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Assessment</w:t>
            </w:r>
          </w:p>
        </w:tc>
        <w:tc>
          <w:tcPr>
            <w:tcW w:type="dxa" w:w="2459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245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color w:val="222222"/>
                <w:sz w:val="16"/>
              </w:rPr>
              <w:t>A</w:t>
            </w:r>
          </w:p>
        </w:tc>
        <w:tc>
          <w:tcPr>
            <w:tcW w:type="dxa" w:w="245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6"/>
              </w:rPr>
              <w:t>Improve primary low-N objective</w:t>
            </w:r>
          </w:p>
        </w:tc>
        <w:tc>
          <w:tcPr>
            <w:tcW w:type="dxa" w:w="245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6"/>
              </w:rPr>
              <w:t>PASS, weak</w:t>
            </w:r>
          </w:p>
        </w:tc>
        <w:tc>
          <w:tcPr>
            <w:tcW w:type="dxa" w:w="245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6"/>
              </w:rPr>
              <w:t>4/18 dynamics-world/N mean-MAE wins; 0/12 for N ≤ 40</w:t>
            </w:r>
          </w:p>
        </w:tc>
      </w:tr>
      <w:tr>
        <w:tc>
          <w:tcPr>
            <w:tcW w:type="dxa" w:w="245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color w:val="222222"/>
                <w:sz w:val="16"/>
              </w:rPr>
              <w:t>B</w:t>
            </w:r>
          </w:p>
        </w:tc>
        <w:tc>
          <w:tcPr>
            <w:tcW w:type="dxa" w:w="245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6"/>
              </w:rPr>
              <w:t>Gain not explained by parameter count</w:t>
            </w:r>
          </w:p>
        </w:tc>
        <w:tc>
          <w:tcPr>
            <w:tcW w:type="dxa" w:w="245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6"/>
              </w:rPr>
              <w:t>UNRESOLVED</w:t>
            </w:r>
          </w:p>
        </w:tc>
        <w:tc>
          <w:tcPr>
            <w:tcW w:type="dxa" w:w="245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6"/>
              </w:rPr>
              <w:t>6,967 Flow-Jump parameters vs 4,455 GRU parameters</w:t>
            </w:r>
          </w:p>
        </w:tc>
      </w:tr>
      <w:tr>
        <w:tc>
          <w:tcPr>
            <w:tcW w:type="dxa" w:w="245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color w:val="222222"/>
                <w:sz w:val="16"/>
              </w:rPr>
              <w:t>C</w:t>
            </w:r>
          </w:p>
        </w:tc>
        <w:tc>
          <w:tcPr>
            <w:tcW w:type="dxa" w:w="245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6"/>
              </w:rPr>
              <w:t>Calibration not materially worse</w:t>
            </w:r>
          </w:p>
        </w:tc>
        <w:tc>
          <w:tcPr>
            <w:tcW w:type="dxa" w:w="245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6"/>
              </w:rPr>
              <w:t>PENDING</w:t>
            </w:r>
          </w:p>
        </w:tc>
        <w:tc>
          <w:tcPr>
            <w:tcW w:type="dxa" w:w="245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6"/>
              </w:rPr>
              <w:t>Requires complete NLL and 90% coverage interpretation</w:t>
            </w:r>
          </w:p>
        </w:tc>
      </w:tr>
      <w:tr>
        <w:tc>
          <w:tcPr>
            <w:tcW w:type="dxa" w:w="245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color w:val="222222"/>
                <w:sz w:val="16"/>
              </w:rPr>
              <w:t>D</w:t>
            </w:r>
          </w:p>
        </w:tc>
        <w:tc>
          <w:tcPr>
            <w:tcW w:type="dxa" w:w="245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6"/>
              </w:rPr>
              <w:t>Competitive under misspecification</w:t>
            </w:r>
          </w:p>
        </w:tc>
        <w:tc>
          <w:tcPr>
            <w:tcW w:type="dxa" w:w="245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6"/>
              </w:rPr>
              <w:t>PARTIAL</w:t>
            </w:r>
          </w:p>
        </w:tc>
        <w:tc>
          <w:tcPr>
            <w:tcW w:type="dxa" w:w="245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6"/>
              </w:rPr>
              <w:t>Occasional GRU wins; representation probe remains better</w:t>
            </w:r>
          </w:p>
        </w:tc>
      </w:tr>
      <w:tr>
        <w:tc>
          <w:tcPr>
            <w:tcW w:type="dxa" w:w="245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color w:val="222222"/>
                <w:sz w:val="16"/>
              </w:rPr>
              <w:t>E</w:t>
            </w:r>
          </w:p>
        </w:tc>
        <w:tc>
          <w:tcPr>
            <w:tcW w:type="dxa" w:w="245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6"/>
              </w:rPr>
              <w:t>Observation head reproducibly helps</w:t>
            </w:r>
          </w:p>
        </w:tc>
        <w:tc>
          <w:tcPr>
            <w:tcW w:type="dxa" w:w="245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6"/>
              </w:rPr>
              <w:t>FAIL</w:t>
            </w:r>
          </w:p>
        </w:tc>
        <w:tc>
          <w:tcPr>
            <w:tcW w:type="dxa" w:w="245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6"/>
              </w:rPr>
              <w:t>Dedicated site-shift benchmark shows near-zero / negative benefit</w:t>
            </w:r>
          </w:p>
        </w:tc>
      </w:tr>
    </w:tbl>
    <w:p>
      <w:pPr>
        <w:spacing w:after="100"/>
        <w:jc w:val="center"/>
      </w:pPr>
      <w:r>
        <w:rPr>
          <w:rFonts w:ascii="Liberation Sans" w:hAnsi="Liberation Sans"/>
          <w:i/>
          <w:color w:val="666666"/>
          <w:sz w:val="16"/>
        </w:rPr>
        <w:t>Table 1. Preliminary Phase-0 go/no-go assessment. “PASS, weak” refers to the literal preregistered threshold, not to the stronger scientific claim.</w:t>
      </w:r>
    </w:p>
    <w:p>
      <w:pPr>
        <w:pStyle w:val="Heading1"/>
      </w:pPr>
      <w:r>
        <w:t>2. Experimental Context and Evidence Boundary</w:t>
      </w:r>
    </w:p>
    <w:p>
      <w:pPr>
        <w:pStyle w:val="BodyText"/>
        <w:spacing w:after="120"/>
      </w:pPr>
      <w:r>
        <w:rPr>
          <w:rFonts w:ascii="Liberation Sans" w:hAnsi="Liberation Sans"/>
          <w:color w:val="222222"/>
          <w:sz w:val="20"/>
        </w:rPr>
        <w:t>Phase-0 was designed as a methodological stress test before scarce clinical data are used. The central question was whether a compact continuous-time flow–jump adapter could transform frozen longitudinal clinical representations into disease-specific latent states more sample-efficiently than conventional probing or scratch temporal learning.</w:t>
      </w:r>
    </w:p>
    <w:p>
      <w:r>
        <w:drawing>
          <wp:inline xmlns:a="http://schemas.openxmlformats.org/drawingml/2006/main" xmlns:pic="http://schemas.openxmlformats.org/drawingml/2006/picture">
            <wp:extent cx="6217920" cy="27722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0_evidence_pa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72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Liberation Sans" w:hAnsi="Liberation Sans"/>
          <w:i/>
          <w:color w:val="666666"/>
          <w:sz w:val="16"/>
        </w:rPr>
        <w:t>Figure 1. Phase-0 evidence path and decision logic.</w:t>
      </w:r>
    </w:p>
    <w:p>
      <w:pPr>
        <w:pStyle w:val="BodyText"/>
        <w:spacing w:after="120"/>
      </w:pPr>
      <w:r>
        <w:rPr>
          <w:rFonts w:ascii="Liberation Sans" w:hAnsi="Liberation Sans"/>
          <w:color w:val="222222"/>
          <w:sz w:val="20"/>
        </w:rPr>
        <w:t>The benchmark spans five synthetic worlds (smooth, jumps, informative observation, site shift, and misspecified), six training-patient budgets N ∈ {5, 10, 20, 40, 80, 100}, and five matched cohort/subset/model seed bundles. The principal point-forecasting metric is test MAE. The scientific interpretation below is restricted to the outputs supplied by the official run and does not treat synthetic evidence as clinical validation.</w:t>
      </w:r>
    </w:p>
    <w:p>
      <w:pPr>
        <w:pStyle w:val="Heading1"/>
      </w:pPr>
      <w:r>
        <w:t>3. Primary Low-N Result</w:t>
      </w:r>
    </w:p>
    <w:p>
      <w:pPr>
        <w:pStyle w:val="BodyText"/>
        <w:spacing w:after="120"/>
      </w:pPr>
      <w:r>
        <w:rPr>
          <w:rFonts w:ascii="Liberation Sans" w:hAnsi="Liberation Sans"/>
          <w:color w:val="222222"/>
          <w:sz w:val="20"/>
        </w:rPr>
        <w:t>Flow-Jump beats both the representation-linear probe and the scratch GRU in only four dynamics-world/N settings: informative observation at N=100; jumps at N=80; and site shift at N=80 and N=100. There are no simultaneous wins at N ≤ 40.</w:t>
      </w:r>
    </w:p>
    <w:p>
      <w:r>
        <w:drawing>
          <wp:inline xmlns:a="http://schemas.openxmlformats.org/drawingml/2006/main" xmlns:pic="http://schemas.openxmlformats.org/drawingml/2006/picture">
            <wp:extent cx="6035040" cy="26666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66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Liberation Sans" w:hAnsi="Liberation Sans"/>
          <w:i/>
          <w:color w:val="666666"/>
          <w:sz w:val="16"/>
        </w:rPr>
        <w:t>Figure 2. Win map for simultaneous mean-MAE superiority over both primary comparators.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c>
          <w:tcPr>
            <w:tcW w:type="dxa" w:w="1967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World</w:t>
            </w:r>
          </w:p>
        </w:tc>
        <w:tc>
          <w:tcPr>
            <w:tcW w:type="dxa" w:w="1967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N</w:t>
            </w:r>
          </w:p>
        </w:tc>
        <w:tc>
          <w:tcPr>
            <w:tcW w:type="dxa" w:w="1967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Flow-Jump</w:t>
            </w:r>
          </w:p>
        </w:tc>
        <w:tc>
          <w:tcPr>
            <w:tcW w:type="dxa" w:w="1967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Rep. linear</w:t>
            </w:r>
          </w:p>
        </w:tc>
        <w:tc>
          <w:tcPr>
            <w:tcW w:type="dxa" w:w="1967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GRU scratch</w:t>
            </w:r>
          </w:p>
        </w:tc>
      </w:tr>
      <w:tr>
        <w:tc>
          <w:tcPr>
            <w:tcW w:type="dxa" w:w="196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color w:val="222222"/>
                <w:sz w:val="17"/>
              </w:rPr>
              <w:t>informative_observation</w:t>
            </w:r>
          </w:p>
        </w:tc>
        <w:tc>
          <w:tcPr>
            <w:tcW w:type="dxa" w:w="196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100</w:t>
            </w:r>
          </w:p>
        </w:tc>
        <w:tc>
          <w:tcPr>
            <w:tcW w:type="dxa" w:w="196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0.447</w:t>
            </w:r>
          </w:p>
        </w:tc>
        <w:tc>
          <w:tcPr>
            <w:tcW w:type="dxa" w:w="196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0.668</w:t>
            </w:r>
          </w:p>
        </w:tc>
        <w:tc>
          <w:tcPr>
            <w:tcW w:type="dxa" w:w="196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0.478</w:t>
            </w:r>
          </w:p>
        </w:tc>
      </w:tr>
      <w:tr>
        <w:tc>
          <w:tcPr>
            <w:tcW w:type="dxa" w:w="196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color w:val="222222"/>
                <w:sz w:val="17"/>
              </w:rPr>
              <w:t>jumps</w:t>
            </w:r>
          </w:p>
        </w:tc>
        <w:tc>
          <w:tcPr>
            <w:tcW w:type="dxa" w:w="196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80</w:t>
            </w:r>
          </w:p>
        </w:tc>
        <w:tc>
          <w:tcPr>
            <w:tcW w:type="dxa" w:w="196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1.048</w:t>
            </w:r>
          </w:p>
        </w:tc>
        <w:tc>
          <w:tcPr>
            <w:tcW w:type="dxa" w:w="196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1.062</w:t>
            </w:r>
          </w:p>
        </w:tc>
        <w:tc>
          <w:tcPr>
            <w:tcW w:type="dxa" w:w="196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1.064</w:t>
            </w:r>
          </w:p>
        </w:tc>
      </w:tr>
      <w:tr>
        <w:tc>
          <w:tcPr>
            <w:tcW w:type="dxa" w:w="196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color w:val="222222"/>
                <w:sz w:val="17"/>
              </w:rPr>
              <w:t>site_shift</w:t>
            </w:r>
          </w:p>
        </w:tc>
        <w:tc>
          <w:tcPr>
            <w:tcW w:type="dxa" w:w="196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80</w:t>
            </w:r>
          </w:p>
        </w:tc>
        <w:tc>
          <w:tcPr>
            <w:tcW w:type="dxa" w:w="196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0.496</w:t>
            </w:r>
          </w:p>
        </w:tc>
        <w:tc>
          <w:tcPr>
            <w:tcW w:type="dxa" w:w="196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0.681</w:t>
            </w:r>
          </w:p>
        </w:tc>
        <w:tc>
          <w:tcPr>
            <w:tcW w:type="dxa" w:w="196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0.510</w:t>
            </w:r>
          </w:p>
        </w:tc>
      </w:tr>
      <w:tr>
        <w:tc>
          <w:tcPr>
            <w:tcW w:type="dxa" w:w="196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color w:val="222222"/>
                <w:sz w:val="17"/>
              </w:rPr>
              <w:t>site_shift</w:t>
            </w:r>
          </w:p>
        </w:tc>
        <w:tc>
          <w:tcPr>
            <w:tcW w:type="dxa" w:w="196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100</w:t>
            </w:r>
          </w:p>
        </w:tc>
        <w:tc>
          <w:tcPr>
            <w:tcW w:type="dxa" w:w="196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0.449</w:t>
            </w:r>
          </w:p>
        </w:tc>
        <w:tc>
          <w:tcPr>
            <w:tcW w:type="dxa" w:w="196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0.703</w:t>
            </w:r>
          </w:p>
        </w:tc>
        <w:tc>
          <w:tcPr>
            <w:tcW w:type="dxa" w:w="196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0.487</w:t>
            </w:r>
          </w:p>
        </w:tc>
      </w:tr>
    </w:tbl>
    <w:p>
      <w:pPr>
        <w:spacing w:after="100"/>
        <w:jc w:val="center"/>
      </w:pPr>
      <w:r>
        <w:rPr>
          <w:rFonts w:ascii="Liberation Sans" w:hAnsi="Liberation Sans"/>
          <w:i/>
          <w:color w:val="666666"/>
          <w:sz w:val="16"/>
        </w:rPr>
        <w:t>Table 2. The four dynamics-world/N settings in which Flow-Jump has the lowest mean MAE among the two primary comparators.</w:t>
      </w:r>
    </w:p>
    <w:p>
      <w:pPr>
        <w:pStyle w:val="Heading1"/>
      </w:pPr>
      <w:r>
        <w:t>4. Learning-Curve Crossover</w:t>
      </w:r>
    </w:p>
    <w:p>
      <w:pPr>
        <w:pStyle w:val="BodyText"/>
        <w:spacing w:after="120"/>
      </w:pPr>
      <w:r>
        <w:rPr>
          <w:rFonts w:ascii="Liberation Sans" w:hAnsi="Liberation Sans"/>
          <w:color w:val="222222"/>
          <w:sz w:val="20"/>
        </w:rPr>
        <w:t>The dominant pattern is a late crossover: Flow-Jump is usually inferior to the scratch GRU at N = 5–40, but becomes competitive or superior in specific structured/shifted worlds at N = 80–100. This is inconsistent with the intended “extreme-low-N first” behavior, but it is consistent with a structured model whose inductive bias becomes exploitable once enough disease-specific observations are available.</w:t>
      </w:r>
    </w:p>
    <w:p>
      <w:r>
        <w:drawing>
          <wp:inline xmlns:a="http://schemas.openxmlformats.org/drawingml/2006/main" xmlns:pic="http://schemas.openxmlformats.org/drawingml/2006/picture">
            <wp:extent cx="5715000" cy="29545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e_informative_observ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54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Liberation Sans" w:hAnsi="Liberation Sans"/>
          <w:i/>
          <w:color w:val="666666"/>
          <w:sz w:val="16"/>
        </w:rPr>
        <w:t>Figure 3. Mean test MAE learning curve in the informative observation world.</w:t>
      </w:r>
    </w:p>
    <w:p>
      <w:r>
        <w:drawing>
          <wp:inline xmlns:a="http://schemas.openxmlformats.org/drawingml/2006/main" xmlns:pic="http://schemas.openxmlformats.org/drawingml/2006/picture">
            <wp:extent cx="5715000" cy="29545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e_jum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54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Liberation Sans" w:hAnsi="Liberation Sans"/>
          <w:i/>
          <w:color w:val="666666"/>
          <w:sz w:val="16"/>
        </w:rPr>
        <w:t>Figure 4. Mean test MAE learning curve in the jumps world.</w:t>
      </w:r>
    </w:p>
    <w:p>
      <w:r>
        <w:drawing>
          <wp:inline xmlns:a="http://schemas.openxmlformats.org/drawingml/2006/main" xmlns:pic="http://schemas.openxmlformats.org/drawingml/2006/picture">
            <wp:extent cx="5715000" cy="29545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e_site_shif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54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Liberation Sans" w:hAnsi="Liberation Sans"/>
          <w:i/>
          <w:color w:val="666666"/>
          <w:sz w:val="16"/>
        </w:rPr>
        <w:t>Figure 5. Mean test MAE learning curve in the site shift world.</w:t>
      </w:r>
    </w:p>
    <w:p>
      <w:pPr>
        <w:pStyle w:val="Heading1"/>
      </w:pPr>
      <w:r>
        <w:t>5. Capacity and Alternative Explanation</w:t>
      </w:r>
    </w:p>
    <w:p>
      <w:pPr>
        <w:pStyle w:val="BodyText"/>
        <w:spacing w:after="120"/>
      </w:pPr>
      <w:r>
        <w:rPr>
          <w:rFonts w:ascii="Liberation Sans" w:hAnsi="Liberation Sans"/>
          <w:color w:val="222222"/>
          <w:sz w:val="20"/>
        </w:rPr>
        <w:t>A capacity-matched control is necessary before attributing the higher-N wins specifically to the flow–jump inductive bias. Flow-Jump has 6,967 trainable parameters, approximately 1.56× the scratch GRU’s 4,455 parameters. Because the crossover toward Flow-Jump occurs primarily at N = 80–100, additional capacity remains a plausible explanation for part of the observed advantage.</w:t>
      </w:r>
    </w:p>
    <w:p>
      <w:r>
        <w:drawing>
          <wp:inline xmlns:a="http://schemas.openxmlformats.org/drawingml/2006/main" xmlns:pic="http://schemas.openxmlformats.org/drawingml/2006/picture">
            <wp:extent cx="5943600" cy="31112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_cou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Liberation Sans" w:hAnsi="Liberation Sans"/>
          <w:i/>
          <w:color w:val="666666"/>
          <w:sz w:val="16"/>
        </w:rPr>
        <w:t>Figure 6. Trainable parameter counts for the principal benchmark models.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tcMar>
              <w:top w:w="120" w:type="dxa"/>
              <w:start w:w="150" w:type="dxa"/>
              <w:bottom w:w="120" w:type="dxa"/>
              <w:end w:w="150" w:type="dxa"/>
            </w:tcMar>
            <w:shd w:fill="FFF4CE"/>
          </w:tcPr>
          <w:p>
            <w:r>
              <w:rPr>
                <w:rFonts w:ascii="Liberation Sans" w:hAnsi="Liberation Sans"/>
                <w:b/>
                <w:color w:val="17365D"/>
                <w:sz w:val="20"/>
              </w:rPr>
              <w:t>Required control</w:t>
              <w:br/>
            </w:r>
            <w:r>
              <w:rPr>
                <w:rFonts w:ascii="Liberation Sans" w:hAnsi="Liberation Sans"/>
                <w:color w:val="222222"/>
                <w:sz w:val="19"/>
              </w:rPr>
              <w:t>Add a capacity-matched GRU around ~7k trainable parameters before claiming that the performance gain is structural rather than a consequence of parameter count.</w:t>
            </w:r>
          </w:p>
        </w:tc>
      </w:tr>
    </w:tbl>
    <w:p>
      <w:pPr>
        <w:spacing w:after="0"/>
      </w:pPr>
    </w:p>
    <w:p>
      <w:pPr>
        <w:pStyle w:val="Heading1"/>
      </w:pPr>
      <w:r>
        <w:t>6. Ablation Diagnosis</w:t>
      </w:r>
    </w:p>
    <w:p>
      <w:pPr>
        <w:pStyle w:val="BodyText"/>
        <w:spacing w:after="120"/>
      </w:pPr>
      <w:r>
        <w:rPr>
          <w:rFonts w:ascii="Liberation Sans" w:hAnsi="Liberation Sans"/>
          <w:color w:val="222222"/>
          <w:sz w:val="20"/>
        </w:rPr>
        <w:t>Ablation deltas are defined as ΔMAE = MAE(ablated) − MAE(full). Positive values mean that removing the component worsened MAE and therefore support a useful contribution from the component; negative values mean that the ablated model improved point forecasting.</w:t>
      </w:r>
    </w:p>
    <w:p>
      <w:r>
        <w:drawing>
          <wp:inline xmlns:a="http://schemas.openxmlformats.org/drawingml/2006/main" xmlns:pic="http://schemas.openxmlformats.org/drawingml/2006/picture">
            <wp:extent cx="5760720" cy="25715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no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Liberation Sans" w:hAnsi="Liberation Sans"/>
          <w:i/>
          <w:color w:val="666666"/>
          <w:sz w:val="16"/>
        </w:rPr>
        <w:t>Figure 7. Flow-Jump ablation effect for no flow.</w:t>
      </w:r>
    </w:p>
    <w:p>
      <w:r>
        <w:drawing>
          <wp:inline xmlns:a="http://schemas.openxmlformats.org/drawingml/2006/main" xmlns:pic="http://schemas.openxmlformats.org/drawingml/2006/picture">
            <wp:extent cx="5760720" cy="26354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no_jum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5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Liberation Sans" w:hAnsi="Liberation Sans"/>
          <w:i/>
          <w:color w:val="666666"/>
          <w:sz w:val="16"/>
        </w:rPr>
        <w:t>Figure 8. Flow-Jump ablation effect for no jump.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760720" cy="25928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no_represent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2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Liberation Sans" w:hAnsi="Liberation Sans"/>
          <w:i/>
          <w:color w:val="666666"/>
          <w:sz w:val="16"/>
        </w:rPr>
        <w:t>Figure 9. Flow-Jump ablation effect for no representation.</w:t>
      </w:r>
    </w:p>
    <w:p>
      <w:r>
        <w:drawing>
          <wp:inline xmlns:a="http://schemas.openxmlformats.org/drawingml/2006/main" xmlns:pic="http://schemas.openxmlformats.org/drawingml/2006/picture">
            <wp:extent cx="5760720" cy="26620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no_prob_sca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2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Liberation Sans" w:hAnsi="Liberation Sans"/>
          <w:i/>
          <w:color w:val="666666"/>
          <w:sz w:val="16"/>
        </w:rPr>
        <w:t>Figure 10. Flow-Jump ablation effect for no prob scale.</w:t>
      </w:r>
    </w:p>
    <w:p>
      <w:pPr>
        <w:pStyle w:val="BodyText"/>
        <w:spacing w:after="120"/>
      </w:pPr>
      <w:r>
        <w:rPr>
          <w:rFonts w:ascii="Liberation Sans" w:hAnsi="Liberation Sans"/>
          <w:color w:val="222222"/>
          <w:sz w:val="20"/>
        </w:rPr>
        <w:t>Continuous flow is modestly beneficial in the jumps (+0.0289), misspecified (+0.0523), and site-shift (+0.0168) worlds. The representation pathway also helps in several difficult worlds. These patterns indicate that the structured architecture is not entirely decorative.</w:t>
      </w:r>
    </w:p>
    <w:p>
      <w:pPr>
        <w:pStyle w:val="BodyText"/>
        <w:spacing w:after="120"/>
      </w:pPr>
      <w:r>
        <w:rPr>
          <w:rFonts w:ascii="Liberation Sans" w:hAnsi="Liberation Sans"/>
          <w:color w:val="222222"/>
          <w:sz w:val="20"/>
        </w:rPr>
        <w:t>The explicit jump pathway is more ambiguous. It is clearly useful in the informative-observation world (+0.0761), but removing it slightly improves MAE in the dedicated jumps world (−0.0155) and smooth world (−0.0177). Because the current no-jump ablation removes the explicit event-conditioned recurrent jump while the frozen representation may still contain current-event information, this finding does not prove that discrete-event information is useless; it does show that the present explicit jump mechanism is not yet validated as the source of performance in the jump-dominated world.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tcMar>
              <w:top w:w="120" w:type="dxa"/>
              <w:start w:w="150" w:type="dxa"/>
              <w:bottom w:w="120" w:type="dxa"/>
              <w:end w:w="150" w:type="dxa"/>
            </w:tcMar>
            <w:shd w:fill="FCE8E8"/>
          </w:tcPr>
          <w:p>
            <w:r>
              <w:rPr>
                <w:rFonts w:ascii="Liberation Sans" w:hAnsi="Liberation Sans"/>
                <w:b/>
                <w:color w:val="17365D"/>
                <w:sz w:val="20"/>
              </w:rPr>
              <w:t>Major warning: probabilistic scale</w:t>
              <w:br/>
            </w:r>
            <w:r>
              <w:rPr>
                <w:rFonts w:ascii="Liberation Sans" w:hAnsi="Liberation Sans"/>
                <w:color w:val="222222"/>
                <w:sz w:val="19"/>
              </w:rPr>
              <w:t>Removing the probabilistic scale pathway improves MAE in every world, dramatically so under misspecification (Δ = −0.578). The scale head may still be justified by likelihood/calibration, but its point-forecasting cost must be explicitly balanced against NLL and coverage before it is retained.</w:t>
            </w:r>
          </w:p>
        </w:tc>
      </w:tr>
    </w:tbl>
    <w:p>
      <w:pPr>
        <w:spacing w:after="0"/>
      </w:pPr>
    </w:p>
    <w:p>
      <w:pPr>
        <w:pStyle w:val="Heading1"/>
      </w:pPr>
      <w:r>
        <w:t>7. Observation-Process Head</w:t>
      </w:r>
    </w:p>
    <w:p>
      <w:pPr>
        <w:pStyle w:val="BodyText"/>
        <w:spacing w:after="120"/>
      </w:pPr>
      <w:r>
        <w:rPr>
          <w:rFonts w:ascii="Liberation Sans" w:hAnsi="Liberation Sans"/>
          <w:color w:val="222222"/>
          <w:sz w:val="20"/>
        </w:rPr>
        <w:t>The observation-aware model does not show reproducible robustness benefit in the dedicated site-shift benchmark. Mean benefit is defined so that positive values favor the full observation-head model. Most shifted-site effects are extremely close to zero, while MAE, RMSE, event Brier, event ROC-AUC, and latent recovery are slightly negative. Coverage and event log-loss improve only marginally.</w:t>
      </w:r>
    </w:p>
    <w:p>
      <w:r>
        <w:drawing>
          <wp:inline xmlns:a="http://schemas.openxmlformats.org/drawingml/2006/main" xmlns:pic="http://schemas.openxmlformats.org/drawingml/2006/picture">
            <wp:extent cx="5943600" cy="31875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servation_head_benefi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Liberation Sans" w:hAnsi="Liberation Sans"/>
          <w:i/>
          <w:color w:val="666666"/>
          <w:sz w:val="16"/>
        </w:rPr>
        <w:t>Figure 11. Observation-head benefit across site-shift robustness metrics. Effects cluster around zero.</w:t>
      </w:r>
    </w:p>
    <w:p>
      <w:r>
        <w:drawing>
          <wp:inline xmlns:a="http://schemas.openxmlformats.org/drawingml/2006/main" xmlns:pic="http://schemas.openxmlformats.org/drawingml/2006/picture">
            <wp:extent cx="5669280" cy="267418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servation_head_nl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74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Liberation Sans" w:hAnsi="Liberation Sans"/>
          <w:i/>
          <w:color w:val="666666"/>
          <w:sz w:val="16"/>
        </w:rPr>
        <w:t>Figure 12. NLL effect of the observation head. Mean benefit is negative with very large dispersion, especially on the shifted site.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tcMar>
              <w:top w:w="120" w:type="dxa"/>
              <w:start w:w="150" w:type="dxa"/>
              <w:bottom w:w="120" w:type="dxa"/>
              <w:end w:w="150" w:type="dxa"/>
            </w:tcMar>
            <w:shd w:fill="FCE8E8"/>
          </w:tcPr>
          <w:p>
            <w:r>
              <w:rPr>
                <w:rFonts w:ascii="Liberation Sans" w:hAnsi="Liberation Sans"/>
                <w:b/>
                <w:color w:val="17365D"/>
                <w:sz w:val="20"/>
              </w:rPr>
              <w:t>Decision on observation head</w:t>
              <w:br/>
            </w:r>
            <w:r>
              <w:rPr>
                <w:rFonts w:ascii="Liberation Sans" w:hAnsi="Liberation Sans"/>
                <w:color w:val="222222"/>
                <w:sz w:val="19"/>
              </w:rPr>
              <w:t>The predeclared retention criterion is not met. The current observation-process head should be dropped or redesigned for Phase-0.5 rather than defended on the basis of this run.</w:t>
            </w:r>
          </w:p>
        </w:tc>
      </w:tr>
    </w:tbl>
    <w:p>
      <w:pPr>
        <w:spacing w:after="0"/>
      </w:pPr>
    </w:p>
    <w:p>
      <w:pPr>
        <w:pStyle w:val="Heading1"/>
      </w:pPr>
      <w:r>
        <w:t>8. Misspecification Robustness</w:t>
      </w:r>
    </w:p>
    <w:p>
      <w:pPr>
        <w:pStyle w:val="BodyText"/>
        <w:spacing w:after="120"/>
      </w:pPr>
      <w:r>
        <w:rPr>
          <w:rFonts w:ascii="Liberation Sans" w:hAnsi="Liberation Sans"/>
          <w:color w:val="222222"/>
          <w:sz w:val="20"/>
        </w:rPr>
        <w:t>In the misspecified world, Flow-Jump loses to the representation-linear probe at every training size. It is nevertheless competitive with the scratch GRU in isolated settings, including N=20 (1.602 vs 1.618) and N=80 (1.471 vs 1.483). The appropriate conclusion is therefore “competitive in isolated settings, not robustly superior.”</w:t>
      </w:r>
    </w:p>
    <w:p>
      <w:r>
        <w:drawing>
          <wp:inline xmlns:a="http://schemas.openxmlformats.org/drawingml/2006/main" xmlns:pic="http://schemas.openxmlformats.org/drawingml/2006/picture">
            <wp:extent cx="5715000" cy="295454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e_misspecifi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54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Liberation Sans" w:hAnsi="Liberation Sans"/>
          <w:i/>
          <w:color w:val="666666"/>
          <w:sz w:val="16"/>
        </w:rPr>
        <w:t>Figure 13. Mean test MAE under simulator misspecification.</w:t>
      </w:r>
    </w:p>
    <w:p>
      <w:pPr>
        <w:pStyle w:val="Heading1"/>
      </w:pPr>
      <w:r>
        <w:t>9. Phase-0 Decision</w:t>
      </w:r>
    </w:p>
    <w:p>
      <w:r>
        <w:drawing>
          <wp:inline xmlns:a="http://schemas.openxmlformats.org/drawingml/2006/main" xmlns:pic="http://schemas.openxmlformats.org/drawingml/2006/picture">
            <wp:extent cx="6217920" cy="315250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te_diagra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52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Liberation Sans" w:hAnsi="Liberation Sans"/>
          <w:i/>
          <w:color w:val="666666"/>
          <w:sz w:val="16"/>
        </w:rPr>
        <w:t>Figure 14. Current Phase-0 decision state.</w:t>
      </w:r>
    </w:p>
    <w:p>
      <w:pPr>
        <w:pStyle w:val="BodyText"/>
        <w:spacing w:after="120"/>
      </w:pPr>
      <w:r>
        <w:rPr>
          <w:rFonts w:ascii="Liberation Sans" w:hAnsi="Liberation Sans"/>
          <w:color w:val="222222"/>
          <w:sz w:val="20"/>
        </w:rPr>
        <w:t>The literal Criterion A threshold (“improve at least one primary low-N objective in a dynamics world”) is satisfied, but only weakly. That formal pass should not be confused with validation of the stronger intended claim. In the extreme-low-N regime N ≤ 40, there are zero simultaneous Flow-Jump wins over both primary comparators across 12 dynamics-world/N settings.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tcMar>
              <w:top w:w="120" w:type="dxa"/>
              <w:start w:w="150" w:type="dxa"/>
              <w:bottom w:w="120" w:type="dxa"/>
              <w:end w:w="150" w:type="dxa"/>
            </w:tcMar>
            <w:shd w:fill="FFF4CE"/>
          </w:tcPr>
          <w:p>
            <w:r>
              <w:rPr>
                <w:rFonts w:ascii="Liberation Sans" w:hAnsi="Liberation Sans"/>
                <w:b/>
                <w:color w:val="17365D"/>
                <w:sz w:val="20"/>
              </w:rPr>
              <w:t>Scientific verdict</w:t>
              <w:br/>
            </w:r>
            <w:r>
              <w:rPr>
                <w:rFonts w:ascii="Liberation Sans" w:hAnsi="Liberation Sans"/>
                <w:color w:val="222222"/>
                <w:sz w:val="19"/>
              </w:rPr>
              <w:t>The current implementation does not validate extreme-low-N superiority. It does provide enough structured, reproducible signal to justify a focused Phase-0.5 iteration aimed at moving the crossover from N≈80–100 toward N≈10–40.</w:t>
            </w:r>
          </w:p>
        </w:tc>
      </w:tr>
    </w:tbl>
    <w:p>
      <w:pPr>
        <w:spacing w:after="0"/>
      </w:pPr>
    </w:p>
    <w:p>
      <w:pPr>
        <w:pStyle w:val="Heading1"/>
      </w:pPr>
      <w:r>
        <w:t>10. Phase-0.5 Research Agenda</w:t>
      </w:r>
    </w:p>
    <w:p>
      <w:pPr>
        <w:pStyle w:val="Heading3"/>
      </w:pPr>
      <w:r>
        <w:rPr>
          <w:rFonts w:ascii="Liberation Sans" w:hAnsi="Liberation Sans"/>
          <w:b/>
          <w:color w:val="2F5597"/>
          <w:sz w:val="22"/>
        </w:rPr>
        <w:t>Capacity-matched control</w:t>
      </w:r>
    </w:p>
    <w:p>
      <w:pPr>
        <w:pStyle w:val="BodyText"/>
        <w:spacing w:after="120"/>
      </w:pPr>
      <w:r>
        <w:rPr>
          <w:rFonts w:ascii="Liberation Sans" w:hAnsi="Liberation Sans"/>
          <w:color w:val="222222"/>
          <w:sz w:val="20"/>
        </w:rPr>
        <w:t>Construct a GRU with approximately 7k trainable parameters and rerun the same seed/world/N matrix. This is necessary to separate inductive bias from capacity.</w:t>
      </w:r>
    </w:p>
    <w:p>
      <w:pPr>
        <w:pStyle w:val="Heading3"/>
      </w:pPr>
      <w:r>
        <w:rPr>
          <w:rFonts w:ascii="Liberation Sans" w:hAnsi="Liberation Sans"/>
          <w:b/>
          <w:color w:val="2F5597"/>
          <w:sz w:val="22"/>
        </w:rPr>
        <w:t>Jump-pathway diagnosis</w:t>
      </w:r>
    </w:p>
    <w:p>
      <w:pPr>
        <w:pStyle w:val="BodyText"/>
        <w:spacing w:after="120"/>
      </w:pPr>
      <w:r>
        <w:rPr>
          <w:rFonts w:ascii="Liberation Sans" w:hAnsi="Liberation Sans"/>
          <w:color w:val="222222"/>
          <w:sz w:val="20"/>
        </w:rPr>
        <w:t>Instrument event-conditioned updates and build a stricter pre-event representation path h_{t−}=f(H_{&lt;t}) so the jump ablation cannot inherit current-event semantics through h_t.</w:t>
      </w:r>
    </w:p>
    <w:p>
      <w:pPr>
        <w:pStyle w:val="Heading3"/>
      </w:pPr>
      <w:r>
        <w:rPr>
          <w:rFonts w:ascii="Liberation Sans" w:hAnsi="Liberation Sans"/>
          <w:b/>
          <w:color w:val="2F5597"/>
          <w:sz w:val="22"/>
        </w:rPr>
        <w:t>Uncertainty redesign</w:t>
      </w:r>
    </w:p>
    <w:p>
      <w:pPr>
        <w:pStyle w:val="BodyText"/>
        <w:spacing w:after="120"/>
      </w:pPr>
      <w:r>
        <w:rPr>
          <w:rFonts w:ascii="Liberation Sans" w:hAnsi="Liberation Sans"/>
          <w:color w:val="222222"/>
          <w:sz w:val="20"/>
        </w:rPr>
        <w:t>Evaluate whether the probabilistic-scale head’s MAE penalty purchases better NLL/coverage. If not, decouple point and scale optimization or redesign the uncertainty parameterization.</w:t>
      </w:r>
    </w:p>
    <w:p>
      <w:pPr>
        <w:pStyle w:val="Heading3"/>
      </w:pPr>
      <w:r>
        <w:rPr>
          <w:rFonts w:ascii="Liberation Sans" w:hAnsi="Liberation Sans"/>
          <w:b/>
          <w:color w:val="2F5597"/>
          <w:sz w:val="22"/>
        </w:rPr>
        <w:t>Observation-head redesign</w:t>
      </w:r>
    </w:p>
    <w:p>
      <w:pPr>
        <w:pStyle w:val="BodyText"/>
        <w:spacing w:after="120"/>
      </w:pPr>
      <w:r>
        <w:rPr>
          <w:rFonts w:ascii="Liberation Sans" w:hAnsi="Liberation Sans"/>
          <w:color w:val="222222"/>
          <w:sz w:val="20"/>
        </w:rPr>
        <w:t>Remove the current observation-process head from the default model. Reintroduce only after a mechanism can show reproducible site-shift robustness/calibration benefit.</w:t>
      </w:r>
    </w:p>
    <w:p>
      <w:pPr>
        <w:pStyle w:val="Heading3"/>
      </w:pPr>
      <w:r>
        <w:rPr>
          <w:rFonts w:ascii="Liberation Sans" w:hAnsi="Liberation Sans"/>
          <w:b/>
          <w:color w:val="2F5597"/>
          <w:sz w:val="22"/>
        </w:rPr>
        <w:t>Low-N crossover target</w:t>
      </w:r>
    </w:p>
    <w:p>
      <w:pPr>
        <w:pStyle w:val="BodyText"/>
        <w:spacing w:after="120"/>
      </w:pPr>
      <w:r>
        <w:rPr>
          <w:rFonts w:ascii="Liberation Sans" w:hAnsi="Liberation Sans"/>
          <w:color w:val="222222"/>
          <w:sz w:val="20"/>
        </w:rPr>
        <w:t>Treat N=5,10,20,40 as the primary optimization target. The next architecture should be judged by paired seed-level gains in this region, not by N=80/100 improvements alone.</w:t>
      </w:r>
    </w:p>
    <w:p>
      <w:pPr>
        <w:pStyle w:val="Heading3"/>
      </w:pPr>
      <w:r>
        <w:rPr>
          <w:rFonts w:ascii="Liberation Sans" w:hAnsi="Liberation Sans"/>
          <w:b/>
          <w:color w:val="2F5597"/>
          <w:sz w:val="22"/>
        </w:rPr>
        <w:t>Seed-level inference</w:t>
      </w:r>
    </w:p>
    <w:p>
      <w:pPr>
        <w:pStyle w:val="BodyText"/>
        <w:spacing w:after="120"/>
      </w:pPr>
      <w:r>
        <w:rPr>
          <w:rFonts w:ascii="Liberation Sans" w:hAnsi="Liberation Sans"/>
          <w:color w:val="222222"/>
          <w:sz w:val="20"/>
        </w:rPr>
        <w:t>Report paired differences, confidence intervals / bootstrap intervals, and consistency across the five matched seed bundles rather than relying only on mean learning curves.</w:t>
      </w:r>
    </w:p>
    <w:p>
      <w:pPr>
        <w:pStyle w:val="Heading1"/>
      </w:pPr>
      <w:r>
        <w:t>11. Execution Integrity and Provenance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917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color w:val="222222"/>
                <w:sz w:val="17"/>
              </w:rPr>
              <w:t>Protocol anchor</w:t>
            </w:r>
          </w:p>
        </w:tc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be5a66b2e45362f60c90844e4e25673fb7bb3e21</w:t>
            </w:r>
          </w:p>
        </w:tc>
      </w:tr>
      <w:tr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color w:val="222222"/>
                <w:sz w:val="17"/>
              </w:rPr>
              <w:t>Execution SHA</w:t>
            </w:r>
          </w:p>
        </w:tc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d6f105eee73fcb8e9cc5987d292b1bb98a687382</w:t>
            </w:r>
          </w:p>
        </w:tc>
      </w:tr>
      <w:tr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color w:val="222222"/>
                <w:sz w:val="17"/>
              </w:rPr>
              <w:t>CUDA runtime</w:t>
            </w:r>
          </w:p>
        </w:tc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13.0</w:t>
            </w:r>
          </w:p>
        </w:tc>
      </w:tr>
      <w:tr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color w:val="222222"/>
                <w:sz w:val="17"/>
              </w:rPr>
              <w:t>GPU</w:t>
            </w:r>
          </w:p>
        </w:tc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NVIDIA GeForce RTX 4060 Laptop GPU</w:t>
            </w:r>
          </w:p>
        </w:tc>
      </w:tr>
      <w:tr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color w:val="222222"/>
                <w:sz w:val="17"/>
              </w:rPr>
              <w:t>Workers</w:t>
            </w:r>
          </w:p>
        </w:tc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2</w:t>
            </w:r>
          </w:p>
        </w:tc>
      </w:tr>
      <w:tr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color w:val="222222"/>
                <w:sz w:val="17"/>
              </w:rPr>
              <w:t>Wall time</w:t>
            </w:r>
          </w:p>
        </w:tc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03 h 40 m 02.49 s</w:t>
            </w:r>
          </w:p>
        </w:tc>
      </w:tr>
      <w:tr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color w:val="222222"/>
                <w:sz w:val="17"/>
              </w:rPr>
              <w:t>Shards</w:t>
            </w:r>
          </w:p>
        </w:tc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25 / 25 complete</w:t>
            </w:r>
          </w:p>
        </w:tc>
      </w:tr>
      <w:tr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color w:val="222222"/>
                <w:sz w:val="17"/>
              </w:rPr>
              <w:t>Cells</w:t>
            </w:r>
          </w:p>
        </w:tc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2,730 / 2,730 complete</w:t>
            </w:r>
          </w:p>
        </w:tc>
      </w:tr>
      <w:tr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color w:val="222222"/>
                <w:sz w:val="17"/>
              </w:rPr>
              <w:t>Metric rows</w:t>
            </w:r>
          </w:p>
        </w:tc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23,520</w:t>
            </w:r>
          </w:p>
        </w:tc>
      </w:tr>
      <w:tr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color w:val="222222"/>
                <w:sz w:val="17"/>
              </w:rPr>
              <w:t>Failures</w:t>
            </w:r>
          </w:p>
        </w:tc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0</w:t>
            </w:r>
          </w:p>
        </w:tc>
      </w:tr>
      <w:tr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color w:val="222222"/>
                <w:sz w:val="17"/>
              </w:rPr>
              <w:t>Cancelled</w:t>
            </w:r>
          </w:p>
        </w:tc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0</w:t>
            </w:r>
          </w:p>
        </w:tc>
      </w:tr>
      <w:tr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color w:val="222222"/>
                <w:sz w:val="17"/>
              </w:rPr>
              <w:t>Incomplete</w:t>
            </w:r>
          </w:p>
        </w:tc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0</w:t>
            </w:r>
          </w:p>
        </w:tc>
      </w:tr>
      <w:tr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color w:val="222222"/>
                <w:sz w:val="17"/>
              </w:rPr>
              <w:t>Duplicate scientific keys</w:t>
            </w:r>
          </w:p>
        </w:tc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0</w:t>
            </w:r>
          </w:p>
        </w:tc>
      </w:tr>
      <w:tr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color w:val="222222"/>
                <w:sz w:val="17"/>
              </w:rPr>
              <w:t>NaN / infinite metric values</w:t>
            </w:r>
          </w:p>
        </w:tc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0 / 0</w:t>
            </w:r>
          </w:p>
        </w:tc>
      </w:tr>
      <w:tr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color w:val="222222"/>
                <w:sz w:val="17"/>
              </w:rPr>
              <w:t>Backend provenance</w:t>
            </w:r>
          </w:p>
        </w:tc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7"/>
              </w:rPr>
              <w:t>PASS (manifest authoritative; row-level backend explicit for representation MLP)</w:t>
            </w:r>
          </w:p>
        </w:tc>
      </w:tr>
    </w:tbl>
    <w:p>
      <w:pPr>
        <w:spacing w:after="100"/>
        <w:jc w:val="center"/>
      </w:pPr>
      <w:r>
        <w:rPr>
          <w:rFonts w:ascii="Liberation Sans" w:hAnsi="Liberation Sans"/>
          <w:i/>
          <w:color w:val="666666"/>
          <w:sz w:val="16"/>
        </w:rPr>
        <w:t>Table 3. Official run provenance and completeness record.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Artifact</w:t>
            </w:r>
          </w:p>
        </w:tc>
        <w:tc>
          <w:tcPr>
            <w:tcW w:type="dxa" w:w="4917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4"/>
              </w:rPr>
              <w:t>SHA-256</w:t>
            </w:r>
          </w:p>
        </w:tc>
      </w:tr>
      <w:tr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color w:val="222222"/>
                <w:sz w:val="14"/>
              </w:rPr>
              <w:t>run_record.json</w:t>
            </w:r>
          </w:p>
        </w:tc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4"/>
              </w:rPr>
              <w:t>93de1112ad855388a4d422a06249575cbc5de569a7b9a498e4d7a25f18a87b82</w:t>
            </w:r>
          </w:p>
        </w:tc>
      </w:tr>
      <w:tr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color w:val="222222"/>
                <w:sz w:val="14"/>
              </w:rPr>
              <w:t>run_manifest.json</w:t>
            </w:r>
          </w:p>
        </w:tc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4"/>
              </w:rPr>
              <w:t>1a85f24e64b18c1728ef1e811a3e35ae16507b66373da29d8004b1961e9c8a08</w:t>
            </w:r>
          </w:p>
        </w:tc>
      </w:tr>
      <w:tr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color w:val="222222"/>
                <w:sz w:val="14"/>
              </w:rPr>
              <w:t>metrics.csv</w:t>
            </w:r>
          </w:p>
        </w:tc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4"/>
              </w:rPr>
              <w:t>f829502bc3489b3608c1ba06c9b4ca0c0910872c88ee628325339232c6816dcf</w:t>
            </w:r>
          </w:p>
        </w:tc>
      </w:tr>
      <w:tr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color w:val="222222"/>
                <w:sz w:val="14"/>
              </w:rPr>
              <w:t>ablation_metrics.csv</w:t>
            </w:r>
          </w:p>
        </w:tc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4"/>
              </w:rPr>
              <w:t>0ea780e62ef39d4024627eddbe1a83f5c48ba838dd763802d69a834e7b4416f6</w:t>
            </w:r>
          </w:p>
        </w:tc>
      </w:tr>
      <w:tr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color w:val="222222"/>
                <w:sz w:val="14"/>
              </w:rPr>
              <w:t>gate_summary.csv</w:t>
            </w:r>
          </w:p>
        </w:tc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4"/>
              </w:rPr>
              <w:t>a8d68248da47c7803b5cc6aaa2465ea682802c85a49a61b05c9ce0f5eecf7b06</w:t>
            </w:r>
          </w:p>
        </w:tc>
      </w:tr>
      <w:tr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color w:val="222222"/>
                <w:sz w:val="14"/>
              </w:rPr>
              <w:t>learning_curves.png</w:t>
            </w:r>
          </w:p>
        </w:tc>
        <w:tc>
          <w:tcPr>
            <w:tcW w:type="dxa" w:w="4917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color w:val="222222"/>
                <w:sz w:val="14"/>
              </w:rPr>
              <w:t>888f5cec421e0e5341d90fd62b8ba82df8b8c498c87e25e69620f57fa96ad729</w:t>
            </w:r>
          </w:p>
        </w:tc>
      </w:tr>
    </w:tbl>
    <w:p>
      <w:pPr>
        <w:spacing w:after="100"/>
        <w:jc w:val="center"/>
      </w:pPr>
      <w:r>
        <w:rPr>
          <w:rFonts w:ascii="Liberation Sans" w:hAnsi="Liberation Sans"/>
          <w:i/>
          <w:color w:val="666666"/>
          <w:sz w:val="16"/>
        </w:rPr>
        <w:t>Table 4. Checksums captured immediately after the audit-passed official execution.</w:t>
      </w:r>
    </w:p>
    <w:p>
      <w:pPr>
        <w:pStyle w:val="Heading1"/>
      </w:pPr>
      <w:r>
        <w:t>12. Interpretation Limits</w:t>
      </w:r>
    </w:p>
    <w:p>
      <w:pPr>
        <w:pStyle w:val="ListBullet"/>
        <w:spacing w:after="40"/>
      </w:pPr>
      <w:r>
        <w:rPr>
          <w:rFonts w:ascii="Liberation Sans" w:hAnsi="Liberation Sans"/>
          <w:color w:val="222222"/>
          <w:sz w:val="19"/>
        </w:rPr>
        <w:t>Synthetic evidence is methodological evidence only; it does not establish clinical validity, transportability, safety, or utility on real patients.</w:t>
      </w:r>
    </w:p>
    <w:p>
      <w:pPr>
        <w:pStyle w:val="ListBullet"/>
        <w:spacing w:after="40"/>
      </w:pPr>
      <w:r>
        <w:rPr>
          <w:rFonts w:ascii="Liberation Sans" w:hAnsi="Liberation Sans"/>
          <w:color w:val="222222"/>
          <w:sz w:val="19"/>
        </w:rPr>
        <w:t>The “beats both” map is based on mean MAE across matched seed bundles. Seed-level paired effects and uncertainty intervals should accompany any publication-grade claim.</w:t>
      </w:r>
    </w:p>
    <w:p>
      <w:pPr>
        <w:pStyle w:val="ListBullet"/>
        <w:spacing w:after="40"/>
      </w:pPr>
      <w:r>
        <w:rPr>
          <w:rFonts w:ascii="Liberation Sans" w:hAnsi="Liberation Sans"/>
          <w:color w:val="222222"/>
          <w:sz w:val="19"/>
        </w:rPr>
        <w:t>Criterion C remains pending until the complete NLL and 90% coverage tables are interpreted; this report does not invent a post-hoc threshold for “materially worse.”</w:t>
      </w:r>
    </w:p>
    <w:p>
      <w:pPr>
        <w:pStyle w:val="ListBullet"/>
        <w:spacing w:after="40"/>
      </w:pPr>
      <w:r>
        <w:rPr>
          <w:rFonts w:ascii="Liberation Sans" w:hAnsi="Liberation Sans"/>
          <w:color w:val="222222"/>
          <w:sz w:val="19"/>
        </w:rPr>
        <w:t>The observation-head site-shift analysis is strong evidence against retaining the current head, but it is not evidence that informative observation processes are unimportant in clinical data.</w:t>
      </w:r>
    </w:p>
    <w:p>
      <w:pPr>
        <w:pStyle w:val="ListBullet"/>
        <w:spacing w:after="40"/>
      </w:pPr>
      <w:r>
        <w:rPr>
          <w:rFonts w:ascii="Liberation Sans" w:hAnsi="Liberation Sans"/>
          <w:color w:val="222222"/>
          <w:sz w:val="19"/>
        </w:rPr>
        <w:t>The no-jump ablation is a module-level ablation. Because the frozen history representation may contain current-event information, it is not equivalent to deleting all discrete-event information from the model.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tcMar>
              <w:top w:w="120" w:type="dxa"/>
              <w:start w:w="150" w:type="dxa"/>
              <w:bottom w:w="120" w:type="dxa"/>
              <w:end w:w="150" w:type="dxa"/>
            </w:tcMar>
            <w:shd w:fill="EAF0F7"/>
          </w:tcPr>
          <w:p>
            <w:r>
              <w:rPr>
                <w:rFonts w:ascii="Liberation Sans" w:hAnsi="Liberation Sans"/>
                <w:b/>
                <w:color w:val="17365D"/>
                <w:sz w:val="20"/>
              </w:rPr>
              <w:t>Recommended status</w:t>
              <w:br/>
            </w:r>
            <w:r>
              <w:rPr>
                <w:rFonts w:ascii="Liberation Sans" w:hAnsi="Liberation Sans"/>
                <w:color w:val="222222"/>
                <w:sz w:val="19"/>
              </w:rPr>
              <w:t>PHASE-0 COMPLETE → PHASE-0.5 REQUIRED. Preserve this execution as the immutable first official synthetic result. Do not relabel it as a successful low-N validation; use it as the diagnostic baseline against which the redesigned adapter must improve.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6666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Liberation Sans" w:hAnsi="Liberation Sans"/>
        <w:color w:val="666666"/>
        <w:sz w:val="16"/>
      </w:rPr>
      <w:t>AFMC Phase-0 Synthetic Validation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