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B0757" w:rsidRDefault="004B0757" w:rsidP="00AC5A4D">
      <w:pPr>
        <w:pStyle w:val="BodyL"/>
      </w:pPr>
    </w:p>
    <w:p w:rsidR="004B0757" w:rsidRDefault="004B0757">
      <w:pPr>
        <w:pStyle w:val="TitleArticle"/>
      </w:pPr>
      <w:r>
        <w:t>analysis and modeling of lithium flows in porous materials</w:t>
      </w:r>
    </w:p>
    <w:p w:rsidR="004B0757" w:rsidRDefault="004B0757">
      <w:pPr>
        <w:pStyle w:val="Author"/>
      </w:pPr>
      <w:r>
        <w:rPr>
          <w:lang w:val="en-US"/>
        </w:rPr>
        <w:t>J. Rudolph</w:t>
      </w:r>
      <w:r>
        <w:rPr>
          <w:vertAlign w:val="superscript"/>
          <w:lang w:val="en-US"/>
        </w:rPr>
        <w:t>*</w:t>
      </w:r>
      <w:r>
        <w:rPr>
          <w:bCs/>
          <w:lang w:val="en-US"/>
        </w:rPr>
        <w:t>,</w:t>
      </w:r>
      <w:r>
        <w:rPr>
          <w:lang w:val="en-US"/>
        </w:rPr>
        <w:t xml:space="preserve"> G. Miloshevsky</w:t>
      </w:r>
    </w:p>
    <w:p w:rsidR="004B0757" w:rsidRDefault="004B0757">
      <w:pPr>
        <w:pStyle w:val="Address"/>
      </w:pPr>
      <w:r>
        <w:rPr>
          <w:lang w:val="en-US"/>
        </w:rPr>
        <w:t xml:space="preserve">School of Nuclear Engineering, </w:t>
      </w:r>
      <w:r>
        <w:rPr>
          <w:iCs/>
          <w:lang w:val="en-US"/>
        </w:rPr>
        <w:t>Purdue University, West Lafayette, Indiana 47907, USA</w:t>
      </w:r>
    </w:p>
    <w:p w:rsidR="004B0757" w:rsidRDefault="004B0757">
      <w:pPr>
        <w:pStyle w:val="Address"/>
      </w:pPr>
      <w:r>
        <w:rPr>
          <w:vertAlign w:val="superscript"/>
          <w:lang w:val="en-US"/>
        </w:rPr>
        <w:t>*</w:t>
      </w:r>
      <w:r>
        <w:rPr>
          <w:lang w:val="en-US"/>
        </w:rPr>
        <w:t xml:space="preserve">e-mail: </w:t>
      </w:r>
      <w:r>
        <w:rPr>
          <w:i w:val="0"/>
          <w:u w:val="single"/>
        </w:rPr>
        <w:t>jrudolp@purdue.edu</w:t>
      </w:r>
    </w:p>
    <w:p w:rsidR="004B0757" w:rsidRDefault="004B0757">
      <w:pPr>
        <w:pStyle w:val="ManReceived"/>
        <w:rPr>
          <w:b/>
          <w:color w:val="000000"/>
          <w:lang w:val="en-US"/>
        </w:rPr>
      </w:pPr>
      <w:r>
        <w:rPr>
          <w:lang w:val="en-US"/>
        </w:rPr>
        <w:t xml:space="preserve">Received </w:t>
      </w:r>
      <w:r>
        <w:rPr>
          <w:lang w:val="en-US"/>
        </w:rPr>
        <w:fldChar w:fldCharType="begin"/>
      </w:r>
      <w:r>
        <w:rPr>
          <w:lang w:val="en-US"/>
        </w:rPr>
        <w:instrText xml:space="preserve"> DATE \@"MMMM\ d', 'yyyy" </w:instrText>
      </w:r>
      <w:r>
        <w:rPr>
          <w:lang w:val="en-US"/>
        </w:rPr>
        <w:fldChar w:fldCharType="separate"/>
      </w:r>
      <w:r w:rsidR="00AC5A4D">
        <w:rPr>
          <w:noProof/>
          <w:lang w:val="en-US"/>
        </w:rPr>
        <w:t>December 2, 2017</w:t>
      </w:r>
      <w:r>
        <w:rPr>
          <w:lang w:val="en-US"/>
        </w:rPr>
        <w:fldChar w:fldCharType="end"/>
      </w:r>
    </w:p>
    <w:p w:rsidR="004B0757" w:rsidRDefault="004B0757">
      <w:pPr>
        <w:pStyle w:val="Abstract"/>
      </w:pPr>
      <w:r>
        <w:rPr>
          <w:b/>
          <w:color w:val="000000"/>
          <w:lang w:val="en-US"/>
        </w:rPr>
        <w:t>Abstract –</w:t>
      </w:r>
      <w:r>
        <w:rPr>
          <w:color w:val="000000"/>
          <w:lang w:val="en-US"/>
        </w:rPr>
        <w:t xml:space="preserve"> </w:t>
      </w:r>
      <w:r>
        <w:rPr>
          <w:rFonts w:eastAsia="TT7BDFo00"/>
          <w:lang w:val="en-US"/>
        </w:rPr>
        <w:t xml:space="preserve">The </w:t>
      </w:r>
      <w:r>
        <w:rPr>
          <w:rFonts w:eastAsia="TT7BDFo00"/>
          <w:color w:val="FF0000"/>
          <w:lang w:val="en-US"/>
        </w:rPr>
        <w:t>[include 5-7 sentences]</w:t>
      </w:r>
      <w:r>
        <w:rPr>
          <w:color w:val="000000"/>
          <w:lang w:val="en-US"/>
        </w:rPr>
        <w:t xml:space="preserve">  </w:t>
      </w:r>
    </w:p>
    <w:p w:rsidR="004B0757" w:rsidRDefault="004B0757">
      <w:pPr>
        <w:pStyle w:val="WW-Heading"/>
      </w:pPr>
      <w:r>
        <w:rPr>
          <w:lang w:val="en-US"/>
        </w:rPr>
        <w:t>1. INTRODUCTION</w:t>
      </w:r>
    </w:p>
    <w:p w:rsidR="004B0757" w:rsidRDefault="004B0757" w:rsidP="00C01256">
      <w:pPr>
        <w:pStyle w:val="BodyL"/>
      </w:pPr>
      <w:r>
        <w:rPr>
          <w:lang w:val="en-US"/>
        </w:rPr>
        <w:t xml:space="preserve">Liquid lithium (LL) walls have been identified as a potential solution to many of the engineering problems in a magnetic fusion reactor. The flowing liquid metal could provide heat removal, elimination of erosion via constant renewal of the wall, and possible stabilization of MHD modes. The NSTX-U experiments at the Princeton Plasma Physics Laboratory are planned for testing a pre-filled LL </w:t>
      </w:r>
      <w:proofErr w:type="spellStart"/>
      <w:r>
        <w:rPr>
          <w:lang w:val="en-US"/>
        </w:rPr>
        <w:t>divertor</w:t>
      </w:r>
      <w:proofErr w:type="spellEnd"/>
      <w:r>
        <w:rPr>
          <w:lang w:val="en-US"/>
        </w:rPr>
        <w:t xml:space="preserve"> system with capillary wicking channels for supply of lithium from an internal reservoir </w:t>
      </w:r>
      <w:r>
        <w:rPr>
          <w:color w:val="FF0000"/>
          <w:lang w:val="en-US"/>
        </w:rPr>
        <w:t>[ref.]</w:t>
      </w:r>
      <w:r>
        <w:rPr>
          <w:lang w:val="en-US"/>
        </w:rPr>
        <w:t xml:space="preserve">. However, the erosion of the LL surface can be induced by plasma flow or Lorentz forces that may lead to its instability and undesirable effects such as waving, de-wetting, and lithium droplet formation. </w:t>
      </w:r>
    </w:p>
    <w:p w:rsidR="004B0757" w:rsidRDefault="004B0757">
      <w:pPr>
        <w:pStyle w:val="BodyL"/>
        <w:rPr>
          <w:color w:val="FF0000"/>
          <w:lang w:val="en-US"/>
        </w:rPr>
      </w:pPr>
    </w:p>
    <w:p w:rsidR="004B0757" w:rsidRDefault="004B0757">
      <w:pPr>
        <w:pStyle w:val="WW-Heading"/>
      </w:pPr>
      <w:r>
        <w:rPr>
          <w:lang w:val="en-US"/>
        </w:rPr>
        <w:t>2. THEORETICAL AND COMPUTATIONAL MODELS</w:t>
      </w:r>
    </w:p>
    <w:p w:rsidR="004B0757" w:rsidRDefault="004B0757">
      <w:pPr>
        <w:pStyle w:val="BodyL"/>
      </w:pPr>
      <w:r>
        <w:rPr>
          <w:lang w:val="en-US"/>
        </w:rPr>
        <w:t xml:space="preserve">In this study, both linear stability </w:t>
      </w:r>
      <w:r w:rsidRPr="00F9362B">
        <w:rPr>
          <w:lang w:val="en-US"/>
        </w:rPr>
        <w:t xml:space="preserve">analysis </w:t>
      </w:r>
      <w:r>
        <w:rPr>
          <w:lang w:val="en-US"/>
        </w:rPr>
        <w:t xml:space="preserve">and computational modeling have been used to study the coupled liquid metal-plasma flows </w:t>
      </w:r>
      <w:r>
        <w:rPr>
          <w:color w:val="FF0000"/>
          <w:lang w:val="en-US"/>
        </w:rPr>
        <w:t>[refs]</w:t>
      </w:r>
      <w:r>
        <w:rPr>
          <w:lang w:val="en-US"/>
        </w:rPr>
        <w:t xml:space="preserve">. The linear stability analysis includes thermal effects, viscous forces, and the porosity of the material through which the LL flows. The expression for the relative velocity of the viscous instability in a porous material is derived. The porous media is described by porosity and permeability coefficients. Using harmonic normal modes in the linearized </w:t>
      </w:r>
      <w:proofErr w:type="spellStart"/>
      <w:r>
        <w:rPr>
          <w:lang w:val="en-US"/>
        </w:rPr>
        <w:t>Navier</w:t>
      </w:r>
      <w:proofErr w:type="spellEnd"/>
      <w:r>
        <w:rPr>
          <w:lang w:val="en-US"/>
        </w:rPr>
        <w:t xml:space="preserve">-Stock equations, we derive the following expression for the relative velocity </w:t>
      </w:r>
      <w:r>
        <w:rPr>
          <w:position w:val="-3"/>
        </w:rPr>
        <w:object w:dxaOrig="1538" w:dyaOrig="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16pt" o:ole="" filled="t">
            <v:fill color2="black"/>
            <v:imagedata r:id="rId7" o:title=""/>
          </v:shape>
          <o:OLEObject Type="Embed" ProgID="Equation.3" ShapeID="_x0000_i1025" DrawAspect="Content" ObjectID="_1573707776" r:id="rId8"/>
        </w:object>
      </w:r>
      <w:r>
        <w:rPr>
          <w:lang w:val="en-US"/>
        </w:rPr>
        <w:t xml:space="preserve"> of the viscous K-H instability in the porous media </w:t>
      </w:r>
    </w:p>
    <w:p w:rsidR="004B0757" w:rsidRDefault="00F9362B">
      <w:pPr>
        <w:pStyle w:val="BodyL"/>
      </w:pPr>
      <w:r>
        <w:rPr>
          <w:position w:val="-411"/>
        </w:rPr>
        <w:object w:dxaOrig="4756" w:dyaOrig="8460">
          <v:shape id="_x0000_i1026" type="#_x0000_t75" style="width:259.5pt;height:224.5pt" o:ole="" filled="t">
            <v:fill color2="black"/>
            <v:imagedata r:id="rId9" o:title=""/>
          </v:shape>
          <o:OLEObject Type="Embed" ProgID="Equation.3" ShapeID="_x0000_i1026" DrawAspect="Content" ObjectID="_1573707777" r:id="rId10"/>
        </w:object>
      </w:r>
      <w:r w:rsidR="004B0757">
        <w:rPr>
          <w:lang w:val="en-US"/>
        </w:rPr>
        <w:t xml:space="preserve">         (1)</w:t>
      </w:r>
    </w:p>
    <w:p w:rsidR="004B0757" w:rsidRDefault="004B0757">
      <w:pPr>
        <w:jc w:val="both"/>
      </w:pPr>
      <w:r>
        <w:t xml:space="preserve">where </w:t>
      </w:r>
      <w:r>
        <w:rPr>
          <w:position w:val="-3"/>
        </w:rPr>
        <w:object w:dxaOrig="420" w:dyaOrig="319">
          <v:shape id="_x0000_i1027" type="#_x0000_t75" style="width:21pt;height:16pt" o:ole="" filled="t">
            <v:fill color2="black"/>
            <v:imagedata r:id="rId11" o:title=""/>
          </v:shape>
          <o:OLEObject Type="Embed" ProgID="Equation.3" ShapeID="_x0000_i1027" DrawAspect="Content" ObjectID="_1573707778" r:id="rId12"/>
        </w:object>
      </w:r>
      <w:r>
        <w:t xml:space="preserve">, </w:t>
      </w:r>
      <w:r>
        <w:rPr>
          <w:position w:val="-3"/>
        </w:rPr>
        <w:object w:dxaOrig="438" w:dyaOrig="319">
          <v:shape id="_x0000_i1028" type="#_x0000_t75" style="width:22pt;height:16pt" o:ole="" filled="t">
            <v:fill color2="black"/>
            <v:imagedata r:id="rId13" o:title=""/>
          </v:shape>
          <o:OLEObject Type="Embed" ProgID="Equation.3" ShapeID="_x0000_i1028" DrawAspect="Content" ObjectID="_1573707779" r:id="rId14"/>
        </w:object>
      </w:r>
      <w:r>
        <w:t xml:space="preserve">, </w:t>
      </w:r>
      <w:r>
        <w:rPr>
          <w:position w:val="-3"/>
        </w:rPr>
        <w:object w:dxaOrig="377" w:dyaOrig="319">
          <v:shape id="_x0000_i1029" type="#_x0000_t75" style="width:19pt;height:16pt" o:ole="" filled="t">
            <v:fill color2="black"/>
            <v:imagedata r:id="rId15" o:title=""/>
          </v:shape>
          <o:OLEObject Type="Embed" ProgID="Equation.3" ShapeID="_x0000_i1029" DrawAspect="Content" ObjectID="_1573707780" r:id="rId16"/>
        </w:object>
      </w:r>
      <w:r>
        <w:t xml:space="preserve">, </w:t>
      </w:r>
      <w:r>
        <w:rPr>
          <w:position w:val="-3"/>
        </w:rPr>
        <w:object w:dxaOrig="395" w:dyaOrig="319">
          <v:shape id="_x0000_i1030" type="#_x0000_t75" style="width:20pt;height:16pt" o:ole="" filled="t">
            <v:fill color2="black"/>
            <v:imagedata r:id="rId17" o:title=""/>
          </v:shape>
          <o:OLEObject Type="Embed" ProgID="Equation.3" ShapeID="_x0000_i1030" DrawAspect="Content" ObjectID="_1573707781" r:id="rId18"/>
        </w:object>
      </w:r>
      <w:r>
        <w:t xml:space="preserve"> denote the velocity and mass density of plasma and melt, </w:t>
      </w:r>
      <w:r>
        <w:rPr>
          <w:position w:val="-5"/>
        </w:rPr>
        <w:object w:dxaOrig="1780" w:dyaOrig="355">
          <v:shape id="_x0000_i1031" type="#_x0000_t75" style="width:89pt;height:18pt" o:ole="" filled="t">
            <v:fill color2="black"/>
            <v:imagedata r:id="rId19" o:title=""/>
          </v:shape>
          <o:OLEObject Type="Embed" ProgID="Equation.3" ShapeID="_x0000_i1031" DrawAspect="Content" ObjectID="_1573707782" r:id="rId20"/>
        </w:object>
      </w:r>
      <w:r>
        <w:t xml:space="preserve">, </w:t>
      </w:r>
      <w:r>
        <w:rPr>
          <w:position w:val="-5"/>
        </w:rPr>
        <w:object w:dxaOrig="1834" w:dyaOrig="355">
          <v:shape id="_x0000_i1032" type="#_x0000_t75" style="width:91.5pt;height:18pt" o:ole="" filled="t">
            <v:fill color2="black"/>
            <v:imagedata r:id="rId21" o:title=""/>
          </v:shape>
          <o:OLEObject Type="Embed" ProgID="Equation.3" ShapeID="_x0000_i1032" DrawAspect="Content" ObjectID="_1573707783" r:id="rId22"/>
        </w:object>
      </w:r>
      <w:r>
        <w:t xml:space="preserve">, </w:t>
      </w:r>
      <w:r>
        <w:rPr>
          <w:position w:val="-5"/>
        </w:rPr>
        <w:object w:dxaOrig="1783" w:dyaOrig="355">
          <v:shape id="_x0000_i1033" type="#_x0000_t75" style="width:89pt;height:18pt" o:ole="" filled="t">
            <v:fill color2="black"/>
            <v:imagedata r:id="rId23" o:title=""/>
          </v:shape>
          <o:OLEObject Type="Embed" ProgID="Equation.3" ShapeID="_x0000_i1033" DrawAspect="Content" ObjectID="_1573707784" r:id="rId24"/>
        </w:object>
      </w:r>
      <w:r>
        <w:t xml:space="preserve">, </w:t>
      </w:r>
      <w:r>
        <w:rPr>
          <w:position w:val="-5"/>
        </w:rPr>
        <w:object w:dxaOrig="1837" w:dyaOrig="355">
          <v:shape id="_x0000_i1034" type="#_x0000_t75" style="width:92pt;height:18pt" o:ole="" filled="t">
            <v:fill color2="black"/>
            <v:imagedata r:id="rId25" o:title=""/>
          </v:shape>
          <o:OLEObject Type="Embed" ProgID="Equation.3" ShapeID="_x0000_i1034" DrawAspect="Content" ObjectID="_1573707785" r:id="rId26"/>
        </w:object>
      </w:r>
      <w:r>
        <w:t xml:space="preserve">, </w:t>
      </w:r>
      <w:r>
        <w:rPr>
          <w:position w:val="-3"/>
        </w:rPr>
        <w:object w:dxaOrig="376" w:dyaOrig="319">
          <v:shape id="_x0000_i1035" type="#_x0000_t75" style="width:19pt;height:16pt" o:ole="" filled="t">
            <v:fill color2="black"/>
            <v:imagedata r:id="rId27" o:title=""/>
          </v:shape>
          <o:OLEObject Type="Embed" ProgID="Equation.3" ShapeID="_x0000_i1035" DrawAspect="Content" ObjectID="_1573707786" r:id="rId28"/>
        </w:object>
      </w:r>
      <w:r>
        <w:t xml:space="preserve">, </w:t>
      </w:r>
      <w:r>
        <w:rPr>
          <w:position w:val="-3"/>
        </w:rPr>
        <w:object w:dxaOrig="394" w:dyaOrig="319">
          <v:shape id="_x0000_i1036" type="#_x0000_t75" style="width:19.5pt;height:16pt" o:ole="" filled="t">
            <v:fill color2="black"/>
            <v:imagedata r:id="rId29" o:title=""/>
          </v:shape>
          <o:OLEObject Type="Embed" ProgID="Equation.3" ShapeID="_x0000_i1036" DrawAspect="Content" ObjectID="_1573707787" r:id="rId30"/>
        </w:object>
      </w:r>
      <w:r>
        <w:t xml:space="preserve">, </w:t>
      </w:r>
      <w:r>
        <w:rPr>
          <w:position w:val="-3"/>
        </w:rPr>
        <w:object w:dxaOrig="364" w:dyaOrig="319">
          <v:shape id="_x0000_i1037" type="#_x0000_t75" style="width:18pt;height:16pt" o:ole="" filled="t">
            <v:fill color2="black"/>
            <v:imagedata r:id="rId31" o:title=""/>
          </v:shape>
          <o:OLEObject Type="Embed" ProgID="Equation.3" ShapeID="_x0000_i1037" DrawAspect="Content" ObjectID="_1573707788" r:id="rId32"/>
        </w:object>
      </w:r>
      <w:r>
        <w:t xml:space="preserve">, </w:t>
      </w:r>
      <w:r>
        <w:rPr>
          <w:position w:val="-3"/>
        </w:rPr>
        <w:object w:dxaOrig="382" w:dyaOrig="319">
          <v:shape id="_x0000_i1038" type="#_x0000_t75" style="width:19pt;height:16pt" o:ole="" filled="t">
            <v:fill color2="black"/>
            <v:imagedata r:id="rId33" o:title=""/>
          </v:shape>
          <o:OLEObject Type="Embed" ProgID="Equation.3" ShapeID="_x0000_i1038" DrawAspect="Content" ObjectID="_1573707789" r:id="rId34"/>
        </w:object>
      </w:r>
      <w:r>
        <w:t xml:space="preserve"> are the viscosity and thickness of plasma and melt, </w:t>
      </w:r>
      <w:r>
        <w:rPr>
          <w:position w:val="-3"/>
        </w:rPr>
        <w:object w:dxaOrig="352" w:dyaOrig="319">
          <v:shape id="_x0000_i1039" type="#_x0000_t75" style="width:17.5pt;height:16pt" o:ole="" filled="t">
            <v:fill color2="black"/>
            <v:imagedata r:id="rId35" o:title=""/>
          </v:shape>
          <o:OLEObject Type="Embed" ProgID="Equation.3" ShapeID="_x0000_i1039" DrawAspect="Content" ObjectID="_1573707790" r:id="rId36"/>
        </w:object>
      </w:r>
      <w:r>
        <w:t xml:space="preserve"> and </w:t>
      </w:r>
      <w:r>
        <w:rPr>
          <w:position w:val="-3"/>
        </w:rPr>
        <w:object w:dxaOrig="370" w:dyaOrig="319">
          <v:shape id="_x0000_i1040" type="#_x0000_t75" style="width:18.5pt;height:16pt" o:ole="" filled="t">
            <v:fill color2="black"/>
            <v:imagedata r:id="rId37" o:title=""/>
          </v:shape>
          <o:OLEObject Type="Embed" ProgID="Equation.3" ShapeID="_x0000_i1040" DrawAspect="Content" ObjectID="_1573707791" r:id="rId38"/>
        </w:object>
      </w:r>
      <w:r>
        <w:t xml:space="preserve"> are plasma and melt porosities, </w:t>
      </w:r>
      <w:r>
        <w:rPr>
          <w:position w:val="-3"/>
        </w:rPr>
        <w:object w:dxaOrig="387" w:dyaOrig="319">
          <v:shape id="_x0000_i1041" type="#_x0000_t75" style="width:19.5pt;height:16pt" o:ole="" filled="t">
            <v:fill color2="black"/>
            <v:imagedata r:id="rId39" o:title=""/>
          </v:shape>
          <o:OLEObject Type="Embed" ProgID="Equation.3" ShapeID="_x0000_i1041" DrawAspect="Content" ObjectID="_1573707792" r:id="rId40"/>
        </w:object>
      </w:r>
      <w:r>
        <w:t xml:space="preserve"> and </w:t>
      </w:r>
      <w:r>
        <w:rPr>
          <w:position w:val="-3"/>
        </w:rPr>
        <w:object w:dxaOrig="405" w:dyaOrig="319">
          <v:shape id="_x0000_i1042" type="#_x0000_t75" style="width:20.5pt;height:16pt" o:ole="" filled="t">
            <v:fill color2="black"/>
            <v:imagedata r:id="rId41" o:title=""/>
          </v:shape>
          <o:OLEObject Type="Embed" ProgID="Equation.3" ShapeID="_x0000_i1042" DrawAspect="Content" ObjectID="_1573707793" r:id="rId42"/>
        </w:object>
      </w:r>
      <w:r>
        <w:t xml:space="preserve"> are permeabilities of plasma and melt in the porous media, </w:t>
      </w:r>
      <w:r>
        <w:rPr>
          <w:position w:val="-1"/>
        </w:rPr>
        <w:object w:dxaOrig="959" w:dyaOrig="265">
          <v:shape id="_x0000_i1043" type="#_x0000_t75" style="width:48pt;height:13.5pt" o:ole="" filled="t">
            <v:fill color2="black"/>
            <v:imagedata r:id="rId43" o:title=""/>
          </v:shape>
          <o:OLEObject Type="Embed" ProgID="Equation.3" ShapeID="_x0000_i1043" DrawAspect="Content" ObjectID="_1573707794" r:id="rId44"/>
        </w:object>
      </w:r>
      <w:r>
        <w:t xml:space="preserve"> is the wave number associated with small disturbances </w:t>
      </w:r>
      <w:r>
        <w:rPr>
          <w:position w:val="-2"/>
        </w:rPr>
        <w:object w:dxaOrig="1786" w:dyaOrig="287">
          <v:shape id="_x0000_i1044" type="#_x0000_t75" style="width:89.5pt;height:14.5pt" o:ole="" filled="t">
            <v:fill color2="black"/>
            <v:imagedata r:id="rId45" o:title=""/>
          </v:shape>
          <o:OLEObject Type="Embed" ProgID="Equation.3" ShapeID="_x0000_i1044" DrawAspect="Content" ObjectID="_1573707795" r:id="rId46"/>
        </w:object>
      </w:r>
      <w:r>
        <w:t xml:space="preserve">, </w:t>
      </w:r>
      <w:r>
        <w:rPr>
          <w:position w:val="-1"/>
        </w:rPr>
        <w:object w:dxaOrig="266" w:dyaOrig="265">
          <v:shape id="_x0000_i1045" type="#_x0000_t75" style="width:13.5pt;height:13.5pt" o:ole="" filled="t">
            <v:fill color2="black"/>
            <v:imagedata r:id="rId47" o:title=""/>
          </v:shape>
          <o:OLEObject Type="Embed" ProgID="Equation.3" ShapeID="_x0000_i1045" DrawAspect="Content" ObjectID="_1573707796" r:id="rId48"/>
        </w:object>
      </w:r>
      <w:r>
        <w:t xml:space="preserve"> is the wavelength, </w:t>
      </w:r>
      <w:r>
        <w:rPr>
          <w:position w:val="-1"/>
        </w:rPr>
        <w:object w:dxaOrig="313" w:dyaOrig="265">
          <v:shape id="_x0000_i1046" type="#_x0000_t75" style="width:15.5pt;height:13.5pt" o:ole="" filled="t">
            <v:fill color2="black"/>
            <v:imagedata r:id="rId49" o:title=""/>
          </v:shape>
          <o:OLEObject Type="Embed" ProgID="Equation.3" ShapeID="_x0000_i1046" DrawAspect="Content" ObjectID="_1573707797" r:id="rId50"/>
        </w:object>
      </w:r>
      <w:r>
        <w:t xml:space="preserve"> is the frequency, </w:t>
      </w:r>
      <w:r>
        <w:rPr>
          <w:position w:val="-1"/>
        </w:rPr>
        <w:object w:dxaOrig="275" w:dyaOrig="265">
          <v:shape id="_x0000_i1047" type="#_x0000_t75" style="width:14pt;height:13.5pt" o:ole="" filled="t">
            <v:fill color2="black"/>
            <v:imagedata r:id="rId51" o:title=""/>
          </v:shape>
          <o:OLEObject Type="Embed" ProgID="Equation.3" ShapeID="_x0000_i1047" DrawAspect="Content" ObjectID="_1573707798" r:id="rId52"/>
        </w:object>
      </w:r>
      <w:r>
        <w:t xml:space="preserve"> is the gravity constant, </w:t>
      </w:r>
      <w:r>
        <w:rPr>
          <w:position w:val="-1"/>
        </w:rPr>
        <w:object w:dxaOrig="258" w:dyaOrig="265">
          <v:shape id="_x0000_i1048" type="#_x0000_t75" style="width:13pt;height:13.5pt" o:ole="" filled="t">
            <v:fill color2="black"/>
            <v:imagedata r:id="rId53" o:title=""/>
          </v:shape>
          <o:OLEObject Type="Embed" ProgID="Equation.3" ShapeID="_x0000_i1048" DrawAspect="Content" ObjectID="_1573707799" r:id="rId54"/>
        </w:object>
      </w:r>
      <w:r>
        <w:t xml:space="preserve"> is the interfacial surface tension, </w:t>
      </w:r>
      <w:r>
        <w:rPr>
          <w:position w:val="-4"/>
        </w:rPr>
        <w:object w:dxaOrig="2295" w:dyaOrig="324">
          <v:shape id="_x0000_i1049" type="#_x0000_t75" style="width:115pt;height:16pt" o:ole="" filled="t">
            <v:fill color2="black"/>
            <v:imagedata r:id="rId55" o:title=""/>
          </v:shape>
          <o:OLEObject Type="Embed" ProgID="Equation.3" ShapeID="_x0000_i1049" DrawAspect="Content" ObjectID="_1573707800" r:id="rId56"/>
        </w:object>
      </w:r>
      <w:r>
        <w:t xml:space="preserve"> is the coefficient of heat transfer, </w:t>
      </w:r>
      <w:r>
        <w:rPr>
          <w:position w:val="-3"/>
        </w:rPr>
        <w:object w:dxaOrig="372" w:dyaOrig="319">
          <v:shape id="_x0000_i1050" type="#_x0000_t75" style="width:18.5pt;height:16pt" o:ole="" filled="t">
            <v:fill color2="black"/>
            <v:imagedata r:id="rId57" o:title=""/>
          </v:shape>
          <o:OLEObject Type="Embed" ProgID="Equation.3" ShapeID="_x0000_i1050" DrawAspect="Content" ObjectID="_1573707801" r:id="rId58"/>
        </w:object>
      </w:r>
      <w:r>
        <w:t xml:space="preserve"> is the latent heat of evaporation, </w:t>
      </w:r>
      <w:r>
        <w:rPr>
          <w:position w:val="-4"/>
        </w:rPr>
        <w:object w:dxaOrig="2225" w:dyaOrig="324">
          <v:shape id="_x0000_i1051" type="#_x0000_t75" style="width:111.5pt;height:16pt" o:ole="" filled="t">
            <v:fill color2="black"/>
            <v:imagedata r:id="rId59" o:title=""/>
          </v:shape>
          <o:OLEObject Type="Embed" ProgID="Equation.3" ShapeID="_x0000_i1051" DrawAspect="Content" ObjectID="_1573707802" r:id="rId60"/>
        </w:object>
      </w:r>
      <w:r>
        <w:t xml:space="preserve"> is the equilibrium heat flux, and </w:t>
      </w:r>
      <w:r>
        <w:rPr>
          <w:position w:val="-3"/>
        </w:rPr>
        <w:object w:dxaOrig="454" w:dyaOrig="319">
          <v:shape id="_x0000_i1052" type="#_x0000_t75" style="width:22.5pt;height:16pt" o:ole="" filled="t">
            <v:fill color2="black"/>
            <v:imagedata r:id="rId61" o:title=""/>
          </v:shape>
          <o:OLEObject Type="Embed" ProgID="Equation.3" ShapeID="_x0000_i1052" DrawAspect="Content" ObjectID="_1573707803" r:id="rId62"/>
        </w:object>
      </w:r>
      <w:r>
        <w:t xml:space="preserve"> is the heat conduction coefficient. This viscous potential flow analysis was applied to the plasma-lithium melt system shown in Fig. 1.</w:t>
      </w:r>
      <w:r>
        <w:rPr>
          <w:color w:val="3333FF"/>
        </w:rPr>
        <w:t xml:space="preserve"> </w:t>
      </w:r>
      <w:r>
        <w:t xml:space="preserve">The following parameters are used. </w:t>
      </w:r>
      <w:r>
        <w:rPr>
          <w:color w:val="FF0000"/>
        </w:rPr>
        <w:t xml:space="preserve">[add parameters from slide 7] </w:t>
      </w:r>
      <w:r>
        <w:rPr>
          <w:color w:val="3333FF"/>
        </w:rPr>
        <w:t>[I will add these this weekend, as I will need Microsoft Word to format them consistently and I can only use LibreOffice Writer on my office computer]</w:t>
      </w:r>
    </w:p>
    <w:p w:rsidR="004B0757" w:rsidRDefault="004B0757">
      <w:pPr>
        <w:jc w:val="both"/>
      </w:pPr>
    </w:p>
    <w:p w:rsidR="004B0757" w:rsidRDefault="00F9362B">
      <w:pPr>
        <w:pStyle w:val="BodyL"/>
      </w:pPr>
      <w:r>
        <w:rPr>
          <w:lang w:val="en-US"/>
        </w:rPr>
        <w:t>A</w:t>
      </w:r>
      <w:r w:rsidR="004B0757">
        <w:rPr>
          <w:lang w:val="en-US"/>
        </w:rPr>
        <w:t xml:space="preserve"> computational model is </w:t>
      </w:r>
      <w:r>
        <w:rPr>
          <w:lang w:val="en-US"/>
        </w:rPr>
        <w:t xml:space="preserve">also </w:t>
      </w:r>
      <w:r w:rsidR="004B0757">
        <w:rPr>
          <w:lang w:val="en-US"/>
        </w:rPr>
        <w:t>developed for treating the LL flow with a free surface in a porous material, as well as the coupled LL-plasma flow under the influence of an external magnetic field [</w:t>
      </w:r>
      <w:r w:rsidR="004B0757">
        <w:rPr>
          <w:color w:val="FF0000"/>
          <w:lang w:val="en-US"/>
        </w:rPr>
        <w:t>refs.</w:t>
      </w:r>
      <w:r w:rsidR="004B0757">
        <w:rPr>
          <w:lang w:val="en-US"/>
        </w:rPr>
        <w:t xml:space="preserve">]. The model is based on the </w:t>
      </w:r>
      <w:proofErr w:type="spellStart"/>
      <w:r w:rsidR="004B0757">
        <w:rPr>
          <w:lang w:val="en-US"/>
        </w:rPr>
        <w:t>interFoam</w:t>
      </w:r>
      <w:proofErr w:type="spellEnd"/>
      <w:r w:rsidR="004B0757">
        <w:rPr>
          <w:lang w:val="en-US"/>
        </w:rPr>
        <w:t xml:space="preserve"> solver included in the </w:t>
      </w:r>
      <w:proofErr w:type="spellStart"/>
      <w:r w:rsidR="004B0757">
        <w:rPr>
          <w:lang w:val="en-US"/>
        </w:rPr>
        <w:t>OpenFOAM</w:t>
      </w:r>
      <w:proofErr w:type="spellEnd"/>
      <w:r w:rsidR="004B0757">
        <w:rPr>
          <w:lang w:val="en-US"/>
        </w:rPr>
        <w:t xml:space="preserve"> CFD toolbox, which uses the volume of fluid (VOF) method to track the LL/gas phases and the interfaces between them. The VOF method supplements the </w:t>
      </w:r>
      <w:proofErr w:type="spellStart"/>
      <w:r w:rsidR="004B0757">
        <w:rPr>
          <w:lang w:val="en-US"/>
        </w:rPr>
        <w:t>Navier</w:t>
      </w:r>
      <w:proofErr w:type="spellEnd"/>
      <w:r w:rsidR="004B0757">
        <w:rPr>
          <w:lang w:val="en-US"/>
        </w:rPr>
        <w:t>-Stokes equations with a transport equation for the relative volume of LL in each cell, with this “volume fraction” field used to calculate the mean fluid properties in each cell and the surface tension forces at the LL-plasma interface [</w:t>
      </w:r>
      <w:r w:rsidR="004B0757">
        <w:rPr>
          <w:color w:val="FF0000"/>
          <w:lang w:val="en-US"/>
        </w:rPr>
        <w:t>ref.</w:t>
      </w:r>
      <w:r w:rsidR="004B0757">
        <w:rPr>
          <w:lang w:val="en-US"/>
        </w:rPr>
        <w:t xml:space="preserve">]. </w:t>
      </w:r>
    </w:p>
    <w:p w:rsidR="004B0757" w:rsidRDefault="004B0757">
      <w:pPr>
        <w:pStyle w:val="BodyL"/>
      </w:pPr>
      <w:r>
        <w:rPr>
          <w:lang w:val="en-US"/>
        </w:rPr>
        <w:t xml:space="preserve">We have expanded the model by implementing the effects of thermal conduction, medium porosity, and magnetic fields into the </w:t>
      </w:r>
      <w:proofErr w:type="spellStart"/>
      <w:r>
        <w:rPr>
          <w:lang w:val="en-US"/>
        </w:rPr>
        <w:t>interFoam</w:t>
      </w:r>
      <w:proofErr w:type="spellEnd"/>
      <w:r>
        <w:rPr>
          <w:lang w:val="en-US"/>
        </w:rPr>
        <w:t xml:space="preserve"> solver. The magnetic effects are implemented using the ideal magnetic induction and divergence equations, with the resulting Lorentz (</w:t>
      </w:r>
      <w:proofErr w:type="spellStart"/>
      <w:r>
        <w:rPr>
          <w:lang w:val="en-US"/>
        </w:rPr>
        <w:t>JxB</w:t>
      </w:r>
      <w:proofErr w:type="spellEnd"/>
      <w:r>
        <w:rPr>
          <w:lang w:val="en-US"/>
        </w:rPr>
        <w:t xml:space="preserve">) force and Joule heating terms added to the momentum and heat conduction equations, respectively. The porosity of the medium is implemented as a body force in the momentum </w:t>
      </w:r>
      <w:r>
        <w:rPr>
          <w:lang w:val="en-US"/>
        </w:rPr>
        <w:lastRenderedPageBreak/>
        <w:t>equation according to the Darcy-</w:t>
      </w:r>
      <w:proofErr w:type="spellStart"/>
      <w:r>
        <w:rPr>
          <w:lang w:val="en-US"/>
        </w:rPr>
        <w:t>Forchheimer</w:t>
      </w:r>
      <w:proofErr w:type="spellEnd"/>
      <w:r>
        <w:rPr>
          <w:lang w:val="en-US"/>
        </w:rPr>
        <w:t xml:space="preserve"> equation, which describes the resistance to flow of the porous medium.</w:t>
      </w:r>
    </w:p>
    <w:p w:rsidR="004B0757" w:rsidRDefault="004B0757" w:rsidP="00FA4218">
      <w:pPr>
        <w:pStyle w:val="BodyL"/>
      </w:pPr>
      <w:r>
        <w:rPr>
          <w:lang w:val="en-US"/>
        </w:rPr>
        <w:t xml:space="preserve">The set-up of the two-dimensional CFD domain is shown in Fig. 2. The domain is divided into three zones: the lower zone as a porous </w:t>
      </w:r>
      <w:r w:rsidR="001A752E">
        <w:rPr>
          <w:lang w:val="en-US"/>
        </w:rPr>
        <w:t>medium</w:t>
      </w:r>
      <w:r>
        <w:rPr>
          <w:lang w:val="en-US"/>
        </w:rPr>
        <w:t xml:space="preserve"> saturated by the flowing LL, the middle zone as a nonporous medium containing either argon (</w:t>
      </w:r>
      <w:proofErr w:type="spellStart"/>
      <w:r>
        <w:rPr>
          <w:lang w:val="en-US"/>
        </w:rPr>
        <w:t>Ar</w:t>
      </w:r>
      <w:proofErr w:type="spellEnd"/>
      <w:r>
        <w:rPr>
          <w:lang w:val="en-US"/>
        </w:rPr>
        <w:t xml:space="preserve">) gas or LL flow, and the upper zone as a nonporous </w:t>
      </w:r>
      <w:r w:rsidR="001A752E">
        <w:rPr>
          <w:lang w:val="en-US"/>
        </w:rPr>
        <w:t>medium</w:t>
      </w:r>
      <w:r>
        <w:rPr>
          <w:lang w:val="en-US"/>
        </w:rPr>
        <w:t xml:space="preserve"> saturated by the flowing </w:t>
      </w:r>
      <w:proofErr w:type="spellStart"/>
      <w:r>
        <w:rPr>
          <w:lang w:val="en-US"/>
        </w:rPr>
        <w:t>Ar</w:t>
      </w:r>
      <w:proofErr w:type="spellEnd"/>
      <w:r>
        <w:rPr>
          <w:lang w:val="en-US"/>
        </w:rPr>
        <w:t xml:space="preserve"> gas. </w:t>
      </w:r>
      <w:r>
        <w:rPr>
          <w:color w:val="3333FF"/>
          <w:lang w:val="en-US"/>
        </w:rPr>
        <w:t xml:space="preserve">[Should we discuss the dimensions of each region? I’m not clear on whether the thickness of the lower zone is adjusted to match the LL inlet thickness, or kept constant as the LL thickness is varied above/below the zone boundary] </w:t>
      </w:r>
      <w:r>
        <w:rPr>
          <w:color w:val="111111"/>
          <w:lang w:val="en-US"/>
        </w:rPr>
        <w:t>Simulations are run in th</w:t>
      </w:r>
      <w:r w:rsidR="00AC5A4D">
        <w:rPr>
          <w:color w:val="111111"/>
          <w:lang w:val="en-US"/>
        </w:rPr>
        <w:t>is</w:t>
      </w:r>
      <w:r>
        <w:rPr>
          <w:color w:val="111111"/>
          <w:lang w:val="en-US"/>
        </w:rPr>
        <w:t xml:space="preserve"> domain for various LL/gas velocities, </w:t>
      </w:r>
      <w:r w:rsidR="00FA4218">
        <w:rPr>
          <w:color w:val="111111"/>
          <w:lang w:val="en-US"/>
        </w:rPr>
        <w:t>melt</w:t>
      </w:r>
      <w:r>
        <w:rPr>
          <w:color w:val="111111"/>
          <w:lang w:val="en-US"/>
        </w:rPr>
        <w:t xml:space="preserve"> layer thicknesses, and magnetic field </w:t>
      </w:r>
      <w:r w:rsidR="00FA4218">
        <w:rPr>
          <w:color w:val="111111"/>
          <w:lang w:val="en-US"/>
        </w:rPr>
        <w:t>configurations in order</w:t>
      </w:r>
      <w:r w:rsidR="00AC5A4D">
        <w:rPr>
          <w:color w:val="111111"/>
          <w:lang w:val="en-US"/>
        </w:rPr>
        <w:t xml:space="preserve"> to investigate the effect of these parameters on wave formation and splashing. </w:t>
      </w:r>
    </w:p>
    <w:p w:rsidR="004B0757" w:rsidRDefault="004B0757">
      <w:pPr>
        <w:pStyle w:val="BodyL"/>
        <w:rPr>
          <w:lang w:val="en-US"/>
        </w:rPr>
      </w:pPr>
    </w:p>
    <w:p w:rsidR="004B0757" w:rsidRDefault="004B0757">
      <w:pPr>
        <w:pStyle w:val="Author"/>
      </w:pPr>
      <w:r>
        <w:rPr>
          <w:b w:val="0"/>
          <w:lang w:val="en-US"/>
        </w:rPr>
        <w:t>3. LINEAR STABILITY ANALYSIS</w:t>
      </w:r>
    </w:p>
    <w:p w:rsidR="00FA4218" w:rsidRDefault="00F9362B" w:rsidP="000E1CB2">
      <w:pPr>
        <w:pStyle w:val="BodyL"/>
        <w:rPr>
          <w:lang w:val="en-US"/>
        </w:rPr>
      </w:pPr>
      <w:r>
        <w:rPr>
          <w:lang w:val="en-US"/>
        </w:rPr>
        <w:t xml:space="preserve">By applying the linear stability analysis to the LL flow, a relationship is obtained for the critical wavelength </w:t>
      </w:r>
      <w:r w:rsidR="001A752E">
        <w:rPr>
          <w:lang w:val="en-US"/>
        </w:rPr>
        <w:t xml:space="preserve">of interface instability </w:t>
      </w:r>
      <w:r>
        <w:rPr>
          <w:lang w:val="en-US"/>
        </w:rPr>
        <w:t xml:space="preserve">as a function of the </w:t>
      </w:r>
      <w:r w:rsidR="001A752E">
        <w:rPr>
          <w:lang w:val="en-US"/>
        </w:rPr>
        <w:t xml:space="preserve">relative flow velocity and the porosity/permeability of the porous medium. Stability curves for three different porosity values are plotted in </w:t>
      </w:r>
      <w:r w:rsidR="001A752E">
        <w:rPr>
          <w:b/>
          <w:lang w:val="en-US"/>
        </w:rPr>
        <w:t>Figure 3</w:t>
      </w:r>
      <w:r w:rsidR="000E1CB2">
        <w:rPr>
          <w:lang w:val="en-US"/>
        </w:rPr>
        <w:t>. In the case of a non-porous medium (</w:t>
      </w:r>
      <w:r w:rsidR="005A5C77">
        <w:rPr>
          <w:lang w:val="en-US"/>
        </w:rPr>
        <w:t xml:space="preserve">infinite porosity, </w:t>
      </w: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m</m:t>
            </m:r>
          </m:sub>
        </m:sSub>
        <m:r>
          <w:rPr>
            <w:rFonts w:ascii="Cambria Math" w:hAnsi="Cambria Math"/>
            <w:lang w:val="en-US"/>
          </w:rPr>
          <m:t>=1</m:t>
        </m:r>
      </m:oMath>
      <w:r w:rsidR="000E1CB2">
        <w:rPr>
          <w:lang w:val="en-US"/>
        </w:rPr>
        <w:t>)</w:t>
      </w:r>
      <w:r w:rsidR="000E1CB2">
        <w:rPr>
          <w:color w:val="000000" w:themeColor="text1"/>
          <w:lang w:val="en-US"/>
        </w:rPr>
        <w:t xml:space="preserve"> it is observed that relative flow velocities greater than 100 m/s induce instabilities in the interface with a critical wavelength approximately 4 cm. </w:t>
      </w:r>
      <w:r w:rsidR="005A5C77">
        <w:rPr>
          <w:color w:val="000000" w:themeColor="text1"/>
          <w:lang w:val="en-US"/>
        </w:rPr>
        <w:t xml:space="preserve">However, decreasing the porosity of the medium is shown to have a stabilizing effect on the flow, with greater relative velocities needed to induce instability for all wavelengths. For a porosity of </w:t>
      </w: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m</m:t>
            </m:r>
          </m:sub>
        </m:sSub>
        <m:r>
          <w:rPr>
            <w:rFonts w:ascii="Cambria Math" w:hAnsi="Cambria Math"/>
            <w:lang w:val="en-US"/>
          </w:rPr>
          <m:t>=0.01</m:t>
        </m:r>
      </m:oMath>
      <w:r w:rsidR="005A5C77">
        <w:rPr>
          <w:lang w:val="en-US"/>
        </w:rPr>
        <w:t xml:space="preserve">, the flow is predicted to remain stable for relative velocities up to nearly 1 km/s. </w:t>
      </w:r>
    </w:p>
    <w:p w:rsidR="004B0757" w:rsidRDefault="000D26CF">
      <w:pPr>
        <w:pStyle w:val="BodyL"/>
        <w:rPr>
          <w:color w:val="FF0000"/>
          <w:lang w:val="en-US"/>
        </w:rPr>
      </w:pPr>
      <w:r>
        <w:rPr>
          <w:color w:val="000000" w:themeColor="text1"/>
          <w:lang w:val="en-US"/>
        </w:rPr>
        <w:t xml:space="preserve">The stability condition of the LL surface is then investigated for several permeability values, as shown in </w:t>
      </w:r>
      <w:r>
        <w:rPr>
          <w:b/>
          <w:color w:val="000000" w:themeColor="text1"/>
          <w:lang w:val="en-US"/>
        </w:rPr>
        <w:t>Figure 4</w:t>
      </w:r>
      <w:r>
        <w:rPr>
          <w:color w:val="000000" w:themeColor="text1"/>
          <w:lang w:val="en-US"/>
        </w:rPr>
        <w:t>. The stability curve for the case of infinite permeability predicts the development of instabilities with a critical wavelength of approximately 4</w:t>
      </w:r>
      <w:r w:rsidR="00EE14EF">
        <w:rPr>
          <w:color w:val="000000" w:themeColor="text1"/>
          <w:lang w:val="en-US"/>
        </w:rPr>
        <w:t xml:space="preserve"> </w:t>
      </w:r>
      <w:r>
        <w:rPr>
          <w:color w:val="000000" w:themeColor="text1"/>
          <w:lang w:val="en-US"/>
        </w:rPr>
        <w:t xml:space="preserve">cm for relative velocities above 300 m/s, with the reduction of permeability having a stabilizing effect on the flow. For a permeability value of </w:t>
      </w:r>
      <m:oMath>
        <m:sSub>
          <m:sSubPr>
            <m:ctrlPr>
              <w:rPr>
                <w:rFonts w:ascii="Cambria Math" w:hAnsi="Cambria Math"/>
                <w:i/>
                <w:color w:val="000000" w:themeColor="text1"/>
                <w:lang w:val="en-US"/>
              </w:rPr>
            </m:ctrlPr>
          </m:sSubPr>
          <m:e>
            <m:r>
              <w:rPr>
                <w:rFonts w:ascii="Cambria Math" w:hAnsi="Cambria Math"/>
                <w:color w:val="000000" w:themeColor="text1"/>
                <w:lang w:val="en-US"/>
              </w:rPr>
              <m:t>π</m:t>
            </m:r>
          </m:e>
          <m:sub>
            <m:r>
              <w:rPr>
                <w:rFonts w:ascii="Cambria Math" w:hAnsi="Cambria Math"/>
                <w:color w:val="000000" w:themeColor="text1"/>
                <w:lang w:val="en-US"/>
              </w:rPr>
              <m:t>m</m:t>
            </m:r>
          </m:sub>
        </m:sSub>
        <m:r>
          <w:rPr>
            <w:rFonts w:ascii="Cambria Math" w:hAnsi="Cambria Math"/>
            <w:color w:val="000000" w:themeColor="text1"/>
            <w:lang w:val="en-US"/>
          </w:rPr>
          <m:t>=</m:t>
        </m:r>
        <m:sSup>
          <m:sSupPr>
            <m:ctrlPr>
              <w:rPr>
                <w:rFonts w:ascii="Cambria Math" w:hAnsi="Cambria Math"/>
                <w:i/>
                <w:color w:val="000000" w:themeColor="text1"/>
                <w:lang w:val="en-US"/>
              </w:rPr>
            </m:ctrlPr>
          </m:sSupPr>
          <m:e>
            <m:r>
              <w:rPr>
                <w:rFonts w:ascii="Cambria Math" w:hAnsi="Cambria Math"/>
                <w:color w:val="000000" w:themeColor="text1"/>
                <w:lang w:val="en-US"/>
              </w:rPr>
              <m:t>10</m:t>
            </m:r>
          </m:e>
          <m:sup>
            <m:r>
              <w:rPr>
                <w:rFonts w:ascii="Cambria Math" w:hAnsi="Cambria Math"/>
                <w:color w:val="000000" w:themeColor="text1"/>
                <w:lang w:val="en-US"/>
              </w:rPr>
              <m:t>-6</m:t>
            </m:r>
          </m:sup>
        </m:sSup>
      </m:oMath>
      <w:r w:rsidR="00EE14EF">
        <w:rPr>
          <w:color w:val="000000" w:themeColor="text1"/>
          <w:lang w:val="en-US"/>
        </w:rPr>
        <w:t>, the instabilities are again suppressed for velocities up to approximately 1 km/s. However, further reduction of the permeability ceases to significantly increase the stability threshold to higher relative velocities as the instabilities become independent of porosity.</w:t>
      </w:r>
    </w:p>
    <w:p w:rsidR="004B0757" w:rsidRDefault="004B0757">
      <w:pPr>
        <w:pStyle w:val="Author"/>
      </w:pPr>
      <w:r>
        <w:rPr>
          <w:b w:val="0"/>
          <w:lang w:val="en-US"/>
        </w:rPr>
        <w:t>4. V</w:t>
      </w:r>
      <w:r w:rsidR="00EE14EF">
        <w:rPr>
          <w:b w:val="0"/>
          <w:lang w:val="en-US"/>
        </w:rPr>
        <w:t>O</w:t>
      </w:r>
      <w:r>
        <w:rPr>
          <w:b w:val="0"/>
          <w:lang w:val="en-US"/>
        </w:rPr>
        <w:t xml:space="preserve">F-MHD MODELING </w:t>
      </w:r>
    </w:p>
    <w:p w:rsidR="00E45E98" w:rsidRDefault="00EE14EF">
      <w:pPr>
        <w:pStyle w:val="BodyL"/>
        <w:rPr>
          <w:lang w:val="en-US"/>
        </w:rPr>
      </w:pPr>
      <w:r>
        <w:rPr>
          <w:lang w:val="en-US"/>
        </w:rPr>
        <w:t xml:space="preserve">The </w:t>
      </w:r>
      <w:r w:rsidR="00E45E98">
        <w:rPr>
          <w:lang w:val="en-US"/>
        </w:rPr>
        <w:t xml:space="preserve">VOF-MHD </w:t>
      </w:r>
      <w:r>
        <w:rPr>
          <w:lang w:val="en-US"/>
        </w:rPr>
        <w:t xml:space="preserve">computational model was then </w:t>
      </w:r>
      <w:r w:rsidR="00E45E98">
        <w:rPr>
          <w:lang w:val="en-US"/>
        </w:rPr>
        <w:t xml:space="preserve">used to study the wave development and stability conditions of the LL flow without neglecting the non-linear effects inherent to the </w:t>
      </w:r>
      <w:r w:rsidR="00E45E98">
        <w:rPr>
          <w:lang w:val="en-US"/>
        </w:rPr>
        <w:lastRenderedPageBreak/>
        <w:t xml:space="preserve">system. The </w:t>
      </w:r>
      <w:r w:rsidR="00341668">
        <w:rPr>
          <w:lang w:val="en-US"/>
        </w:rPr>
        <w:t xml:space="preserve">simulated </w:t>
      </w:r>
      <w:r w:rsidR="00E45E98">
        <w:rPr>
          <w:lang w:val="en-US"/>
        </w:rPr>
        <w:t xml:space="preserve">formation of waves on the LL surface for various melt layer thicknesses </w:t>
      </w:r>
      <w:r w:rsidR="00341668">
        <w:rPr>
          <w:lang w:val="en-US"/>
        </w:rPr>
        <w:t xml:space="preserve">is shown in </w:t>
      </w:r>
      <w:r w:rsidR="00341668">
        <w:rPr>
          <w:b/>
          <w:lang w:val="en-US"/>
        </w:rPr>
        <w:t xml:space="preserve">Figure 5 </w:t>
      </w:r>
      <w:r w:rsidR="00341668">
        <w:rPr>
          <w:lang w:val="en-US"/>
        </w:rPr>
        <w:t>for a fixed inlet melt velocity of 2 m/s. A complex dependence is observed between melt layer thickness and the formation of waves, with thin melt layers (</w:t>
      </w:r>
      <m:oMath>
        <m:r>
          <w:rPr>
            <w:rFonts w:ascii="Cambria Math" w:hAnsi="Cambria Math"/>
            <w:lang w:val="en-US"/>
          </w:rPr>
          <m:t>h≤4 mm</m:t>
        </m:r>
      </m:oMath>
      <w:r w:rsidR="00341668">
        <w:rPr>
          <w:lang w:val="en-US"/>
        </w:rPr>
        <w:t xml:space="preserve">) experiencing the formation and growth of long waves </w:t>
      </w:r>
      <w:r w:rsidR="00D56B5C">
        <w:rPr>
          <w:lang w:val="en-US"/>
        </w:rPr>
        <w:t>(</w:t>
      </w:r>
      <m:oMath>
        <m:r>
          <w:rPr>
            <w:rFonts w:ascii="Cambria Math" w:hAnsi="Cambria Math"/>
            <w:lang w:val="en-US"/>
          </w:rPr>
          <m:t>λ~10-20 mm</m:t>
        </m:r>
      </m:oMath>
      <w:r w:rsidR="00D56B5C">
        <w:rPr>
          <w:lang w:val="en-US"/>
        </w:rPr>
        <w:t>)</w:t>
      </w:r>
      <w:r w:rsidR="00341668">
        <w:rPr>
          <w:lang w:val="en-US"/>
        </w:rPr>
        <w:t>,</w:t>
      </w:r>
      <w:r w:rsidR="00D56B5C">
        <w:rPr>
          <w:lang w:val="en-US"/>
        </w:rPr>
        <w:t xml:space="preserve"> while relatively thick melt layers (</w:t>
      </w:r>
      <m:oMath>
        <m:r>
          <w:rPr>
            <w:rFonts w:ascii="Cambria Math" w:hAnsi="Cambria Math"/>
            <w:lang w:val="en-US"/>
          </w:rPr>
          <m:t>h&gt;10 mm</m:t>
        </m:r>
      </m:oMath>
      <w:r w:rsidR="00D56B5C">
        <w:rPr>
          <w:lang w:val="en-US"/>
        </w:rPr>
        <w:t>) exhibit shorth length waves and</w:t>
      </w:r>
      <w:r w:rsidR="00341668">
        <w:rPr>
          <w:lang w:val="en-US"/>
        </w:rPr>
        <w:t xml:space="preserve"> melt layers of intermediate thickness </w:t>
      </w:r>
      <w:r w:rsidR="00D56B5C">
        <w:rPr>
          <w:lang w:val="en-US"/>
        </w:rPr>
        <w:t>(</w:t>
      </w:r>
      <m:oMath>
        <m:r>
          <w:rPr>
            <w:rFonts w:ascii="Cambria Math" w:hAnsi="Cambria Math"/>
            <w:lang w:val="en-US"/>
          </w:rPr>
          <m:t>h~</m:t>
        </m:r>
        <m:r>
          <w:rPr>
            <w:rFonts w:ascii="Cambria Math" w:hAnsi="Cambria Math"/>
            <w:lang w:val="en-US"/>
          </w:rPr>
          <m:t>6-8 mm</m:t>
        </m:r>
      </m:oMath>
      <w:r w:rsidR="00341668">
        <w:rPr>
          <w:lang w:val="en-US"/>
        </w:rPr>
        <w:t xml:space="preserve">) experience almost </w:t>
      </w:r>
      <w:r w:rsidR="00D56B5C">
        <w:rPr>
          <w:lang w:val="en-US"/>
        </w:rPr>
        <w:t>no</w:t>
      </w:r>
      <w:r w:rsidR="00341668">
        <w:rPr>
          <w:lang w:val="en-US"/>
        </w:rPr>
        <w:t xml:space="preserve"> wave formation</w:t>
      </w:r>
      <w:r w:rsidR="00D56B5C">
        <w:rPr>
          <w:lang w:val="en-US"/>
        </w:rPr>
        <w:t>.</w:t>
      </w:r>
    </w:p>
    <w:p w:rsidR="00D56B5C" w:rsidRDefault="00D56B5C">
      <w:pPr>
        <w:pStyle w:val="BodyL"/>
        <w:rPr>
          <w:lang w:val="en-US"/>
        </w:rPr>
      </w:pPr>
      <w:r>
        <w:rPr>
          <w:lang w:val="en-US"/>
        </w:rPr>
        <w:t xml:space="preserve">The temporal behavior of the LL as it initially flows into the porous medium was also investigated, as is shown for two flow velocities at several time steps in </w:t>
      </w:r>
      <w:r>
        <w:rPr>
          <w:b/>
          <w:lang w:val="en-US"/>
        </w:rPr>
        <w:t>Figure 6</w:t>
      </w:r>
      <w:r>
        <w:rPr>
          <w:lang w:val="en-US"/>
        </w:rPr>
        <w:t xml:space="preserve">. At lower velocities (top 3 rows of the figure, </w:t>
      </w:r>
      <w:proofErr w:type="spellStart"/>
      <w:r>
        <w:rPr>
          <w:lang w:val="en-US"/>
        </w:rPr>
        <w:t>Vm</w:t>
      </w:r>
      <w:proofErr w:type="spellEnd"/>
      <w:r>
        <w:rPr>
          <w:lang w:val="en-US"/>
        </w:rPr>
        <w:t xml:space="preserve"> = 1 m/s)</w:t>
      </w:r>
      <w:r w:rsidR="007E77CD">
        <w:rPr>
          <w:lang w:val="en-US"/>
        </w:rPr>
        <w:t xml:space="preserve">, the LL smoothly moves into the medium with little disruption. However, doubling the flow velocity (bottom 4 rows of the figure) results in significant disturbance of the LL/plasma interface, as well as partial separation of the flow from the bottom wall as it is driven upwards by the resistance to flow introduced by the porous medium. </w:t>
      </w:r>
    </w:p>
    <w:p w:rsidR="004B0757" w:rsidRDefault="007E77CD" w:rsidP="002579D7">
      <w:pPr>
        <w:pStyle w:val="BodyL"/>
        <w:rPr>
          <w:color w:val="FF0000"/>
          <w:lang w:val="en-US"/>
        </w:rPr>
      </w:pPr>
      <w:r>
        <w:rPr>
          <w:lang w:val="en-US"/>
        </w:rPr>
        <w:t xml:space="preserve">Finally, the effect of </w:t>
      </w:r>
      <w:r w:rsidR="00D13F29">
        <w:rPr>
          <w:lang w:val="en-US"/>
        </w:rPr>
        <w:t>applying an external</w:t>
      </w:r>
      <w:r>
        <w:rPr>
          <w:lang w:val="en-US"/>
        </w:rPr>
        <w:t xml:space="preserve"> magnetic field </w:t>
      </w:r>
      <w:r w:rsidR="00D13F29">
        <w:rPr>
          <w:lang w:val="en-US"/>
        </w:rPr>
        <w:t>to the LL melt layer is</w:t>
      </w:r>
      <w:r>
        <w:rPr>
          <w:lang w:val="en-US"/>
        </w:rPr>
        <w:t xml:space="preserve"> </w:t>
      </w:r>
      <w:r w:rsidR="00D13F29">
        <w:rPr>
          <w:lang w:val="en-US"/>
        </w:rPr>
        <w:t xml:space="preserve">investigated. As show in </w:t>
      </w:r>
      <w:r w:rsidR="00D13F29">
        <w:rPr>
          <w:b/>
          <w:lang w:val="en-US"/>
        </w:rPr>
        <w:t>Figure 7</w:t>
      </w:r>
      <w:r w:rsidR="00D13F29">
        <w:rPr>
          <w:lang w:val="en-US"/>
        </w:rPr>
        <w:t xml:space="preserve">, magnetic fields were applied in the streamwise (x) and vertical (y) directions, with magnitudes between 0.1 and 1 T, which constant melt layer thickness (4mm) and velocity (2 m/s). For the 0.1 T streamwise magnetic field, short-length waves development that were similar to those present in the absence of a magnetic field. The effect of the 0.1 T vertical magnetic field was also subtle, with only long waves of very small amplitude being developed. </w:t>
      </w:r>
      <w:r w:rsidR="00C01256">
        <w:rPr>
          <w:lang w:val="en-US"/>
        </w:rPr>
        <w:t xml:space="preserve">However, increasing the magnetic field to 1 T resulted in much larger effects for both orientations. Applying a 1 T streamwise magnetic field to the melt layer induced the development of short wavelength ripples in the LL surface and droplet ejection from the peaks. Applying a 1 T upwards magnetic field to the flow resulted in similar surface instability, but with droplet ejection occurring at the early stage of wave development. </w:t>
      </w:r>
      <w:bookmarkStart w:id="0" w:name="_GoBack"/>
      <w:bookmarkEnd w:id="0"/>
    </w:p>
    <w:p w:rsidR="004B0757" w:rsidRDefault="004B0757">
      <w:pPr>
        <w:pStyle w:val="BodyL"/>
        <w:rPr>
          <w:color w:val="FF0000"/>
          <w:lang w:val="en-US"/>
        </w:rPr>
      </w:pPr>
    </w:p>
    <w:p w:rsidR="004B0757" w:rsidRDefault="004B0757">
      <w:pPr>
        <w:pStyle w:val="Author"/>
      </w:pPr>
      <w:r>
        <w:rPr>
          <w:b w:val="0"/>
          <w:lang w:val="en-US"/>
        </w:rPr>
        <w:t>5. CONCLUSIONS</w:t>
      </w:r>
    </w:p>
    <w:p w:rsidR="004B0757" w:rsidRDefault="004B0757">
      <w:pPr>
        <w:pStyle w:val="BodyL"/>
        <w:rPr>
          <w:lang w:val="en-US"/>
        </w:rPr>
      </w:pPr>
      <w:r>
        <w:rPr>
          <w:lang w:val="en-US"/>
        </w:rPr>
        <w:t xml:space="preserve">The theoretical analysis and computational modeling of the LL surface and the interaction between the plasma and lithium including transition regimes and disruption events are performed. The results provide insights into the understanding of the physical mechanisms of lithium waving, splashing, and droplet formation. </w:t>
      </w:r>
      <w:r>
        <w:rPr>
          <w:color w:val="FF0000"/>
          <w:lang w:val="en-US"/>
        </w:rPr>
        <w:t>[add more]</w:t>
      </w:r>
    </w:p>
    <w:p w:rsidR="004B0757" w:rsidRDefault="004B0757">
      <w:pPr>
        <w:pStyle w:val="BodyL"/>
        <w:rPr>
          <w:lang w:val="en-US"/>
        </w:rPr>
      </w:pPr>
    </w:p>
    <w:p w:rsidR="004B0757" w:rsidRDefault="004B0757">
      <w:pPr>
        <w:pStyle w:val="BodyL"/>
      </w:pPr>
      <w:r>
        <w:rPr>
          <w:bCs/>
          <w:lang w:val="en-US"/>
        </w:rPr>
        <w:t xml:space="preserve">The results of this research advance the understanding of physical processes that may limit, prevent or eliminate the LL losses from PFCs in fusion devices. </w:t>
      </w:r>
    </w:p>
    <w:p w:rsidR="004B0757" w:rsidRDefault="004B0757">
      <w:pPr>
        <w:pStyle w:val="BodyL"/>
      </w:pPr>
      <w:r>
        <w:rPr>
          <w:bCs/>
          <w:lang w:val="en-US"/>
        </w:rPr>
        <w:t xml:space="preserve"> </w:t>
      </w:r>
    </w:p>
    <w:p w:rsidR="004B0757" w:rsidRDefault="004B0757">
      <w:pPr>
        <w:pStyle w:val="BodyL"/>
        <w:pageBreakBefore/>
        <w:rPr>
          <w:lang w:val="en-US"/>
        </w:rPr>
      </w:pPr>
    </w:p>
    <w:p w:rsidR="004B0757" w:rsidRDefault="004B0757">
      <w:pPr>
        <w:pStyle w:val="BodyL"/>
      </w:pPr>
      <w:r>
        <w:rPr>
          <w:lang w:val="en-US"/>
        </w:rPr>
        <w:t xml:space="preserve">FIGURE CAPTIONS </w:t>
      </w:r>
    </w:p>
    <w:p w:rsidR="004B0757" w:rsidRDefault="004B0757">
      <w:pPr>
        <w:pStyle w:val="BodyL"/>
        <w:rPr>
          <w:lang w:val="en-US"/>
        </w:rPr>
      </w:pPr>
    </w:p>
    <w:p w:rsidR="004B0757" w:rsidRDefault="004B0757">
      <w:pPr>
        <w:pStyle w:val="BodyL"/>
      </w:pPr>
      <w:r>
        <w:rPr>
          <w:lang w:val="en-US"/>
        </w:rPr>
        <w:t xml:space="preserve">Fig. 1. Sketch of the plasma-LM system. </w:t>
      </w:r>
    </w:p>
    <w:p w:rsidR="004B0757" w:rsidRDefault="004B0757">
      <w:pPr>
        <w:pStyle w:val="BodyL"/>
        <w:rPr>
          <w:lang w:val="en-US"/>
        </w:rPr>
      </w:pPr>
    </w:p>
    <w:p w:rsidR="004B0757" w:rsidRDefault="004B0757">
      <w:pPr>
        <w:pStyle w:val="BodyL"/>
      </w:pPr>
      <w:r>
        <w:rPr>
          <w:lang w:val="en-US"/>
        </w:rPr>
        <w:t xml:space="preserve">Fig. 2. Set up of 2D CFD domain. </w:t>
      </w:r>
    </w:p>
    <w:p w:rsidR="004B0757" w:rsidRDefault="004B0757">
      <w:pPr>
        <w:pStyle w:val="BodyL"/>
        <w:rPr>
          <w:lang w:val="en-US"/>
        </w:rPr>
      </w:pPr>
    </w:p>
    <w:p w:rsidR="004B0757" w:rsidRDefault="004B0757">
      <w:pPr>
        <w:pStyle w:val="BodyL"/>
      </w:pPr>
      <w:r>
        <w:rPr>
          <w:lang w:val="en-US"/>
        </w:rPr>
        <w:t xml:space="preserve">Fig. 3. Effects of porosity of medium with very large permeability for LM on stabilization of surface waves. </w:t>
      </w:r>
    </w:p>
    <w:p w:rsidR="004B0757" w:rsidRDefault="004B0757">
      <w:pPr>
        <w:pStyle w:val="BodyL"/>
        <w:rPr>
          <w:lang w:val="en-US"/>
        </w:rPr>
      </w:pPr>
    </w:p>
    <w:p w:rsidR="004B0757" w:rsidRDefault="004B0757">
      <w:pPr>
        <w:pStyle w:val="BodyL"/>
      </w:pPr>
      <w:r>
        <w:rPr>
          <w:lang w:val="en-US"/>
        </w:rPr>
        <w:t xml:space="preserve">Fig. 4. Effects of permeability of LM in the medium with porosity </w:t>
      </w:r>
      <w:proofErr w:type="spellStart"/>
      <w:r>
        <w:rPr>
          <w:lang w:val="en-US"/>
        </w:rPr>
        <w:t>ε</w:t>
      </w:r>
      <w:r>
        <w:rPr>
          <w:vertAlign w:val="subscript"/>
          <w:lang w:val="en-US"/>
        </w:rPr>
        <w:t>m</w:t>
      </w:r>
      <w:proofErr w:type="spellEnd"/>
      <w:r>
        <w:rPr>
          <w:lang w:val="en-US"/>
        </w:rPr>
        <w:t xml:space="preserve"> = 0.1 on stabilization of surface waves. </w:t>
      </w:r>
    </w:p>
    <w:p w:rsidR="004B0757" w:rsidRDefault="004B0757">
      <w:pPr>
        <w:pStyle w:val="BodyL"/>
        <w:rPr>
          <w:lang w:val="en-US"/>
        </w:rPr>
      </w:pPr>
    </w:p>
    <w:p w:rsidR="004B0757" w:rsidRDefault="004B0757">
      <w:pPr>
        <w:pStyle w:val="BodyL"/>
      </w:pPr>
      <w:r>
        <w:rPr>
          <w:lang w:val="en-US"/>
        </w:rPr>
        <w:t xml:space="preserve">Fig. 5. Snapshots of LM flow of different thickness with velocity 2 m/s at 1 s. </w:t>
      </w:r>
    </w:p>
    <w:p w:rsidR="004B0757" w:rsidRDefault="004B0757">
      <w:pPr>
        <w:pStyle w:val="BodyL"/>
        <w:rPr>
          <w:lang w:val="en-US"/>
        </w:rPr>
      </w:pPr>
    </w:p>
    <w:p w:rsidR="004B0757" w:rsidRDefault="004B0757">
      <w:pPr>
        <w:pStyle w:val="BodyL"/>
      </w:pPr>
      <w:r>
        <w:rPr>
          <w:lang w:val="en-US"/>
        </w:rPr>
        <w:t xml:space="preserve">Fig. 6. Snapshots of 4 mm LM flow with 1 and 2 m/s in porous media at various times. </w:t>
      </w:r>
    </w:p>
    <w:p w:rsidR="004B0757" w:rsidRDefault="004B0757">
      <w:pPr>
        <w:pStyle w:val="BodyL"/>
        <w:rPr>
          <w:lang w:val="en-US"/>
        </w:rPr>
      </w:pPr>
    </w:p>
    <w:p w:rsidR="004B0757" w:rsidRDefault="004B0757">
      <w:pPr>
        <w:pStyle w:val="BodyL"/>
      </w:pPr>
      <w:r>
        <w:rPr>
          <w:lang w:val="en-US"/>
        </w:rPr>
        <w:t xml:space="preserve">Fig. 7. Snapshots of </w:t>
      </w:r>
      <w:proofErr w:type="spellStart"/>
      <w:r>
        <w:rPr>
          <w:lang w:val="en-US"/>
        </w:rPr>
        <w:t>Ar</w:t>
      </w:r>
      <w:proofErr w:type="spellEnd"/>
      <w:r>
        <w:rPr>
          <w:lang w:val="en-US"/>
        </w:rPr>
        <w:t xml:space="preserve"> plasma flow with various speed over 6 mm LM flowing with 2 m/s. </w:t>
      </w:r>
    </w:p>
    <w:p w:rsidR="004B0757" w:rsidRDefault="004B0757">
      <w:pPr>
        <w:pStyle w:val="BodyL"/>
        <w:pageBreakBefore/>
        <w:rPr>
          <w:lang w:val="en-US"/>
        </w:rPr>
      </w:pPr>
    </w:p>
    <w:p w:rsidR="004B0757" w:rsidRDefault="004B0757">
      <w:pPr>
        <w:pStyle w:val="BodyL"/>
        <w:rPr>
          <w:lang w:val="en-US"/>
        </w:rPr>
      </w:pPr>
    </w:p>
    <w:p w:rsidR="004B0757" w:rsidRDefault="004B0757">
      <w:pPr>
        <w:pStyle w:val="BodyL"/>
        <w:rPr>
          <w:lang w:val="en-US"/>
        </w:rPr>
      </w:pPr>
    </w:p>
    <w:p w:rsidR="004B0757" w:rsidRDefault="004B0757">
      <w:pPr>
        <w:pStyle w:val="BodyL"/>
        <w:rPr>
          <w:lang w:val="en-US"/>
        </w:rPr>
      </w:pPr>
    </w:p>
    <w:p w:rsidR="004B0757" w:rsidRDefault="004B0757">
      <w:pPr>
        <w:pStyle w:val="BodyL"/>
        <w:rPr>
          <w:lang w:val="en-US"/>
        </w:rPr>
      </w:pPr>
    </w:p>
    <w:p w:rsidR="004B0757" w:rsidRDefault="004B0757">
      <w:pPr>
        <w:pStyle w:val="BodyL"/>
        <w:rPr>
          <w:lang w:val="en-US"/>
        </w:rPr>
      </w:pPr>
    </w:p>
    <w:p w:rsidR="004B0757" w:rsidRDefault="004B0757">
      <w:pPr>
        <w:pStyle w:val="BodyL"/>
        <w:rPr>
          <w:lang w:val="en-US"/>
        </w:rPr>
      </w:pPr>
    </w:p>
    <w:p w:rsidR="004B0757" w:rsidRDefault="004B0757">
      <w:pPr>
        <w:pStyle w:val="BodyL"/>
        <w:rPr>
          <w:lang w:val="en-US"/>
        </w:rPr>
      </w:pPr>
    </w:p>
    <w:p w:rsidR="004B0757" w:rsidRDefault="004B0757">
      <w:pPr>
        <w:pStyle w:val="BodyL"/>
        <w:rPr>
          <w:lang w:val="en-US"/>
        </w:rPr>
      </w:pPr>
    </w:p>
    <w:p w:rsidR="004B0757" w:rsidRDefault="004B0757">
      <w:pPr>
        <w:pStyle w:val="BodyL"/>
        <w:rPr>
          <w:lang w:val="en-US"/>
        </w:rPr>
      </w:pPr>
    </w:p>
    <w:p w:rsidR="004B0757" w:rsidRDefault="000E1CB2">
      <w:pPr>
        <w:pStyle w:val="BodyL"/>
        <w:jc w:val="center"/>
        <w:rPr>
          <w:lang w:val="en-US"/>
        </w:rPr>
      </w:pPr>
      <w:r>
        <w:rPr>
          <w:noProof/>
          <w:lang w:val="en-US"/>
        </w:rPr>
        <w:drawing>
          <wp:inline distT="0" distB="0" distL="0" distR="0">
            <wp:extent cx="3200400" cy="1663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3" cstate="print">
                      <a:extLst>
                        <a:ext uri="{28A0092B-C50C-407E-A947-70E740481C1C}">
                          <a14:useLocalDpi xmlns:a14="http://schemas.microsoft.com/office/drawing/2010/main" val="0"/>
                        </a:ext>
                      </a:extLst>
                    </a:blip>
                    <a:srcRect b="-343"/>
                    <a:stretch>
                      <a:fillRect/>
                    </a:stretch>
                  </pic:blipFill>
                  <pic:spPr bwMode="auto">
                    <a:xfrm>
                      <a:off x="0" y="0"/>
                      <a:ext cx="3200400" cy="1663700"/>
                    </a:xfrm>
                    <a:prstGeom prst="rect">
                      <a:avLst/>
                    </a:prstGeom>
                    <a:solidFill>
                      <a:srgbClr val="FFFFFF"/>
                    </a:solidFill>
                    <a:ln>
                      <a:noFill/>
                    </a:ln>
                  </pic:spPr>
                </pic:pic>
              </a:graphicData>
            </a:graphic>
          </wp:inline>
        </w:drawing>
      </w:r>
    </w:p>
    <w:p w:rsidR="004B0757" w:rsidRDefault="004B0757">
      <w:pPr>
        <w:pStyle w:val="BodyL"/>
        <w:rPr>
          <w:lang w:val="en-US"/>
        </w:rPr>
      </w:pPr>
    </w:p>
    <w:p w:rsidR="004B0757" w:rsidRDefault="004B0757">
      <w:pPr>
        <w:pStyle w:val="BodyL"/>
        <w:rPr>
          <w:lang w:val="en-US"/>
        </w:rPr>
      </w:pPr>
    </w:p>
    <w:p w:rsidR="004B0757" w:rsidRDefault="004B0757">
      <w:pPr>
        <w:pStyle w:val="BodyL"/>
        <w:jc w:val="center"/>
      </w:pPr>
      <w:r>
        <w:rPr>
          <w:lang w:val="en-US"/>
        </w:rPr>
        <w:t>Fig. 1</w:t>
      </w:r>
    </w:p>
    <w:p w:rsidR="004B0757" w:rsidRDefault="004B0757">
      <w:pPr>
        <w:pStyle w:val="BodyL"/>
        <w:rPr>
          <w:lang w:val="en-US"/>
        </w:rPr>
      </w:pPr>
    </w:p>
    <w:p w:rsidR="004B0757" w:rsidRDefault="004B0757">
      <w:pPr>
        <w:pStyle w:val="BodyL"/>
        <w:rPr>
          <w:lang w:val="en-US"/>
        </w:rPr>
      </w:pPr>
    </w:p>
    <w:p w:rsidR="004B0757" w:rsidRDefault="004B0757">
      <w:pPr>
        <w:pStyle w:val="BodyL"/>
        <w:rPr>
          <w:lang w:val="en-US"/>
        </w:rPr>
      </w:pPr>
    </w:p>
    <w:p w:rsidR="004B0757" w:rsidRDefault="004B0757">
      <w:pPr>
        <w:pStyle w:val="BodyL"/>
        <w:rPr>
          <w:lang w:val="en-US"/>
        </w:rPr>
      </w:pPr>
    </w:p>
    <w:p w:rsidR="004B0757" w:rsidRDefault="004B0757">
      <w:pPr>
        <w:pStyle w:val="BodyL"/>
        <w:rPr>
          <w:lang w:val="en-US"/>
        </w:rPr>
      </w:pPr>
    </w:p>
    <w:p w:rsidR="004B0757" w:rsidRDefault="004B0757">
      <w:pPr>
        <w:pStyle w:val="BodyL"/>
        <w:rPr>
          <w:lang w:val="en-US"/>
        </w:rPr>
      </w:pPr>
    </w:p>
    <w:p w:rsidR="004B0757" w:rsidRDefault="004B0757">
      <w:pPr>
        <w:pStyle w:val="BodyL"/>
        <w:rPr>
          <w:lang w:val="en-US"/>
        </w:rPr>
      </w:pPr>
    </w:p>
    <w:p w:rsidR="004B0757" w:rsidRDefault="004B0757">
      <w:pPr>
        <w:pStyle w:val="BodyL"/>
        <w:rPr>
          <w:lang w:val="en-US"/>
        </w:rPr>
      </w:pPr>
    </w:p>
    <w:p w:rsidR="004B0757" w:rsidRDefault="004B0757">
      <w:pPr>
        <w:pStyle w:val="BodyL"/>
        <w:rPr>
          <w:lang w:val="en-US"/>
        </w:rPr>
      </w:pPr>
    </w:p>
    <w:p w:rsidR="004B0757" w:rsidRDefault="004B0757">
      <w:pPr>
        <w:pStyle w:val="BodyL"/>
        <w:rPr>
          <w:lang w:val="en-US"/>
        </w:rPr>
      </w:pPr>
    </w:p>
    <w:p w:rsidR="004B0757" w:rsidRDefault="004B0757">
      <w:pPr>
        <w:pStyle w:val="BodyL"/>
        <w:rPr>
          <w:lang w:val="en-US"/>
        </w:rPr>
      </w:pPr>
    </w:p>
    <w:p w:rsidR="004B0757" w:rsidRDefault="004B0757">
      <w:pPr>
        <w:pStyle w:val="BodyL"/>
        <w:pageBreakBefore/>
        <w:rPr>
          <w:lang w:val="en-US"/>
        </w:rPr>
      </w:pPr>
    </w:p>
    <w:p w:rsidR="004B0757" w:rsidRDefault="004B0757">
      <w:pPr>
        <w:pStyle w:val="BodyL"/>
        <w:rPr>
          <w:lang w:val="en-US"/>
        </w:rPr>
      </w:pPr>
    </w:p>
    <w:p w:rsidR="004B0757" w:rsidRDefault="004B0757">
      <w:pPr>
        <w:pStyle w:val="BodyL"/>
        <w:rPr>
          <w:lang w:val="en-US"/>
        </w:rPr>
      </w:pPr>
    </w:p>
    <w:p w:rsidR="004B0757" w:rsidRDefault="004B0757">
      <w:pPr>
        <w:pStyle w:val="BodyL"/>
        <w:rPr>
          <w:lang w:val="en-US"/>
        </w:rPr>
      </w:pPr>
    </w:p>
    <w:p w:rsidR="004B0757" w:rsidRDefault="004B0757">
      <w:pPr>
        <w:pStyle w:val="BodyL"/>
        <w:rPr>
          <w:lang w:val="en-US"/>
        </w:rPr>
      </w:pPr>
    </w:p>
    <w:p w:rsidR="004B0757" w:rsidRDefault="004B0757">
      <w:pPr>
        <w:pStyle w:val="BodyL"/>
        <w:rPr>
          <w:lang w:val="en-US"/>
        </w:rPr>
      </w:pPr>
    </w:p>
    <w:p w:rsidR="004B0757" w:rsidRDefault="004B0757">
      <w:pPr>
        <w:pStyle w:val="BodyL"/>
        <w:rPr>
          <w:lang w:val="en-US"/>
        </w:rPr>
      </w:pPr>
    </w:p>
    <w:p w:rsidR="004B0757" w:rsidRDefault="004B0757">
      <w:pPr>
        <w:pStyle w:val="BodyL"/>
        <w:rPr>
          <w:lang w:val="en-US"/>
        </w:rPr>
      </w:pPr>
    </w:p>
    <w:p w:rsidR="004B0757" w:rsidRDefault="004B0757">
      <w:pPr>
        <w:pStyle w:val="BodyL"/>
        <w:rPr>
          <w:lang w:val="en-US"/>
        </w:rPr>
      </w:pPr>
    </w:p>
    <w:p w:rsidR="004B0757" w:rsidRDefault="000E1CB2">
      <w:pPr>
        <w:pStyle w:val="BodyL"/>
        <w:jc w:val="center"/>
        <w:rPr>
          <w:lang w:val="en-US"/>
        </w:rPr>
      </w:pPr>
      <w:r>
        <w:rPr>
          <w:noProof/>
          <w:lang w:val="en-US"/>
        </w:rPr>
        <w:drawing>
          <wp:inline distT="0" distB="0" distL="0" distR="0">
            <wp:extent cx="3200400" cy="1346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200400" cy="1346200"/>
                    </a:xfrm>
                    <a:prstGeom prst="rect">
                      <a:avLst/>
                    </a:prstGeom>
                    <a:solidFill>
                      <a:srgbClr val="FFFFFF"/>
                    </a:solidFill>
                    <a:ln>
                      <a:noFill/>
                    </a:ln>
                  </pic:spPr>
                </pic:pic>
              </a:graphicData>
            </a:graphic>
          </wp:inline>
        </w:drawing>
      </w:r>
    </w:p>
    <w:p w:rsidR="004B0757" w:rsidRDefault="004B0757">
      <w:pPr>
        <w:pStyle w:val="BodyL"/>
        <w:rPr>
          <w:lang w:val="en-US"/>
        </w:rPr>
      </w:pPr>
    </w:p>
    <w:p w:rsidR="004B0757" w:rsidRDefault="004B0757">
      <w:pPr>
        <w:pStyle w:val="BodyL"/>
        <w:rPr>
          <w:lang w:val="en-US"/>
        </w:rPr>
      </w:pPr>
    </w:p>
    <w:p w:rsidR="004B0757" w:rsidRDefault="004B0757">
      <w:pPr>
        <w:pStyle w:val="BodyL"/>
        <w:rPr>
          <w:lang w:val="en-US"/>
        </w:rPr>
      </w:pPr>
    </w:p>
    <w:p w:rsidR="004B0757" w:rsidRDefault="004B0757">
      <w:pPr>
        <w:pStyle w:val="BodyL"/>
        <w:jc w:val="center"/>
      </w:pPr>
      <w:r>
        <w:rPr>
          <w:lang w:val="en-US"/>
        </w:rPr>
        <w:t>Fig. 2</w:t>
      </w:r>
    </w:p>
    <w:p w:rsidR="004B0757" w:rsidRDefault="004B0757">
      <w:pPr>
        <w:pStyle w:val="BodyL"/>
        <w:rPr>
          <w:lang w:val="en-US"/>
        </w:rPr>
      </w:pPr>
    </w:p>
    <w:p w:rsidR="004B0757" w:rsidRDefault="004B0757">
      <w:pPr>
        <w:pStyle w:val="BodyL"/>
        <w:pageBreakBefore/>
        <w:rPr>
          <w:lang w:val="en-US"/>
        </w:rPr>
      </w:pPr>
    </w:p>
    <w:p w:rsidR="004B0757" w:rsidRDefault="004B0757">
      <w:pPr>
        <w:pStyle w:val="BodyL"/>
        <w:rPr>
          <w:lang w:val="en-US"/>
        </w:rPr>
      </w:pPr>
    </w:p>
    <w:p w:rsidR="004B0757" w:rsidRDefault="004B0757">
      <w:pPr>
        <w:pStyle w:val="BodyL"/>
        <w:rPr>
          <w:lang w:val="en-US"/>
        </w:rPr>
      </w:pPr>
    </w:p>
    <w:p w:rsidR="004B0757" w:rsidRDefault="004B0757">
      <w:pPr>
        <w:pStyle w:val="BodyL"/>
        <w:rPr>
          <w:lang w:val="en-US"/>
        </w:rPr>
      </w:pPr>
    </w:p>
    <w:p w:rsidR="004B0757" w:rsidRDefault="004B0757">
      <w:pPr>
        <w:pStyle w:val="BodyL"/>
        <w:rPr>
          <w:lang w:val="en-US"/>
        </w:rPr>
      </w:pPr>
    </w:p>
    <w:p w:rsidR="004B0757" w:rsidRDefault="004B0757">
      <w:pPr>
        <w:pStyle w:val="BodyL"/>
        <w:rPr>
          <w:lang w:val="en-US"/>
        </w:rPr>
      </w:pPr>
    </w:p>
    <w:p w:rsidR="004B0757" w:rsidRDefault="000E1CB2">
      <w:pPr>
        <w:pStyle w:val="BodyL"/>
        <w:jc w:val="center"/>
        <w:rPr>
          <w:lang w:val="en-US"/>
        </w:rPr>
      </w:pPr>
      <w:r>
        <w:rPr>
          <w:noProof/>
          <w:lang w:val="en-US"/>
        </w:rPr>
        <w:drawing>
          <wp:inline distT="0" distB="0" distL="0" distR="0">
            <wp:extent cx="3200400" cy="3340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200400" cy="3340100"/>
                    </a:xfrm>
                    <a:prstGeom prst="rect">
                      <a:avLst/>
                    </a:prstGeom>
                    <a:solidFill>
                      <a:srgbClr val="FFFFFF"/>
                    </a:solidFill>
                    <a:ln>
                      <a:noFill/>
                    </a:ln>
                  </pic:spPr>
                </pic:pic>
              </a:graphicData>
            </a:graphic>
          </wp:inline>
        </w:drawing>
      </w:r>
    </w:p>
    <w:p w:rsidR="004B0757" w:rsidRDefault="004B0757">
      <w:pPr>
        <w:pStyle w:val="BodyL"/>
        <w:jc w:val="center"/>
        <w:rPr>
          <w:lang w:val="en-US"/>
        </w:rPr>
      </w:pPr>
    </w:p>
    <w:p w:rsidR="004B0757" w:rsidRDefault="004B0757">
      <w:pPr>
        <w:pStyle w:val="BodyL"/>
        <w:jc w:val="center"/>
        <w:rPr>
          <w:lang w:val="en-US"/>
        </w:rPr>
      </w:pPr>
    </w:p>
    <w:p w:rsidR="004B0757" w:rsidRDefault="004B0757">
      <w:pPr>
        <w:pStyle w:val="BodyL"/>
        <w:jc w:val="center"/>
      </w:pPr>
      <w:r>
        <w:rPr>
          <w:lang w:val="en-US"/>
        </w:rPr>
        <w:t>Fig. 3</w:t>
      </w:r>
    </w:p>
    <w:p w:rsidR="004B0757" w:rsidRDefault="004B0757">
      <w:pPr>
        <w:pStyle w:val="BodyL"/>
        <w:rPr>
          <w:lang w:val="en-US"/>
        </w:rPr>
      </w:pPr>
    </w:p>
    <w:p w:rsidR="004B0757" w:rsidRDefault="004B0757">
      <w:pPr>
        <w:pStyle w:val="BodyL"/>
        <w:pageBreakBefore/>
        <w:rPr>
          <w:lang w:val="en-US"/>
        </w:rPr>
      </w:pPr>
    </w:p>
    <w:p w:rsidR="004B0757" w:rsidRDefault="004B0757">
      <w:pPr>
        <w:pStyle w:val="BodyL"/>
        <w:rPr>
          <w:lang w:val="en-US"/>
        </w:rPr>
      </w:pPr>
    </w:p>
    <w:p w:rsidR="004B0757" w:rsidRDefault="004B0757">
      <w:pPr>
        <w:pStyle w:val="BodyL"/>
        <w:rPr>
          <w:lang w:val="en-US"/>
        </w:rPr>
      </w:pPr>
    </w:p>
    <w:p w:rsidR="004B0757" w:rsidRDefault="004B0757">
      <w:pPr>
        <w:pStyle w:val="BodyL"/>
        <w:rPr>
          <w:lang w:val="en-US"/>
        </w:rPr>
      </w:pPr>
    </w:p>
    <w:p w:rsidR="004B0757" w:rsidRDefault="004B0757">
      <w:pPr>
        <w:pStyle w:val="BodyL"/>
        <w:rPr>
          <w:lang w:val="en-US"/>
        </w:rPr>
      </w:pPr>
    </w:p>
    <w:p w:rsidR="004B0757" w:rsidRDefault="004B0757">
      <w:pPr>
        <w:pStyle w:val="BodyL"/>
        <w:rPr>
          <w:lang w:val="en-US"/>
        </w:rPr>
      </w:pPr>
    </w:p>
    <w:p w:rsidR="004B0757" w:rsidRDefault="004B0757">
      <w:pPr>
        <w:pStyle w:val="BodyL"/>
        <w:rPr>
          <w:lang w:val="en-US"/>
        </w:rPr>
      </w:pPr>
    </w:p>
    <w:p w:rsidR="004B0757" w:rsidRDefault="000E1CB2">
      <w:pPr>
        <w:pStyle w:val="BodyL"/>
        <w:jc w:val="center"/>
        <w:rPr>
          <w:lang w:val="en-US"/>
        </w:rPr>
      </w:pPr>
      <w:r>
        <w:rPr>
          <w:noProof/>
          <w:lang w:val="en-US"/>
        </w:rPr>
        <w:drawing>
          <wp:inline distT="0" distB="0" distL="0" distR="0">
            <wp:extent cx="3200400" cy="3352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200400" cy="3352800"/>
                    </a:xfrm>
                    <a:prstGeom prst="rect">
                      <a:avLst/>
                    </a:prstGeom>
                    <a:solidFill>
                      <a:srgbClr val="FFFFFF"/>
                    </a:solidFill>
                    <a:ln>
                      <a:noFill/>
                    </a:ln>
                  </pic:spPr>
                </pic:pic>
              </a:graphicData>
            </a:graphic>
          </wp:inline>
        </w:drawing>
      </w:r>
    </w:p>
    <w:p w:rsidR="004B0757" w:rsidRDefault="004B0757">
      <w:pPr>
        <w:pStyle w:val="BodyL"/>
        <w:rPr>
          <w:lang w:val="en-US"/>
        </w:rPr>
      </w:pPr>
    </w:p>
    <w:p w:rsidR="004B0757" w:rsidRDefault="004B0757">
      <w:pPr>
        <w:pStyle w:val="BodyL"/>
        <w:rPr>
          <w:lang w:val="en-US"/>
        </w:rPr>
      </w:pPr>
    </w:p>
    <w:p w:rsidR="004B0757" w:rsidRDefault="004B0757">
      <w:pPr>
        <w:pStyle w:val="BodyL"/>
        <w:jc w:val="center"/>
      </w:pPr>
      <w:r>
        <w:rPr>
          <w:lang w:val="en-US"/>
        </w:rPr>
        <w:t>Fig. 4</w:t>
      </w:r>
    </w:p>
    <w:p w:rsidR="004B0757" w:rsidRDefault="004B0757">
      <w:pPr>
        <w:pStyle w:val="BodyL"/>
        <w:rPr>
          <w:lang w:val="en-US"/>
        </w:rPr>
      </w:pPr>
    </w:p>
    <w:p w:rsidR="004B0757" w:rsidRDefault="004B0757">
      <w:pPr>
        <w:pStyle w:val="BodyL"/>
        <w:rPr>
          <w:lang w:val="en-US"/>
        </w:rPr>
      </w:pPr>
    </w:p>
    <w:p w:rsidR="004B0757" w:rsidRDefault="004B0757">
      <w:pPr>
        <w:pStyle w:val="BodyL"/>
        <w:rPr>
          <w:lang w:val="en-US"/>
        </w:rPr>
      </w:pPr>
    </w:p>
    <w:p w:rsidR="004B0757" w:rsidRDefault="004B0757">
      <w:pPr>
        <w:pStyle w:val="BodyL"/>
        <w:pageBreakBefore/>
        <w:rPr>
          <w:lang w:val="en-US"/>
        </w:rPr>
      </w:pPr>
    </w:p>
    <w:p w:rsidR="004B0757" w:rsidRDefault="004B0757">
      <w:pPr>
        <w:pStyle w:val="BodyL"/>
        <w:rPr>
          <w:lang w:val="en-US"/>
        </w:rPr>
      </w:pPr>
    </w:p>
    <w:p w:rsidR="004B0757" w:rsidRDefault="004B0757">
      <w:pPr>
        <w:pStyle w:val="BodyL"/>
        <w:rPr>
          <w:lang w:val="en-US"/>
        </w:rPr>
      </w:pPr>
    </w:p>
    <w:p w:rsidR="004B0757" w:rsidRDefault="004B0757">
      <w:pPr>
        <w:pStyle w:val="BodyL"/>
        <w:rPr>
          <w:lang w:val="en-US"/>
        </w:rPr>
      </w:pPr>
    </w:p>
    <w:p w:rsidR="004B0757" w:rsidRDefault="004B0757">
      <w:pPr>
        <w:pStyle w:val="BodyL"/>
        <w:rPr>
          <w:lang w:val="en-US"/>
        </w:rPr>
      </w:pPr>
    </w:p>
    <w:p w:rsidR="004B0757" w:rsidRDefault="004B0757">
      <w:pPr>
        <w:pStyle w:val="BodyL"/>
        <w:rPr>
          <w:lang w:val="en-US"/>
        </w:rPr>
      </w:pPr>
    </w:p>
    <w:p w:rsidR="004B0757" w:rsidRDefault="004B0757">
      <w:pPr>
        <w:pStyle w:val="BodyL"/>
        <w:rPr>
          <w:lang w:val="en-US"/>
        </w:rPr>
      </w:pPr>
    </w:p>
    <w:p w:rsidR="004B0757" w:rsidRDefault="004B0757">
      <w:pPr>
        <w:pStyle w:val="BodyL"/>
        <w:rPr>
          <w:lang w:val="en-US"/>
        </w:rPr>
      </w:pPr>
    </w:p>
    <w:p w:rsidR="004B0757" w:rsidRDefault="000E1CB2">
      <w:pPr>
        <w:pStyle w:val="BodyL"/>
        <w:jc w:val="center"/>
        <w:rPr>
          <w:lang w:val="en-US"/>
        </w:rPr>
      </w:pPr>
      <w:r>
        <w:rPr>
          <w:noProof/>
          <w:lang w:val="en-US"/>
        </w:rPr>
        <w:drawing>
          <wp:inline distT="0" distB="0" distL="0" distR="0">
            <wp:extent cx="3200400" cy="13144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3200400" cy="1314450"/>
                    </a:xfrm>
                    <a:prstGeom prst="rect">
                      <a:avLst/>
                    </a:prstGeom>
                    <a:solidFill>
                      <a:srgbClr val="FFFFFF"/>
                    </a:solidFill>
                    <a:ln>
                      <a:noFill/>
                    </a:ln>
                  </pic:spPr>
                </pic:pic>
              </a:graphicData>
            </a:graphic>
          </wp:inline>
        </w:drawing>
      </w:r>
    </w:p>
    <w:p w:rsidR="004B0757" w:rsidRDefault="004B0757">
      <w:pPr>
        <w:pStyle w:val="BodyL"/>
        <w:rPr>
          <w:lang w:val="en-US"/>
        </w:rPr>
      </w:pPr>
    </w:p>
    <w:p w:rsidR="004B0757" w:rsidRDefault="004B0757">
      <w:pPr>
        <w:pStyle w:val="BodyL"/>
        <w:rPr>
          <w:lang w:val="en-US"/>
        </w:rPr>
      </w:pPr>
    </w:p>
    <w:p w:rsidR="004B0757" w:rsidRDefault="004B0757">
      <w:pPr>
        <w:pStyle w:val="BodyL"/>
        <w:rPr>
          <w:lang w:val="en-US"/>
        </w:rPr>
      </w:pPr>
    </w:p>
    <w:p w:rsidR="004B0757" w:rsidRDefault="004B0757">
      <w:pPr>
        <w:pStyle w:val="BodyL"/>
        <w:jc w:val="center"/>
      </w:pPr>
      <w:r>
        <w:rPr>
          <w:lang w:val="en-US"/>
        </w:rPr>
        <w:t>Fig. 5</w:t>
      </w:r>
    </w:p>
    <w:p w:rsidR="004B0757" w:rsidRDefault="004B0757">
      <w:pPr>
        <w:pStyle w:val="BodyL"/>
        <w:rPr>
          <w:lang w:val="en-US"/>
        </w:rPr>
      </w:pPr>
    </w:p>
    <w:p w:rsidR="004B0757" w:rsidRDefault="004B0757">
      <w:pPr>
        <w:pStyle w:val="BodyL"/>
        <w:pageBreakBefore/>
        <w:rPr>
          <w:lang w:val="en-US"/>
        </w:rPr>
      </w:pPr>
    </w:p>
    <w:p w:rsidR="004B0757" w:rsidRDefault="004B0757">
      <w:pPr>
        <w:pStyle w:val="BodyL"/>
        <w:rPr>
          <w:lang w:val="en-US"/>
        </w:rPr>
      </w:pPr>
    </w:p>
    <w:p w:rsidR="004B0757" w:rsidRDefault="004B0757">
      <w:pPr>
        <w:pStyle w:val="BodyL"/>
        <w:rPr>
          <w:lang w:val="en-US"/>
        </w:rPr>
      </w:pPr>
    </w:p>
    <w:p w:rsidR="004B0757" w:rsidRDefault="004B0757">
      <w:pPr>
        <w:pStyle w:val="BodyL"/>
        <w:rPr>
          <w:lang w:val="en-US"/>
        </w:rPr>
      </w:pPr>
    </w:p>
    <w:p w:rsidR="004B0757" w:rsidRDefault="004B0757">
      <w:pPr>
        <w:pStyle w:val="BodyL"/>
        <w:rPr>
          <w:lang w:val="en-US"/>
        </w:rPr>
      </w:pPr>
    </w:p>
    <w:p w:rsidR="004B0757" w:rsidRDefault="004B0757">
      <w:pPr>
        <w:pStyle w:val="BodyL"/>
        <w:rPr>
          <w:lang w:val="en-US"/>
        </w:rPr>
      </w:pPr>
    </w:p>
    <w:p w:rsidR="004B0757" w:rsidRDefault="004B0757">
      <w:pPr>
        <w:pStyle w:val="BodyL"/>
        <w:rPr>
          <w:lang w:val="en-US"/>
        </w:rPr>
      </w:pPr>
    </w:p>
    <w:p w:rsidR="004B0757" w:rsidRDefault="004B0757">
      <w:pPr>
        <w:pStyle w:val="BodyL"/>
        <w:rPr>
          <w:lang w:val="en-US"/>
        </w:rPr>
      </w:pPr>
    </w:p>
    <w:p w:rsidR="004B0757" w:rsidRDefault="000E1CB2">
      <w:pPr>
        <w:pStyle w:val="BodyL"/>
        <w:jc w:val="center"/>
        <w:rPr>
          <w:lang w:val="en-US"/>
        </w:rPr>
      </w:pPr>
      <w:r>
        <w:rPr>
          <w:noProof/>
          <w:lang w:val="en-US"/>
        </w:rPr>
        <w:drawing>
          <wp:inline distT="0" distB="0" distL="0" distR="0">
            <wp:extent cx="3200400" cy="1917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200400" cy="1917700"/>
                    </a:xfrm>
                    <a:prstGeom prst="rect">
                      <a:avLst/>
                    </a:prstGeom>
                    <a:solidFill>
                      <a:srgbClr val="FFFFFF"/>
                    </a:solidFill>
                    <a:ln>
                      <a:noFill/>
                    </a:ln>
                  </pic:spPr>
                </pic:pic>
              </a:graphicData>
            </a:graphic>
          </wp:inline>
        </w:drawing>
      </w:r>
    </w:p>
    <w:p w:rsidR="004B0757" w:rsidRDefault="004B0757">
      <w:pPr>
        <w:pStyle w:val="BodyL"/>
        <w:rPr>
          <w:lang w:val="en-US"/>
        </w:rPr>
      </w:pPr>
    </w:p>
    <w:p w:rsidR="004B0757" w:rsidRDefault="004B0757">
      <w:pPr>
        <w:pStyle w:val="BodyL"/>
        <w:rPr>
          <w:lang w:val="en-US"/>
        </w:rPr>
      </w:pPr>
    </w:p>
    <w:p w:rsidR="004B0757" w:rsidRDefault="004B0757">
      <w:pPr>
        <w:pStyle w:val="BodyL"/>
        <w:jc w:val="center"/>
      </w:pPr>
      <w:r>
        <w:rPr>
          <w:lang w:val="en-US"/>
        </w:rPr>
        <w:t>Fig. 6</w:t>
      </w:r>
    </w:p>
    <w:p w:rsidR="004B0757" w:rsidRDefault="004B0757">
      <w:pPr>
        <w:pStyle w:val="BodyL"/>
        <w:pageBreakBefore/>
        <w:rPr>
          <w:lang w:val="en-US"/>
        </w:rPr>
      </w:pPr>
    </w:p>
    <w:p w:rsidR="004B0757" w:rsidRDefault="004B0757">
      <w:pPr>
        <w:pStyle w:val="BodyL"/>
        <w:rPr>
          <w:lang w:val="en-US"/>
        </w:rPr>
      </w:pPr>
    </w:p>
    <w:p w:rsidR="004B0757" w:rsidRDefault="004B0757">
      <w:pPr>
        <w:pStyle w:val="BodyL"/>
        <w:rPr>
          <w:lang w:val="en-US"/>
        </w:rPr>
      </w:pPr>
    </w:p>
    <w:p w:rsidR="004B0757" w:rsidRDefault="004B0757">
      <w:pPr>
        <w:pStyle w:val="BodyL"/>
        <w:rPr>
          <w:lang w:val="en-US"/>
        </w:rPr>
      </w:pPr>
    </w:p>
    <w:p w:rsidR="004B0757" w:rsidRDefault="004B0757">
      <w:pPr>
        <w:pStyle w:val="BodyL"/>
        <w:rPr>
          <w:lang w:val="en-US"/>
        </w:rPr>
      </w:pPr>
    </w:p>
    <w:p w:rsidR="004B0757" w:rsidRDefault="004B0757">
      <w:pPr>
        <w:pStyle w:val="BodyL"/>
        <w:rPr>
          <w:lang w:val="en-US"/>
        </w:rPr>
      </w:pPr>
    </w:p>
    <w:p w:rsidR="004B0757" w:rsidRDefault="000E1CB2">
      <w:pPr>
        <w:pStyle w:val="BodyL"/>
        <w:jc w:val="center"/>
        <w:rPr>
          <w:lang w:val="en-US"/>
        </w:rPr>
      </w:pPr>
      <w:r>
        <w:rPr>
          <w:noProof/>
          <w:lang w:val="en-US"/>
        </w:rPr>
        <w:drawing>
          <wp:inline distT="0" distB="0" distL="0" distR="0">
            <wp:extent cx="3206750" cy="21463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3206750" cy="2146300"/>
                    </a:xfrm>
                    <a:prstGeom prst="rect">
                      <a:avLst/>
                    </a:prstGeom>
                    <a:solidFill>
                      <a:srgbClr val="FFFFFF"/>
                    </a:solidFill>
                    <a:ln>
                      <a:noFill/>
                    </a:ln>
                  </pic:spPr>
                </pic:pic>
              </a:graphicData>
            </a:graphic>
          </wp:inline>
        </w:drawing>
      </w:r>
    </w:p>
    <w:p w:rsidR="004B0757" w:rsidRDefault="004B0757">
      <w:pPr>
        <w:pStyle w:val="BodyL"/>
        <w:rPr>
          <w:lang w:val="en-US"/>
        </w:rPr>
      </w:pPr>
    </w:p>
    <w:p w:rsidR="004B0757" w:rsidRDefault="004B0757">
      <w:pPr>
        <w:pStyle w:val="BodyL"/>
        <w:rPr>
          <w:lang w:val="en-US"/>
        </w:rPr>
      </w:pPr>
    </w:p>
    <w:p w:rsidR="004B0757" w:rsidRDefault="004B0757">
      <w:pPr>
        <w:pStyle w:val="BodyL"/>
        <w:rPr>
          <w:lang w:val="en-US"/>
        </w:rPr>
      </w:pPr>
    </w:p>
    <w:p w:rsidR="004B0757" w:rsidRDefault="004B0757">
      <w:pPr>
        <w:pStyle w:val="BodyL"/>
        <w:jc w:val="center"/>
      </w:pPr>
      <w:r>
        <w:rPr>
          <w:lang w:val="en-US"/>
        </w:rPr>
        <w:t>Fig. 7</w:t>
      </w:r>
    </w:p>
    <w:p w:rsidR="004B0757" w:rsidRDefault="004B0757">
      <w:pPr>
        <w:pStyle w:val="BodyL"/>
        <w:rPr>
          <w:lang w:val="en-US"/>
        </w:rPr>
      </w:pPr>
    </w:p>
    <w:p w:rsidR="004B0757" w:rsidRDefault="004B0757">
      <w:pPr>
        <w:pStyle w:val="BodyL"/>
        <w:pageBreakBefore/>
        <w:rPr>
          <w:lang w:val="en-US"/>
        </w:rPr>
      </w:pPr>
    </w:p>
    <w:p w:rsidR="004B0757" w:rsidRDefault="004B0757">
      <w:pPr>
        <w:pStyle w:val="Author"/>
      </w:pPr>
      <w:r>
        <w:rPr>
          <w:b w:val="0"/>
          <w:lang w:val="en-US"/>
        </w:rPr>
        <w:t>REFERENCES</w:t>
      </w:r>
    </w:p>
    <w:p w:rsidR="004B0757" w:rsidRDefault="004B0757">
      <w:pPr>
        <w:pStyle w:val="Author"/>
      </w:pPr>
    </w:p>
    <w:sectPr w:rsidR="004B0757">
      <w:headerReference w:type="default" r:id="rId70"/>
      <w:footerReference w:type="default" r:id="rId71"/>
      <w:headerReference w:type="first" r:id="rId72"/>
      <w:footerReference w:type="first" r:id="rId73"/>
      <w:pgSz w:w="11906" w:h="16838"/>
      <w:pgMar w:top="1134" w:right="1417" w:bottom="1417" w:left="1417"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7A44" w:rsidRDefault="00FA7A44">
      <w:r>
        <w:separator/>
      </w:r>
    </w:p>
  </w:endnote>
  <w:endnote w:type="continuationSeparator" w:id="0">
    <w:p w:rsidR="00FA7A44" w:rsidRDefault="00FA7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ohit Devanagari">
    <w:charset w:val="01"/>
    <w:family w:val="auto"/>
    <w:pitch w:val="default"/>
  </w:font>
  <w:font w:name="TT7BDFo00">
    <w:altName w:val="Arial Unicode MS"/>
    <w:charset w:val="80"/>
    <w:family w:val="auto"/>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757" w:rsidRDefault="004B0757">
    <w:pPr>
      <w:pStyle w:val="Footer"/>
      <w:ind w:right="360"/>
    </w:pPr>
    <w:r>
      <w:rPr>
        <w:noProof/>
      </w:rPr>
      <mc:AlternateContent>
        <mc:Choice Requires="wps">
          <w:drawing>
            <wp:anchor distT="0" distB="0" distL="0" distR="0" simplePos="0" relativeHeight="251657728" behindDoc="0" locked="0" layoutInCell="1" allowOverlap="1">
              <wp:simplePos x="0" y="0"/>
              <wp:positionH relativeFrom="page">
                <wp:posOffset>6532880</wp:posOffset>
              </wp:positionH>
              <wp:positionV relativeFrom="paragraph">
                <wp:posOffset>635</wp:posOffset>
              </wp:positionV>
              <wp:extent cx="126365" cy="145415"/>
              <wp:effectExtent l="0" t="635"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 cy="145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B0757" w:rsidRDefault="004B0757">
                          <w:pPr>
                            <w:pStyle w:val="Footer"/>
                          </w:pPr>
                          <w:r>
                            <w:rPr>
                              <w:rStyle w:val="PageNumber"/>
                            </w:rPr>
                            <w:fldChar w:fldCharType="begin"/>
                          </w:r>
                          <w:r>
                            <w:rPr>
                              <w:rStyle w:val="PageNumber"/>
                            </w:rPr>
                            <w:instrText xml:space="preserve"> PAGE </w:instrText>
                          </w:r>
                          <w:r>
                            <w:rPr>
                              <w:rStyle w:val="PageNumber"/>
                            </w:rPr>
                            <w:fldChar w:fldCharType="separate"/>
                          </w:r>
                          <w:r w:rsidR="002579D7">
                            <w:rPr>
                              <w:rStyle w:val="PageNumber"/>
                              <w:noProof/>
                            </w:rPr>
                            <w:t>5</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14.4pt;margin-top:.05pt;width:9.95pt;height:11.4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FNReQIAAP4EAAAOAAAAZHJzL2Uyb0RvYy54bWysVNuO2yAQfa/Uf0C8Z22nTja24qw22aaq&#10;tL1Iu/0AAjhGxUCBxN5W/fcOOM6ml4eqqh/wAMPhzJwZljd9K9GRWye0qnB2lWLEFdVMqH2FPz1u&#10;JwuMnCeKEakVr/ATd/hm9fLFsjMln+pGS8YtAhDlys5UuPHelEniaMNb4q604Qo2a21b4mFq9wmz&#10;pAP0VibTNJ0nnbbMWE25c7B6N2ziVcSva079h7p23CNZYeDm42jjuAtjslqScm+JaQQ90SD/wKIl&#10;QsGlZ6g74gk6WPEbVCuo1U7X/orqNtF1LSiPMUA0WfpLNA8NMTzGAslx5pwm9/9g6fvjR4sEA+0w&#10;UqQFiR5579Fa9ygL2emMK8HpwYCb72E5eIZInbnX9LNDSm8aovb81lrdNZwwYBdPJhdHBxwXQHbd&#10;O83gGnLwOgL1tW0DICQDATqo9HRWJlCh4crp/NV8hhGFrSyf5dkscEtIOR421vk3XLcoGBW2IHwE&#10;J8d75wfX0SWS11KwrZAyTux+t5EWHQkUyTZ+J3R36SZVcFY6HBsQhxXgCHeEvcA2iv6tyKZ5up4W&#10;k+18cT3Jt/lsUlyni0maFetinuZFfrf9HghmedkIxri6F4qPBZjlfyfwqRWG0okliLoKF7PpbFDo&#10;kr27DDKN35+CbIWHfpSirfDi7ETKoOtrxSBsUnoi5GAnP9OPgkAOxn/MSqyCIPxQAr7f9YASSmOn&#10;2RPUg9WgF4gOjwgYjbZfMeqgISvsvhyI5RjJtwpqKnTvaNjR2I0GURSOVthjNJgbP3T5wVixbwB5&#10;qFqlb6HuahFr4pkFUA4TaLJI/vQghC6+nEev52dr9QMAAP//AwBQSwMEFAAGAAgAAAAhAJBBzzbc&#10;AAAACQEAAA8AAABkcnMvZG93bnJldi54bWxMj8FOwzAQRO9I/IO1SFwQtQmoRCFOBS3c4NBS9byN&#10;lyQiXkex06R/j3Oix9FbzbzNV5NtxYl63zjW8LBQIIhLZxquNOy/P+5TED4gG2wdk4YzeVgV11c5&#10;ZsaNvKXTLlQilrDPUEMdQpdJ6cuaLPqF64gj+3G9xRBjX0nT4xjLbSsTpZbSYsNxocaO1jWVv7vB&#10;alhu+mHc8vpus3//xK+uSg5v54PWtzfT6wuIQFP4P4ZZP6pDEZ2ObmDjRRuzStLoHmYiZq6e0mcQ&#10;Rw3JowJZ5PLyg+IPAAD//wMAUEsBAi0AFAAGAAgAAAAhALaDOJL+AAAA4QEAABMAAAAAAAAAAAAA&#10;AAAAAAAAAFtDb250ZW50X1R5cGVzXS54bWxQSwECLQAUAAYACAAAACEAOP0h/9YAAACUAQAACwAA&#10;AAAAAAAAAAAAAAAvAQAAX3JlbHMvLnJlbHNQSwECLQAUAAYACAAAACEAGzxTUXkCAAD+BAAADgAA&#10;AAAAAAAAAAAAAAAuAgAAZHJzL2Uyb0RvYy54bWxQSwECLQAUAAYACAAAACEAkEHPNtwAAAAJAQAA&#10;DwAAAAAAAAAAAAAAAADTBAAAZHJzL2Rvd25yZXYueG1sUEsFBgAAAAAEAAQA8wAAANwFAAAAAA==&#10;" stroked="f">
              <v:textbox inset="0,0,0,0">
                <w:txbxContent>
                  <w:p w:rsidR="004B0757" w:rsidRDefault="004B0757">
                    <w:pPr>
                      <w:pStyle w:val="Footer"/>
                    </w:pPr>
                    <w:r>
                      <w:rPr>
                        <w:rStyle w:val="PageNumber"/>
                      </w:rPr>
                      <w:fldChar w:fldCharType="begin"/>
                    </w:r>
                    <w:r>
                      <w:rPr>
                        <w:rStyle w:val="PageNumber"/>
                      </w:rPr>
                      <w:instrText xml:space="preserve"> PAGE </w:instrText>
                    </w:r>
                    <w:r>
                      <w:rPr>
                        <w:rStyle w:val="PageNumber"/>
                      </w:rPr>
                      <w:fldChar w:fldCharType="separate"/>
                    </w:r>
                    <w:r w:rsidR="002579D7">
                      <w:rPr>
                        <w:rStyle w:val="PageNumber"/>
                        <w:noProof/>
                      </w:rPr>
                      <w:t>5</w:t>
                    </w:r>
                    <w:r>
                      <w:rPr>
                        <w:rStyle w:val="PageNumber"/>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757" w:rsidRDefault="004B07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7A44" w:rsidRDefault="00FA7A44">
      <w:r>
        <w:separator/>
      </w:r>
    </w:p>
  </w:footnote>
  <w:footnote w:type="continuationSeparator" w:id="0">
    <w:p w:rsidR="00FA7A44" w:rsidRDefault="00FA7A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757" w:rsidRDefault="004B07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757" w:rsidRDefault="004B075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singleLevel"/>
    <w:tmpl w:val="00000003"/>
    <w:name w:val="WW8Num3"/>
    <w:lvl w:ilvl="0">
      <w:start w:val="1"/>
      <w:numFmt w:val="decimal"/>
      <w:lvlText w:val="%1."/>
      <w:lvlJc w:val="left"/>
      <w:pPr>
        <w:tabs>
          <w:tab w:val="num" w:pos="360"/>
        </w:tabs>
        <w:ind w:left="340" w:hanging="340"/>
      </w:pPr>
      <w:rPr>
        <w:rFonts w:ascii="Times New Roman" w:hAnsi="Times New Roman" w:cs="Times New Roman" w:hint="default"/>
        <w:sz w:val="28"/>
      </w:rPr>
    </w:lvl>
  </w:abstractNum>
  <w:abstractNum w:abstractNumId="3" w15:restartNumberingAfterBreak="0">
    <w:nsid w:val="00000004"/>
    <w:multiLevelType w:val="singleLevel"/>
    <w:tmpl w:val="00000004"/>
    <w:name w:val="WW8Num4"/>
    <w:lvl w:ilvl="0">
      <w:start w:val="1"/>
      <w:numFmt w:val="decimal"/>
      <w:lvlText w:val="Fig. %1."/>
      <w:lvlJc w:val="left"/>
      <w:pPr>
        <w:tabs>
          <w:tab w:val="num" w:pos="1080"/>
        </w:tabs>
        <w:ind w:left="0" w:firstLine="0"/>
      </w:pPr>
      <w:rPr>
        <w:rFonts w:ascii="Times New Roman" w:hAnsi="Times New Roman" w:cs="Times New Roman" w:hint="default"/>
        <w:b/>
        <w:i w:val="0"/>
        <w:sz w:val="28"/>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A4D"/>
    <w:rsid w:val="000D26CF"/>
    <w:rsid w:val="000E1CB2"/>
    <w:rsid w:val="001A752E"/>
    <w:rsid w:val="002579D7"/>
    <w:rsid w:val="00341668"/>
    <w:rsid w:val="004B0757"/>
    <w:rsid w:val="005A5C77"/>
    <w:rsid w:val="007E77CD"/>
    <w:rsid w:val="00AC5A4D"/>
    <w:rsid w:val="00C01256"/>
    <w:rsid w:val="00D13F29"/>
    <w:rsid w:val="00D56B5C"/>
    <w:rsid w:val="00E45E98"/>
    <w:rsid w:val="00EE14EF"/>
    <w:rsid w:val="00F9362B"/>
    <w:rsid w:val="00FA4218"/>
    <w:rsid w:val="00FA7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8DCAA91"/>
  <w15:chartTrackingRefBased/>
  <w15:docId w15:val="{26E3A5B2-CA96-4659-8FF5-B722C86E2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sz w:val="24"/>
      <w:szCs w:val="24"/>
      <w:lang w:eastAsia="zh-CN"/>
    </w:rPr>
  </w:style>
  <w:style w:type="paragraph" w:styleId="Heading1">
    <w:name w:val="heading 1"/>
    <w:basedOn w:val="Basic"/>
    <w:next w:val="BodyText"/>
    <w:qFormat/>
    <w:pPr>
      <w:keepNext/>
      <w:numPr>
        <w:numId w:val="1"/>
      </w:numPr>
      <w:jc w:val="center"/>
      <w:outlineLvl w:val="0"/>
    </w:pPr>
    <w:rPr>
      <w:rFonts w:cs="Arial"/>
      <w:bCs/>
      <w:caps/>
      <w:sz w:val="28"/>
      <w:szCs w:val="32"/>
    </w:rPr>
  </w:style>
  <w:style w:type="paragraph" w:styleId="Heading2">
    <w:name w:val="heading 2"/>
    <w:basedOn w:val="Basic"/>
    <w:next w:val="BodyL"/>
    <w:qFormat/>
    <w:pPr>
      <w:keepNext/>
      <w:numPr>
        <w:ilvl w:val="1"/>
        <w:numId w:val="1"/>
      </w:numPr>
      <w:jc w:val="center"/>
      <w:outlineLvl w:val="1"/>
    </w:pPr>
    <w:rPr>
      <w:rFonts w:cs="Arial"/>
      <w:bCs/>
      <w:i/>
      <w:iCs/>
      <w:sz w:val="28"/>
      <w:szCs w:val="28"/>
    </w:rPr>
  </w:style>
  <w:style w:type="paragraph" w:styleId="Heading3">
    <w:name w:val="heading 3"/>
    <w:basedOn w:val="Basic"/>
    <w:next w:val="BodyL"/>
    <w:qFormat/>
    <w:pPr>
      <w:numPr>
        <w:ilvl w:val="2"/>
        <w:numId w:val="1"/>
      </w:numPr>
      <w:jc w:val="left"/>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rPr>
      <w:rFonts w:ascii="Times New Roman" w:hAnsi="Times New Roman" w:cs="Times New Roman" w:hint="default"/>
      <w:sz w:val="28"/>
    </w:rPr>
  </w:style>
  <w:style w:type="character" w:customStyle="1" w:styleId="WW8Num4z0">
    <w:name w:val="WW8Num4z0"/>
    <w:rPr>
      <w:rFonts w:ascii="Times New Roman" w:hAnsi="Times New Roman" w:cs="Times New Roman" w:hint="default"/>
      <w:b/>
      <w:i w:val="0"/>
      <w:sz w:val="28"/>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styleId="DefaultParagraphFont0">
    <w:name w:val="Default Paragraph Font"/>
  </w:style>
  <w:style w:type="character" w:styleId="PageNumber">
    <w:name w:val="page number"/>
    <w:basedOn w:val="DefaultParagraphFont0"/>
    <w:rPr>
      <w:sz w:val="20"/>
    </w:rPr>
  </w:style>
  <w:style w:type="character" w:customStyle="1" w:styleId="FooterChar">
    <w:name w:val="Footer Char"/>
    <w:basedOn w:val="DefaultParagraphFont0"/>
    <w:rPr>
      <w:sz w:val="24"/>
      <w:szCs w:val="24"/>
    </w:rPr>
  </w:style>
  <w:style w:type="character" w:styleId="Hyperlink">
    <w:name w:val="Hyperlink"/>
    <w:basedOn w:val="DefaultParagraphFont0"/>
    <w:rPr>
      <w:color w:val="0000FF"/>
      <w:u w:val="single"/>
    </w:rPr>
  </w:style>
  <w:style w:type="character" w:customStyle="1" w:styleId="TitleChar">
    <w:name w:val="Title Char"/>
    <w:basedOn w:val="DefaultParagraphFont0"/>
    <w:rPr>
      <w:rFonts w:cs="Arial"/>
      <w:b/>
      <w:bCs/>
      <w:caps/>
      <w:sz w:val="28"/>
      <w:szCs w:val="32"/>
    </w:rPr>
  </w:style>
  <w:style w:type="character" w:customStyle="1" w:styleId="BalloonTextChar">
    <w:name w:val="Balloon Text Char"/>
    <w:basedOn w:val="DefaultParagraphFont0"/>
    <w:rPr>
      <w:rFonts w:ascii="Tahoma" w:hAnsi="Tahoma" w:cs="Tahoma"/>
      <w:sz w:val="16"/>
      <w:szCs w:val="16"/>
      <w:lang w:val="ru-RU"/>
    </w:rPr>
  </w:style>
  <w:style w:type="paragraph" w:customStyle="1" w:styleId="Heading">
    <w:name w:val="Heading"/>
    <w:basedOn w:val="Basic"/>
    <w:next w:val="BodyText"/>
    <w:pPr>
      <w:ind w:firstLine="0"/>
      <w:jc w:val="center"/>
    </w:pPr>
    <w:rPr>
      <w:rFonts w:cs="Arial"/>
      <w:b/>
      <w:bCs/>
      <w:caps/>
      <w:sz w:val="28"/>
      <w:szCs w:val="32"/>
    </w:rPr>
  </w:style>
  <w:style w:type="paragraph" w:styleId="BodyText">
    <w:name w:val="Body Text"/>
    <w:basedOn w:val="Normal"/>
    <w:pPr>
      <w:spacing w:after="120"/>
    </w:pPr>
  </w:style>
  <w:style w:type="paragraph" w:styleId="List">
    <w:name w:val="List"/>
    <w:basedOn w:val="BodyText"/>
    <w:rPr>
      <w:rFonts w:cs="Lohit Devanagari"/>
    </w:rPr>
  </w:style>
  <w:style w:type="paragraph" w:styleId="Caption">
    <w:name w:val="caption"/>
    <w:basedOn w:val="Normal"/>
    <w:next w:val="Normal"/>
    <w:qFormat/>
    <w:pPr>
      <w:spacing w:before="120" w:after="120"/>
    </w:pPr>
    <w:rPr>
      <w:b/>
      <w:bCs/>
      <w:szCs w:val="20"/>
    </w:rPr>
  </w:style>
  <w:style w:type="paragraph" w:customStyle="1" w:styleId="Index">
    <w:name w:val="Index"/>
    <w:basedOn w:val="Normal"/>
    <w:pPr>
      <w:suppressLineNumbers/>
    </w:pPr>
    <w:rPr>
      <w:rFonts w:cs="Lohit Devanagari"/>
    </w:rPr>
  </w:style>
  <w:style w:type="paragraph" w:customStyle="1" w:styleId="Basic">
    <w:name w:val="Basic"/>
    <w:pPr>
      <w:suppressAutoHyphens/>
      <w:spacing w:line="360" w:lineRule="auto"/>
      <w:ind w:firstLine="567"/>
      <w:jc w:val="both"/>
    </w:pPr>
    <w:rPr>
      <w:sz w:val="24"/>
      <w:lang w:val="ru-RU" w:eastAsia="zh-CN"/>
    </w:rPr>
  </w:style>
  <w:style w:type="paragraph" w:styleId="EndnoteText">
    <w:name w:val="endnote text"/>
    <w:basedOn w:val="Normal"/>
    <w:rPr>
      <w:szCs w:val="20"/>
    </w:rPr>
  </w:style>
  <w:style w:type="paragraph" w:styleId="FootnoteText">
    <w:name w:val="footnote text"/>
    <w:basedOn w:val="Basic"/>
    <w:pPr>
      <w:spacing w:line="240" w:lineRule="auto"/>
      <w:ind w:firstLine="0"/>
      <w:jc w:val="left"/>
    </w:pPr>
    <w:rPr>
      <w:sz w:val="20"/>
    </w:rPr>
  </w:style>
  <w:style w:type="paragraph" w:styleId="Header">
    <w:name w:val="header"/>
    <w:basedOn w:val="Normal"/>
    <w:next w:val="Normal"/>
    <w:pPr>
      <w:tabs>
        <w:tab w:val="center" w:pos="4678"/>
        <w:tab w:val="right" w:pos="9356"/>
      </w:tabs>
    </w:pPr>
  </w:style>
  <w:style w:type="paragraph" w:styleId="ListNumber">
    <w:name w:val="List Number"/>
    <w:basedOn w:val="Normal"/>
    <w:pPr>
      <w:numPr>
        <w:numId w:val="2"/>
      </w:numPr>
    </w:pPr>
  </w:style>
  <w:style w:type="paragraph" w:styleId="Subtitle">
    <w:name w:val="Subtitle"/>
    <w:basedOn w:val="Heading"/>
    <w:next w:val="Normal"/>
    <w:qFormat/>
    <w:rPr>
      <w:caps w:val="0"/>
    </w:rPr>
  </w:style>
  <w:style w:type="paragraph" w:customStyle="1" w:styleId="TitleArticle">
    <w:name w:val="TitleArticle"/>
    <w:basedOn w:val="Basic"/>
    <w:pPr>
      <w:spacing w:before="240" w:after="360"/>
      <w:ind w:firstLine="0"/>
      <w:jc w:val="center"/>
    </w:pPr>
    <w:rPr>
      <w:b/>
      <w:caps/>
      <w:sz w:val="28"/>
    </w:rPr>
  </w:style>
  <w:style w:type="paragraph" w:customStyle="1" w:styleId="Abstract">
    <w:name w:val="Abstract"/>
    <w:basedOn w:val="Basic"/>
    <w:pPr>
      <w:spacing w:before="120" w:after="120" w:line="240" w:lineRule="auto"/>
      <w:ind w:firstLine="0"/>
    </w:pPr>
    <w:rPr>
      <w:sz w:val="20"/>
    </w:rPr>
  </w:style>
  <w:style w:type="paragraph" w:customStyle="1" w:styleId="PACS">
    <w:name w:val="PACS"/>
    <w:basedOn w:val="Abstract"/>
  </w:style>
  <w:style w:type="paragraph" w:customStyle="1" w:styleId="MTDisplayEquation">
    <w:name w:val="MTDisplayEquation"/>
    <w:basedOn w:val="Basic"/>
    <w:next w:val="BodyLNoTab"/>
    <w:pPr>
      <w:tabs>
        <w:tab w:val="center" w:pos="4680"/>
        <w:tab w:val="right" w:pos="9080"/>
      </w:tabs>
      <w:ind w:firstLine="0"/>
    </w:pPr>
    <w:rPr>
      <w:lang w:val="en-US"/>
    </w:rPr>
  </w:style>
  <w:style w:type="paragraph" w:customStyle="1" w:styleId="Equation">
    <w:name w:val="Equation"/>
    <w:basedOn w:val="Basic"/>
    <w:pPr>
      <w:tabs>
        <w:tab w:val="center" w:pos="4536"/>
        <w:tab w:val="right" w:pos="9078"/>
      </w:tabs>
      <w:overflowPunct w:val="0"/>
      <w:autoSpaceDE w:val="0"/>
      <w:spacing w:before="120" w:after="120"/>
      <w:ind w:firstLine="0"/>
      <w:textAlignment w:val="baseline"/>
    </w:pPr>
    <w:rPr>
      <w:szCs w:val="28"/>
      <w:lang w:val="en-US" w:eastAsia="en-US"/>
    </w:rPr>
  </w:style>
  <w:style w:type="paragraph" w:customStyle="1" w:styleId="EquationNoNum">
    <w:name w:val="EquationNoNum"/>
    <w:basedOn w:val="Equation"/>
    <w:pPr>
      <w:jc w:val="center"/>
    </w:pPr>
  </w:style>
  <w:style w:type="paragraph" w:customStyle="1" w:styleId="Appendix">
    <w:name w:val="Appendix"/>
    <w:basedOn w:val="Basic"/>
    <w:pPr>
      <w:tabs>
        <w:tab w:val="left" w:pos="567"/>
      </w:tabs>
      <w:spacing w:before="240" w:after="120"/>
      <w:ind w:firstLine="0"/>
      <w:jc w:val="right"/>
    </w:pPr>
    <w:rPr>
      <w:i/>
    </w:rPr>
  </w:style>
  <w:style w:type="paragraph" w:customStyle="1" w:styleId="UDK">
    <w:name w:val="UDK"/>
    <w:basedOn w:val="Basic"/>
    <w:next w:val="TitleArticle"/>
    <w:pPr>
      <w:ind w:firstLine="0"/>
      <w:jc w:val="left"/>
    </w:pPr>
    <w:rPr>
      <w:i/>
      <w:sz w:val="28"/>
    </w:rPr>
  </w:style>
  <w:style w:type="paragraph" w:customStyle="1" w:styleId="BodyL">
    <w:name w:val="BodyL."/>
    <w:basedOn w:val="Basic"/>
  </w:style>
  <w:style w:type="paragraph" w:customStyle="1" w:styleId="Rubric">
    <w:name w:val="Rubric"/>
    <w:basedOn w:val="Basic"/>
    <w:pPr>
      <w:spacing w:after="120"/>
      <w:jc w:val="center"/>
    </w:pPr>
    <w:rPr>
      <w:b/>
      <w:caps/>
      <w:sz w:val="28"/>
    </w:rPr>
  </w:style>
  <w:style w:type="paragraph" w:customStyle="1" w:styleId="Author">
    <w:name w:val="Author"/>
    <w:basedOn w:val="Basic"/>
    <w:pPr>
      <w:spacing w:before="120" w:after="120"/>
      <w:jc w:val="center"/>
    </w:pPr>
    <w:rPr>
      <w:b/>
      <w:sz w:val="28"/>
    </w:rPr>
  </w:style>
  <w:style w:type="paragraph" w:customStyle="1" w:styleId="Address">
    <w:name w:val="Address"/>
    <w:basedOn w:val="Basic"/>
    <w:pPr>
      <w:spacing w:after="240" w:line="240" w:lineRule="auto"/>
      <w:jc w:val="center"/>
    </w:pPr>
    <w:rPr>
      <w:i/>
      <w:sz w:val="26"/>
    </w:rPr>
  </w:style>
  <w:style w:type="paragraph" w:customStyle="1" w:styleId="ManReceived">
    <w:name w:val="ManReceived"/>
    <w:basedOn w:val="Address"/>
    <w:pPr>
      <w:spacing w:before="120"/>
    </w:pPr>
    <w:rPr>
      <w:i w:val="0"/>
    </w:rPr>
  </w:style>
  <w:style w:type="paragraph" w:customStyle="1" w:styleId="Body">
    <w:name w:val="Body"/>
    <w:basedOn w:val="Basic"/>
  </w:style>
  <w:style w:type="paragraph" w:customStyle="1" w:styleId="WW-Heading">
    <w:name w:val="WW-Heading"/>
    <w:basedOn w:val="Basic"/>
    <w:next w:val="BodyL"/>
    <w:pPr>
      <w:keepNext/>
      <w:spacing w:before="240" w:after="120"/>
      <w:ind w:firstLine="0"/>
      <w:jc w:val="center"/>
    </w:pPr>
    <w:rPr>
      <w:caps/>
      <w:sz w:val="28"/>
    </w:rPr>
  </w:style>
  <w:style w:type="paragraph" w:customStyle="1" w:styleId="Subheading">
    <w:name w:val="Subheading"/>
    <w:basedOn w:val="Basic"/>
    <w:next w:val="BodyL"/>
    <w:pPr>
      <w:keepNext/>
      <w:spacing w:before="240" w:after="120"/>
      <w:ind w:firstLine="0"/>
      <w:jc w:val="center"/>
    </w:pPr>
    <w:rPr>
      <w:i/>
      <w:sz w:val="28"/>
    </w:rPr>
  </w:style>
  <w:style w:type="paragraph" w:customStyle="1" w:styleId="WW-Footnote">
    <w:name w:val="WW-Footnote"/>
    <w:basedOn w:val="Basic"/>
    <w:pPr>
      <w:spacing w:line="240" w:lineRule="auto"/>
      <w:ind w:firstLine="0"/>
      <w:jc w:val="left"/>
    </w:pPr>
    <w:rPr>
      <w:sz w:val="20"/>
    </w:rPr>
  </w:style>
  <w:style w:type="paragraph" w:customStyle="1" w:styleId="Figure">
    <w:name w:val="Figure"/>
    <w:basedOn w:val="Basic"/>
    <w:pPr>
      <w:numPr>
        <w:numId w:val="4"/>
      </w:numPr>
      <w:spacing w:before="120" w:after="120"/>
    </w:pPr>
  </w:style>
  <w:style w:type="paragraph" w:customStyle="1" w:styleId="References">
    <w:name w:val="References"/>
    <w:basedOn w:val="Basic"/>
    <w:pPr>
      <w:numPr>
        <w:numId w:val="3"/>
      </w:numPr>
    </w:pPr>
  </w:style>
  <w:style w:type="paragraph" w:customStyle="1" w:styleId="BodyNoTab">
    <w:name w:val="BodyNoTab"/>
    <w:basedOn w:val="Body"/>
    <w:next w:val="Body"/>
    <w:pPr>
      <w:tabs>
        <w:tab w:val="left" w:pos="567"/>
      </w:tabs>
      <w:ind w:firstLine="0"/>
    </w:pPr>
  </w:style>
  <w:style w:type="paragraph" w:customStyle="1" w:styleId="TableTitle">
    <w:name w:val="TableTitle"/>
    <w:basedOn w:val="Basic"/>
    <w:pPr>
      <w:spacing w:before="240" w:after="120"/>
    </w:pPr>
    <w:rPr>
      <w:sz w:val="28"/>
    </w:rPr>
  </w:style>
  <w:style w:type="paragraph" w:customStyle="1" w:styleId="BodyLNoTab">
    <w:name w:val="BodyL.NoTab"/>
    <w:basedOn w:val="BodyL"/>
    <w:next w:val="BodyL"/>
    <w:pPr>
      <w:ind w:firstLine="0"/>
    </w:pPr>
  </w:style>
  <w:style w:type="paragraph" w:customStyle="1" w:styleId="EquationNum1">
    <w:name w:val="EquationNum+1"/>
    <w:basedOn w:val="Equation"/>
  </w:style>
  <w:style w:type="paragraph" w:customStyle="1" w:styleId="TableFootnote">
    <w:name w:val="TableFootnote"/>
    <w:basedOn w:val="Basic"/>
    <w:pPr>
      <w:tabs>
        <w:tab w:val="right" w:pos="284"/>
        <w:tab w:val="left" w:pos="369"/>
      </w:tabs>
      <w:spacing w:line="240" w:lineRule="auto"/>
      <w:ind w:firstLine="0"/>
    </w:pPr>
    <w:rPr>
      <w:sz w:val="18"/>
    </w:rPr>
  </w:style>
  <w:style w:type="paragraph" w:customStyle="1" w:styleId="CellBody">
    <w:name w:val="CellBody"/>
    <w:basedOn w:val="Basic"/>
    <w:pPr>
      <w:spacing w:after="40"/>
      <w:ind w:firstLine="0"/>
      <w:jc w:val="center"/>
    </w:pPr>
  </w:style>
  <w:style w:type="paragraph" w:customStyle="1" w:styleId="CellHeading">
    <w:name w:val="CellHeading"/>
    <w:basedOn w:val="Basic"/>
    <w:pPr>
      <w:spacing w:before="40" w:after="40"/>
      <w:ind w:firstLine="0"/>
      <w:jc w:val="center"/>
    </w:pPr>
  </w:style>
  <w:style w:type="paragraph" w:customStyle="1" w:styleId="Accepted">
    <w:name w:val="Accepted"/>
    <w:basedOn w:val="ManReceived"/>
  </w:style>
  <w:style w:type="paragraph" w:customStyle="1" w:styleId="UDC">
    <w:name w:val="UDC"/>
    <w:basedOn w:val="Basic"/>
    <w:next w:val="TitleArticle"/>
    <w:pPr>
      <w:ind w:firstLine="0"/>
      <w:jc w:val="left"/>
    </w:pPr>
    <w:rPr>
      <w:i/>
      <w:sz w:val="28"/>
    </w:rPr>
  </w:style>
  <w:style w:type="paragraph" w:styleId="Footer">
    <w:name w:val="footer"/>
    <w:basedOn w:val="Normal"/>
    <w:pPr>
      <w:tabs>
        <w:tab w:val="center" w:pos="4677"/>
        <w:tab w:val="right" w:pos="9355"/>
      </w:tabs>
    </w:pPr>
  </w:style>
  <w:style w:type="paragraph" w:styleId="BalloonText">
    <w:name w:val="Balloon Text"/>
    <w:basedOn w:val="Normal"/>
    <w:rPr>
      <w:rFonts w:ascii="Tahoma" w:hAnsi="Tahoma" w:cs="Tahoma"/>
      <w:sz w:val="16"/>
      <w:szCs w:val="16"/>
    </w:rPr>
  </w:style>
  <w:style w:type="paragraph" w:customStyle="1" w:styleId="FrameContents">
    <w:name w:val="Frame Contents"/>
    <w:basedOn w:val="Normal"/>
  </w:style>
  <w:style w:type="character" w:styleId="PlaceholderText">
    <w:name w:val="Placeholder Text"/>
    <w:basedOn w:val="DefaultParagraphFont"/>
    <w:uiPriority w:val="99"/>
    <w:semiHidden/>
    <w:rsid w:val="000E1C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image" Target="media/image29.png"/><Relationship Id="rId68" Type="http://schemas.openxmlformats.org/officeDocument/2006/relationships/image" Target="media/image34.png"/><Relationship Id="rId7" Type="http://schemas.openxmlformats.org/officeDocument/2006/relationships/image" Target="media/image1.wmf"/><Relationship Id="rId71"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image" Target="media/image32.png"/><Relationship Id="rId7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61" Type="http://schemas.openxmlformats.org/officeDocument/2006/relationships/image" Target="media/image28.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1.png"/><Relationship Id="rId73"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image" Target="media/image30.png"/><Relationship Id="rId69" Type="http://schemas.openxmlformats.org/officeDocument/2006/relationships/image" Target="media/image35.png"/><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3.png"/><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header" Target="header1.xm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OneDrive\git\PurdueDocs\Research\Plasma%20Physics%20Reports\MAIK_Template_2008_E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MAIK_Template_2008_ENG</Template>
  <TotalTime>2</TotalTime>
  <Pages>13</Pages>
  <Words>1489</Words>
  <Characters>8491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Конюхов</dc:creator>
  <cp:keywords/>
  <dc:description/>
  <cp:lastModifiedBy>Josh Rudolph</cp:lastModifiedBy>
  <cp:revision>3</cp:revision>
  <cp:lastPrinted>1601-01-01T00:00:00Z</cp:lastPrinted>
  <dcterms:created xsi:type="dcterms:W3CDTF">2017-12-02T13:14:00Z</dcterms:created>
  <dcterms:modified xsi:type="dcterms:W3CDTF">2017-12-02T13:16:00Z</dcterms:modified>
</cp:coreProperties>
</file>