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x8s81wxmttnd" w:id="0"/>
      <w:bookmarkEnd w:id="0"/>
      <w:r w:rsidDel="00000000" w:rsidR="00000000" w:rsidRPr="00000000">
        <w:rPr>
          <w:rtl w:val="0"/>
        </w:rPr>
        <w:t xml:space="preserve">Modelos de Datos y Arquitectura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ynm5jdlg7un0" w:id="1"/>
      <w:bookmarkEnd w:id="1"/>
      <w:r w:rsidDel="00000000" w:rsidR="00000000" w:rsidRPr="00000000">
        <w:rPr>
          <w:rtl w:val="0"/>
        </w:rPr>
        <w:t xml:space="preserve">Proyecto: TTDH Automation (Banco Genérico)</w:t>
      </w:r>
    </w:p>
    <w:p w:rsidR="00000000" w:rsidDel="00000000" w:rsidP="00000000" w:rsidRDefault="00000000" w:rsidRPr="00000000" w14:paraId="00000003">
      <w:pPr>
        <w:pStyle w:val="Heading2"/>
        <w:rPr/>
      </w:pPr>
      <w:bookmarkStart w:colFirst="0" w:colLast="0" w:name="_hmppe151pne0" w:id="2"/>
      <w:bookmarkEnd w:id="2"/>
      <w:r w:rsidDel="00000000" w:rsidR="00000000" w:rsidRPr="00000000">
        <w:rPr>
          <w:rtl w:val="0"/>
        </w:rPr>
        <w:t xml:space="preserve">1. Introducción y Arquitectura de la Solución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presente documento define la arquitectura técnica y el modelo de datos relacional para el proyecto </w:t>
      </w:r>
      <w:r w:rsidDel="00000000" w:rsidR="00000000" w:rsidRPr="00000000">
        <w:rPr>
          <w:b w:val="1"/>
          <w:bCs w:val="1"/>
          <w:rtl w:val="0"/>
        </w:rPr>
        <w:t xml:space="preserve">TTDH Automation</w:t>
      </w:r>
      <w:r w:rsidDel="00000000" w:rsidR="00000000" w:rsidRPr="00000000">
        <w:rPr>
          <w:rtl w:val="0"/>
        </w:rPr>
        <w:t xml:space="preserve">, diseñado por el equipo </w:t>
      </w:r>
      <w:r w:rsidDel="00000000" w:rsidR="00000000" w:rsidRPr="00000000">
        <w:rPr>
          <w:b w:val="1"/>
          <w:bCs w:val="1"/>
          <w:rtl w:val="0"/>
        </w:rPr>
        <w:t xml:space="preserve">STARTAB</w:t>
      </w:r>
      <w:r w:rsidDel="00000000" w:rsidR="00000000" w:rsidRPr="00000000">
        <w:rPr>
          <w:rtl w:val="0"/>
        </w:rPr>
        <w:t xml:space="preserve"> (liderado técnicamente por Tomas Catalán Madariaga en bases de datos y ETL) [cite: 5]. La solución tiene como propósito automatizar el procesamiento, validación y cruce de registros de deudores entre la Tesorería General de la República (TGR) y el Banco Genérico [cite: 5].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El flujo arquitectónico consta de las siguientes capas: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Ingesta:</w:t>
      </w:r>
      <w:r w:rsidDel="00000000" w:rsidR="00000000" w:rsidRPr="00000000">
        <w:rPr>
          <w:rtl w:val="0"/>
        </w:rPr>
        <w:t xml:space="preserve"> Recepción de archivos masivos (CSV, Excel, TXT) enviados periódicamente por la TGR [cite: 5].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Procesamiento ETL:</w:t>
      </w:r>
      <w:r w:rsidDel="00000000" w:rsidR="00000000" w:rsidRPr="00000000">
        <w:rPr>
          <w:rtl w:val="0"/>
        </w:rPr>
        <w:t xml:space="preserve"> Extracción, parsing, validación de reglas de negocio (RUT, duplicados, campos obligatorios) y transformación de los datos [cite: 5].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Almacenamiento y Matching (Base de Datos):</w:t>
      </w:r>
      <w:r w:rsidDel="00000000" w:rsidR="00000000" w:rsidRPr="00000000">
        <w:rPr>
          <w:rtl w:val="0"/>
        </w:rPr>
        <w:t xml:space="preserve"> Persistencia transaccional de los datos validados y cruce con la información del Banco Genérico, manteniendo un registro de comparación histórica y trazabilidad [cite: 5].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Inteligencia Artificial y Reportes:</w:t>
      </w:r>
      <w:r w:rsidDel="00000000" w:rsidR="00000000" w:rsidRPr="00000000">
        <w:rPr>
          <w:rtl w:val="0"/>
        </w:rPr>
        <w:t xml:space="preserve"> Módulo analítico asistido por IA para detectar anomalías, sugerir validaciones y generar reportes parametrizables [cite: 5].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 de Presentación (Frontend / Dashboard):</w:t>
      </w:r>
      <w:r w:rsidDel="00000000" w:rsidR="00000000" w:rsidRPr="00000000">
        <w:rPr>
          <w:rtl w:val="0"/>
        </w:rPr>
        <w:t xml:space="preserve"> Interfaz web interactiva para la supervisión en tiempo real del estado de los procesos [cite: 5].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rPr/>
      </w:pPr>
      <w:bookmarkStart w:colFirst="0" w:colLast="0" w:name="_w1hanbpgpscd" w:id="3"/>
      <w:bookmarkEnd w:id="3"/>
      <w:r w:rsidDel="00000000" w:rsidR="00000000" w:rsidRPr="00000000">
        <w:rPr>
          <w:rtl w:val="0"/>
        </w:rPr>
        <w:t xml:space="preserve">2. Arquitectura de Software y Componentes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La solución adopta un diseño modular desacoplado: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Ingesta y ETL (Tomas Catalán):</w:t>
      </w:r>
      <w:r w:rsidDel="00000000" w:rsidR="00000000" w:rsidRPr="00000000">
        <w:rPr>
          <w:rtl w:val="0"/>
        </w:rPr>
        <w:t xml:space="preserve"> Encargado de automatizar la lectura de ficheros externos y la carga normalizada en el almacenamiento [cite: 5].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Validaciones y Core Backend (David Muñoz):</w:t>
      </w:r>
      <w:r w:rsidDel="00000000" w:rsidR="00000000" w:rsidRPr="00000000">
        <w:rPr>
          <w:rtl w:val="0"/>
        </w:rPr>
        <w:t xml:space="preserve"> Ejecuta las reglas de negocio, validación estricta de RUT (Módulo 11), detección de duplicados y cruce de cuentas [cite: 5].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Inteligencia Artificial y QA (Héctor Sanhueza):</w:t>
      </w:r>
      <w:r w:rsidDel="00000000" w:rsidR="00000000" w:rsidRPr="00000000">
        <w:rPr>
          <w:rtl w:val="0"/>
        </w:rPr>
        <w:t xml:space="preserve"> Analiza patrones atípicos de rechazo y apoya en la certificación de calidad de los datos [cite: 5].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Módulo de Gestión y Coordinación (María Trinidad Gaete):</w:t>
      </w:r>
      <w:r w:rsidDel="00000000" w:rsidR="00000000" w:rsidRPr="00000000">
        <w:rPr>
          <w:rtl w:val="0"/>
        </w:rPr>
        <w:t xml:space="preserve"> Supervisión de requerimientos y control general del proyecto [cite: 5].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rPr/>
      </w:pPr>
      <w:bookmarkStart w:colFirst="0" w:colLast="0" w:name="_n8aos2vlkiwu" w:id="4"/>
      <w:bookmarkEnd w:id="4"/>
      <w:r w:rsidDel="00000000" w:rsidR="00000000" w:rsidRPr="00000000">
        <w:rPr>
          <w:rtl w:val="0"/>
        </w:rPr>
        <w:t xml:space="preserve">3. Modelo Entidad-Relación (ER) / Modelo de Datos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Para soportar la trazabilidad histórica, el almacenamiento de transacciones y los reportes, se define el siguiente esquema de base de datos relacional:</w:t>
      </w:r>
    </w:p>
    <w:p w:rsidR="00000000" w:rsidDel="00000000" w:rsidP="00000000" w:rsidRDefault="00000000" w:rsidRPr="00000000" w14:paraId="0000001A">
      <w:pPr>
        <w:pStyle w:val="Heading3"/>
        <w:rPr/>
      </w:pPr>
      <w:bookmarkStart w:colFirst="0" w:colLast="0" w:name="_wawr0cjgewhl" w:id="5"/>
      <w:bookmarkEnd w:id="5"/>
      <w:r w:rsidDel="00000000" w:rsidR="00000000" w:rsidRPr="00000000">
        <w:rPr>
          <w:b w:val="1"/>
          <w:bCs w:val="1"/>
          <w:rtl w:val="0"/>
        </w:rPr>
        <w:t xml:space="preserve">Entidad 1: Archivos_TGR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Registra la metadata de cada archivo recibido desde la TGR.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id_archivo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nombre_archivo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fecha_recepcion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estado_archivo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Recibido, Procesado, Error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total_registros</w:t>
      </w:r>
      <w:r w:rsidDel="00000000" w:rsidR="00000000" w:rsidRPr="00000000">
        <w:rPr>
          <w:rtl w:val="0"/>
        </w:rPr>
        <w:t xml:space="preserve"> (INT)</w:t>
      </w:r>
    </w:p>
    <w:p w:rsidR="00000000" w:rsidDel="00000000" w:rsidP="00000000" w:rsidRDefault="00000000" w:rsidRPr="00000000" w14:paraId="00000022">
      <w:pPr>
        <w:pStyle w:val="Heading3"/>
        <w:rPr/>
      </w:pPr>
      <w:bookmarkStart w:colFirst="0" w:colLast="0" w:name="_xqz2cz56mdb" w:id="6"/>
      <w:bookmarkEnd w:id="6"/>
      <w:r w:rsidDel="00000000" w:rsidR="00000000" w:rsidRPr="00000000">
        <w:rPr>
          <w:b w:val="1"/>
          <w:bCs w:val="1"/>
          <w:rtl w:val="0"/>
        </w:rPr>
        <w:t xml:space="preserve">Entidad 2: Registros_TGR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Almacena el detalle desglosado de cada transacción contenida en los archivos TGR.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id_registro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id_archivo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rut_deudor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folio_deuda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monto_deuda</w:t>
      </w:r>
      <w:r w:rsidDel="00000000" w:rsidR="00000000" w:rsidRPr="00000000">
        <w:rPr>
          <w:rtl w:val="0"/>
        </w:rPr>
        <w:t xml:space="preserve"> (DECIMAL)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fecha_origen</w:t>
      </w:r>
      <w:r w:rsidDel="00000000" w:rsidR="00000000" w:rsidRPr="00000000">
        <w:rPr>
          <w:rtl w:val="0"/>
        </w:rPr>
        <w:t xml:space="preserve"> (DATE)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estado_validacion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Válido, Inválido, Duplicado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2C">
      <w:pPr>
        <w:pStyle w:val="Heading3"/>
        <w:rPr/>
      </w:pPr>
      <w:bookmarkStart w:colFirst="0" w:colLast="0" w:name="_obweoxwkrj8h" w:id="7"/>
      <w:bookmarkEnd w:id="7"/>
      <w:r w:rsidDel="00000000" w:rsidR="00000000" w:rsidRPr="00000000">
        <w:rPr>
          <w:b w:val="1"/>
          <w:bCs w:val="1"/>
          <w:rtl w:val="0"/>
        </w:rPr>
        <w:t xml:space="preserve">Entidad 3: Conciliacion_Banco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Resultado del cruce automatizado entre los registros TGR y las bases de datos de Banco Genérico.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id_conciliacion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id_registro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cuenta_bancaria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estado_conciliacion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Conciliado, Rechazado Banco, Pendiente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detalle_observacion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fecha_cruce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35">
      <w:pPr>
        <w:pStyle w:val="Heading3"/>
        <w:rPr/>
      </w:pPr>
      <w:bookmarkStart w:colFirst="0" w:colLast="0" w:name="_w0q4k2ut802" w:id="8"/>
      <w:bookmarkEnd w:id="8"/>
      <w:r w:rsidDel="00000000" w:rsidR="00000000" w:rsidRPr="00000000">
        <w:rPr>
          <w:b w:val="1"/>
          <w:bCs w:val="1"/>
          <w:rtl w:val="0"/>
        </w:rPr>
        <w:t xml:space="preserve">Entidad 4: Bitacora_Trazabilidad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Garantiza el cumplimiento del requisito de auditoría e historial de ejecuciones.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id_bitacora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accion_ejecutada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usuario_sistema</w:t>
      </w:r>
      <w:r w:rsidDel="00000000" w:rsidR="00000000" w:rsidRPr="00000000">
        <w:rPr>
          <w:rtl w:val="0"/>
        </w:rPr>
        <w:t xml:space="preserve"> (VARCHAR)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timestamp_accion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detalle_cambio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3D">
      <w:pPr>
        <w:pStyle w:val="Heading3"/>
        <w:rPr/>
      </w:pPr>
      <w:bookmarkStart w:colFirst="0" w:colLast="0" w:name="_wt04g6mc8r9x" w:id="9"/>
      <w:bookmarkEnd w:id="9"/>
      <w:r w:rsidDel="00000000" w:rsidR="00000000" w:rsidRPr="00000000">
        <w:rPr>
          <w:b w:val="1"/>
          <w:bCs w:val="1"/>
          <w:rtl w:val="0"/>
        </w:rPr>
        <w:t xml:space="preserve">Entidad 5: Analisis_IA_Anomalias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Almacena las sugerencias y detección de anomalías generadas por el componente de IA.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id_analisis</w:t>
      </w:r>
      <w:r w:rsidDel="00000000" w:rsidR="00000000" w:rsidRPr="00000000">
        <w:rPr>
          <w:rtl w:val="0"/>
        </w:rPr>
        <w:t xml:space="preserve"> (PK, INT)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id_conciliacion</w:t>
      </w:r>
      <w:r w:rsidDel="00000000" w:rsidR="00000000" w:rsidRPr="00000000">
        <w:rPr>
          <w:rtl w:val="0"/>
        </w:rPr>
        <w:t xml:space="preserve"> (FK, INT)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nivel_anomalia</w:t>
      </w:r>
      <w:r w:rsidDel="00000000" w:rsidR="00000000" w:rsidRPr="00000000">
        <w:rPr>
          <w:rtl w:val="0"/>
        </w:rPr>
        <w:t xml:space="preserve"> (VARCHAR: </w:t>
      </w:r>
      <w:r w:rsidDel="00000000" w:rsidR="00000000" w:rsidRPr="00000000">
        <w:rPr>
          <w:i w:val="1"/>
          <w:iCs w:val="1"/>
          <w:rtl w:val="0"/>
        </w:rPr>
        <w:t xml:space="preserve">Bajo, Medio, Alto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sugerencia_ia</w:t>
      </w:r>
      <w:r w:rsidDel="00000000" w:rsidR="00000000" w:rsidRPr="00000000">
        <w:rPr>
          <w:rtl w:val="0"/>
        </w:rPr>
        <w:t xml:space="preserve"> (TEXT)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fecha_analisis</w:t>
      </w:r>
      <w:r w:rsidDel="00000000" w:rsidR="00000000" w:rsidRPr="00000000">
        <w:rPr>
          <w:rtl w:val="0"/>
        </w:rPr>
        <w:t xml:space="preserve"> (TIMESTAMP)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rPr/>
      </w:pPr>
      <w:bookmarkStart w:colFirst="0" w:colLast="0" w:name="_2xiv90uqc6o0" w:id="10"/>
      <w:bookmarkEnd w:id="10"/>
      <w:r w:rsidDel="00000000" w:rsidR="00000000" w:rsidRPr="00000000">
        <w:rPr>
          <w:rtl w:val="0"/>
        </w:rPr>
        <w:t xml:space="preserve">4. Diseño del Proceso ETL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El pipeline ETL se divide en tres fases principales operadas por los scripts del sistema: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Extract (Extracción):</w:t>
      </w:r>
      <w:r w:rsidDel="00000000" w:rsidR="00000000" w:rsidRPr="00000000">
        <w:rPr>
          <w:rtl w:val="0"/>
        </w:rPr>
        <w:t xml:space="preserve"> Lectura automatizada de ficheros estructurados (CSV, Excel, TXT) provenientes de la TGR [cite: 5].</w:t>
      </w:r>
    </w:p>
    <w:p w:rsidR="00000000" w:rsidDel="00000000" w:rsidP="00000000" w:rsidRDefault="00000000" w:rsidRPr="00000000" w14:paraId="0000004B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Transform (Transformación y Validación):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Normalización de formatos de fecha y montos.</w:t>
      </w:r>
    </w:p>
    <w:p w:rsidR="00000000" w:rsidDel="00000000" w:rsidP="00000000" w:rsidRDefault="00000000" w:rsidRPr="00000000" w14:paraId="0000004D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Validación algorítmica de RUT (Módulo 11).</w:t>
      </w:r>
    </w:p>
    <w:p w:rsidR="00000000" w:rsidDel="00000000" w:rsidP="00000000" w:rsidRDefault="00000000" w:rsidRPr="00000000" w14:paraId="0000004E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Control de duplicados comparando llaves únicas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id_transaccion + rut + monto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ind w:left="1440" w:hanging="360"/>
      </w:pPr>
      <w:r w:rsidDel="00000000" w:rsidR="00000000" w:rsidRPr="00000000">
        <w:rPr>
          <w:rtl w:val="0"/>
        </w:rPr>
        <w:t xml:space="preserve">Filtrado de campos obligatorios faltantes [cite: 4].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Load (Carga):</w:t>
      </w:r>
      <w:r w:rsidDel="00000000" w:rsidR="00000000" w:rsidRPr="00000000">
        <w:rPr>
          <w:rtl w:val="0"/>
        </w:rPr>
        <w:t xml:space="preserve"> Almacenamiento estructurado en las tablas transaccionales de la base de datos relacional y activación automática del motor de matching con Banco Genérico [cite: 5].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eye417eppxz8" w:id="11"/>
      <w:bookmarkEnd w:id="11"/>
      <w:r w:rsidDel="00000000" w:rsidR="00000000" w:rsidRPr="00000000">
        <w:rPr>
          <w:rtl w:val="0"/>
        </w:rPr>
        <w:t xml:space="preserve">5. Responsabilidades del Diseño de Datos y Arquitectura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Tomas Catalán Madariaga:</w:t>
      </w:r>
      <w:r w:rsidDel="00000000" w:rsidR="00000000" w:rsidRPr="00000000">
        <w:rPr>
          <w:rtl w:val="0"/>
        </w:rPr>
        <w:t xml:space="preserve"> Modelamiento de la base de datos relacional y diseño estructural del pipeline ETL [cite: 5].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David Muñoz Bravo:</w:t>
      </w:r>
      <w:r w:rsidDel="00000000" w:rsidR="00000000" w:rsidRPr="00000000">
        <w:rPr>
          <w:rtl w:val="0"/>
        </w:rPr>
        <w:t xml:space="preserve"> Integración del modelo de datos con las reglas de negocio y lógica de backend [cite: 5].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Héctor Sanhueza Castro:</w:t>
      </w:r>
      <w:r w:rsidDel="00000000" w:rsidR="00000000" w:rsidRPr="00000000">
        <w:rPr>
          <w:rtl w:val="0"/>
        </w:rPr>
        <w:t xml:space="preserve"> Estructuración de esquemas para el almacenamiento de resultados del componente de IA y validaciones [cite: 5].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María Trinidad Gaete Mella:</w:t>
      </w:r>
      <w:r w:rsidDel="00000000" w:rsidR="00000000" w:rsidRPr="00000000">
        <w:rPr>
          <w:rtl w:val="0"/>
        </w:rPr>
        <w:t xml:space="preserve"> Validación del modelo de datos frente a la ERS y requerimientos institucionales [cite: 5].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