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yfh2r2sgknuw" w:id="0"/>
      <w:bookmarkEnd w:id="0"/>
      <w:r w:rsidDel="00000000" w:rsidR="00000000" w:rsidRPr="00000000">
        <w:rPr>
          <w:rtl w:val="0"/>
        </w:rPr>
        <w:t xml:space="preserve">Mockups y Diseño de Interfaces de Sistemas</w:t>
      </w:r>
    </w:p>
    <w:p w:rsidR="00000000" w:rsidDel="00000000" w:rsidP="00000000" w:rsidRDefault="00000000" w:rsidRPr="00000000" w14:paraId="00000002">
      <w:pPr>
        <w:pStyle w:val="Heading1"/>
        <w:rPr/>
      </w:pPr>
      <w:bookmarkStart w:colFirst="0" w:colLast="0" w:name="_7f4l98utrnuz" w:id="1"/>
      <w:bookmarkEnd w:id="1"/>
      <w:r w:rsidDel="00000000" w:rsidR="00000000" w:rsidRPr="00000000">
        <w:rPr>
          <w:rtl w:val="0"/>
        </w:rPr>
        <w:t xml:space="preserve">Proyecto: TTDH Automation (Banco Genérico)</w:t>
      </w:r>
    </w:p>
    <w:p w:rsidR="00000000" w:rsidDel="00000000" w:rsidP="00000000" w:rsidRDefault="00000000" w:rsidRPr="00000000" w14:paraId="00000003">
      <w:pPr>
        <w:pStyle w:val="Heading2"/>
        <w:rPr/>
      </w:pPr>
      <w:bookmarkStart w:colFirst="0" w:colLast="0" w:name="_gwjc6bhvhouj" w:id="2"/>
      <w:bookmarkEnd w:id="2"/>
      <w:r w:rsidDel="00000000" w:rsidR="00000000" w:rsidRPr="00000000">
        <w:rPr>
          <w:rtl w:val="0"/>
        </w:rPr>
        <w:t xml:space="preserve">1. Introducción y Propósito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El presente documento define el diseño visual conceptual y la estructura de los prototipos de interfaz de usuario (</w:t>
      </w:r>
      <w:r w:rsidDel="00000000" w:rsidR="00000000" w:rsidRPr="00000000">
        <w:rPr>
          <w:b w:val="1"/>
          <w:bCs w:val="1"/>
          <w:rtl w:val="0"/>
        </w:rPr>
        <w:t xml:space="preserve">Mockups</w:t>
      </w:r>
      <w:r w:rsidDel="00000000" w:rsidR="00000000" w:rsidRPr="00000000">
        <w:rPr>
          <w:rtl w:val="0"/>
        </w:rPr>
        <w:t xml:space="preserve">) para la plataforma </w:t>
      </w:r>
      <w:r w:rsidDel="00000000" w:rsidR="00000000" w:rsidRPr="00000000">
        <w:rPr>
          <w:b w:val="1"/>
          <w:bCs w:val="1"/>
          <w:rtl w:val="0"/>
        </w:rPr>
        <w:t xml:space="preserve">TTDH Automation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De acuerdo con la planificación técnica del proyecto (Fase 1 - Análisis y Diseño), el diseño de interfaces está bajo la responsabilidad directa de </w:t>
      </w:r>
      <w:r w:rsidDel="00000000" w:rsidR="00000000" w:rsidRPr="00000000">
        <w:rPr>
          <w:b w:val="1"/>
          <w:bCs w:val="1"/>
          <w:rtl w:val="0"/>
        </w:rPr>
        <w:t xml:space="preserve">David Muñoz Bravo</w:t>
      </w:r>
      <w:r w:rsidDel="00000000" w:rsidR="00000000" w:rsidRPr="00000000">
        <w:rPr>
          <w:rtl w:val="0"/>
        </w:rPr>
        <w:t>, asegurando que las pantallas cumplan con los requerimientos funcionales establecidos (RF01 al RF11) y faciliten la interacción de los analistas operativos y administradores de Banco Genérico con los flujos de la Tesorería General de la República (TGR).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2"/>
        <w:rPr/>
      </w:pPr>
      <w:bookmarkStart w:colFirst="0" w:colLast="0" w:name="_1h9lij22fp5e" w:id="3"/>
      <w:bookmarkEnd w:id="3"/>
      <w:r w:rsidDel="00000000" w:rsidR="00000000" w:rsidRPr="00000000">
        <w:rPr>
          <w:rtl w:val="0"/>
        </w:rPr>
        <w:t xml:space="preserve">2. Estructura de Navegación y Vistas Principales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La interfaz web de la plataforma se estructurará mediante un panel de control central (</w:t>
      </w:r>
      <w:r w:rsidDel="00000000" w:rsidR="00000000" w:rsidRPr="00000000">
        <w:rPr>
          <w:i w:val="1"/>
          <w:iCs w:val="1"/>
          <w:rtl w:val="0"/>
        </w:rPr>
        <w:t xml:space="preserve">Dashboard Layout</w:t>
      </w:r>
      <w:r w:rsidDel="00000000" w:rsidR="00000000" w:rsidRPr="00000000">
        <w:rPr>
          <w:rtl w:val="0"/>
        </w:rPr>
        <w:t xml:space="preserve">) que incluirá una barra de navegación lateral con acceso a los siguientes módulos: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Módulo de Ingesta y Carga de Archivos</w:t>
      </w:r>
      <w:r w:rsidDel="00000000" w:rsidR="00000000" w:rsidRPr="00000000">
        <w:rPr>
          <w:rtl w:val="0"/>
        </w:rPr>
        <w:t xml:space="preserve"> (Soporte RF01 y RF02)</w:t>
      </w:r>
    </w:p>
    <w:p w:rsidR="00000000" w:rsidDel="00000000" w:rsidP="00000000" w:rsidRDefault="00000000" w:rsidRPr="00000000" w14:paraId="0000000D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Dashboard de Monitoreo en Tiempo Real</w:t>
      </w:r>
      <w:r w:rsidDel="00000000" w:rsidR="00000000" w:rsidRPr="00000000">
        <w:rPr>
          <w:rtl w:val="0"/>
        </w:rPr>
        <w:t xml:space="preserve"> (Soporte RF06 y RF11)</w:t>
      </w:r>
    </w:p>
    <w:p w:rsidR="00000000" w:rsidDel="00000000" w:rsidP="00000000" w:rsidRDefault="00000000" w:rsidRPr="00000000" w14:paraId="0000000E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Bandeja de Excepciones y Validación</w:t>
      </w:r>
      <w:r w:rsidDel="00000000" w:rsidR="00000000" w:rsidRPr="00000000">
        <w:rPr>
          <w:rtl w:val="0"/>
        </w:rPr>
        <w:t xml:space="preserve"> (Soporte RF04 y RF05)</w:t>
      </w:r>
    </w:p>
    <w:p w:rsidR="00000000" w:rsidDel="00000000" w:rsidP="00000000" w:rsidRDefault="00000000" w:rsidRPr="00000000" w14:paraId="0000000F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Módulo de Reportes e Insights de IA</w:t>
      </w:r>
      <w:r w:rsidDel="00000000" w:rsidR="00000000" w:rsidRPr="00000000">
        <w:rPr>
          <w:rtl w:val="0"/>
        </w:rPr>
        <w:t xml:space="preserve"> (Soporte RF08, RF09 y RF10)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rPr/>
      </w:pPr>
      <w:bookmarkStart w:colFirst="0" w:colLast="0" w:name="_263517qmzwmb" w:id="4"/>
      <w:bookmarkEnd w:id="4"/>
      <w:r w:rsidDel="00000000" w:rsidR="00000000" w:rsidRPr="00000000">
        <w:rPr>
          <w:rtl w:val="0"/>
        </w:rPr>
        <w:t xml:space="preserve">3. Especificación Visual de los Mockups (Wireframes Conceptuales)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Los mockups fueron elaborados como prototipos de fidelidad media en HTML/CSS, utilizando datos ficticios. Todas las vistas comparten una barra de navegación lateral con los módulos de la plataforma y un encabezado con el título de la pantalla.</w:t>
      </w:r>
    </w:p>
    <w:p w:rsidR="00000000" w:rsidDel="00000000" w:rsidP="00000000" w:rsidRDefault="00000000" w:rsidRPr="00000000" w14:paraId="00000013">
      <w:pPr>
        <w:pStyle w:val="Heading3"/>
        <w:rPr/>
      </w:pPr>
      <w:bookmarkStart w:colFirst="0" w:colLast="0" w:name="_m1wiv0bjudn" w:id="5"/>
      <w:bookmarkEnd w:id="5"/>
      <w:r w:rsidDel="00000000" w:rsidR="00000000" w:rsidRPr="00000000">
        <w:rPr>
          <w:b w:val="1"/>
          <w:bCs w:val="1"/>
          <w:rtl w:val="0"/>
        </w:rPr>
        <w:t xml:space="preserve">Vista 1: Pantalla de Ingesta y Carga de Archivos TGR (RF01, RF02)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Propósito:</w:t>
      </w:r>
      <w:r w:rsidDel="00000000" w:rsidR="00000000" w:rsidRPr="00000000">
        <w:rPr>
          <w:rtl w:val="0"/>
        </w:rPr>
        <w:t xml:space="preserve"> Permitir al usuario subir los archivos masivos de deudores enviados por la TGR (CSV, XLSX, TXT).</w:t>
      </w:r>
    </w:p>
    <w:p w:rsidR="00000000" w:rsidDel="00000000" w:rsidP="00000000" w:rsidRDefault="00000000" w:rsidRPr="00000000" w14:paraId="00000015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Estructura Visual de la Interfaz: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1"/>
          <w:numId w:val="2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Encabezado:</w:t>
      </w:r>
      <w:r w:rsidDel="00000000" w:rsidR="00000000" w:rsidRPr="00000000">
        <w:rPr>
          <w:rtl w:val="0"/>
        </w:rPr>
        <w:t xml:space="preserve"> Título "Gestión de Ingesta de Archivos TGR" y selector de periodo o fecha tributaria.</w:t>
      </w:r>
    </w:p>
    <w:p w:rsidR="00000000" w:rsidDel="00000000" w:rsidP="00000000" w:rsidRDefault="00000000" w:rsidRPr="00000000" w14:paraId="00000017">
      <w:pPr>
        <w:numPr>
          <w:ilvl w:val="1"/>
          <w:numId w:val="2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Zona de Carga (Drag &amp; Drop):</w:t>
      </w:r>
      <w:r w:rsidDel="00000000" w:rsidR="00000000" w:rsidRPr="00000000">
        <w:rPr>
          <w:rtl w:val="0"/>
        </w:rPr>
        <w:t xml:space="preserve"> Un recuadro central con el texto: </w:t>
      </w:r>
      <w:r w:rsidDel="00000000" w:rsidR="00000000" w:rsidRPr="00000000">
        <w:rPr>
          <w:i w:val="1"/>
          <w:iCs w:val="1"/>
          <w:rtl w:val="0"/>
        </w:rPr>
        <w:t xml:space="preserve">"Arrastre y suelte su archivo TGR aquí, o haga clic para examinar (Formatos permitidos: .csv, .xlsx, .txt)"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8">
      <w:pPr>
        <w:numPr>
          <w:ilvl w:val="1"/>
          <w:numId w:val="2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Tabla de Lotes Recientes:</w:t>
      </w:r>
      <w:r w:rsidDel="00000000" w:rsidR="00000000" w:rsidRPr="00000000">
        <w:rPr>
          <w:rtl w:val="0"/>
        </w:rPr>
        <w:t xml:space="preserve"> Un listado inferior que muestra el historial de cargas del día:</w:t>
      </w:r>
    </w:p>
    <w:p w:rsidR="00000000" w:rsidDel="00000000" w:rsidP="00000000" w:rsidRDefault="00000000" w:rsidRPr="00000000" w14:paraId="00000019">
      <w:pPr>
        <w:numPr>
          <w:ilvl w:val="2"/>
          <w:numId w:val="2"/>
        </w:numPr>
        <w:ind w:left="2160" w:hanging="360"/>
      </w:pPr>
      <w:r w:rsidDel="00000000" w:rsidR="00000000" w:rsidRPr="00000000">
        <w:rPr>
          <w:i w:val="1"/>
          <w:iCs w:val="1"/>
          <w:rtl w:val="0"/>
        </w:rPr>
        <w:t xml:space="preserve">Columnas:</w:t>
      </w:r>
      <w:r w:rsidDel="00000000" w:rsidR="00000000" w:rsidRPr="00000000">
        <w:rPr>
          <w:rtl w:val="0"/>
        </w:rPr>
        <w:t xml:space="preserve"> ID Lote | Nombre de Archivo | Fecha de Recepción | Registros Totales | Estado (</w:t>
      </w:r>
      <w:r w:rsidDel="00000000" w:rsidR="00000000" w:rsidRPr="00000000">
        <w:rPr>
          <w:i w:val="1"/>
          <w:iCs w:val="1"/>
          <w:rtl w:val="0"/>
        </w:rPr>
        <w:t xml:space="preserve">Procesado, Error de Formato, Pendiente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1A">
      <w:pPr>
        <w:numPr>
          <w:ilvl w:val="2"/>
          <w:numId w:val="2"/>
        </w:numPr>
        <w:ind w:left="2160" w:hanging="360"/>
      </w:pPr>
      <w:r w:rsidDel="00000000" w:rsidR="00000000" w:rsidRPr="00000000">
        <w:rPr>
          <w:i w:val="1"/>
          <w:iCs w:val="1"/>
          <w:rtl w:val="0"/>
        </w:rPr>
        <w:t xml:space="preserve">Acciones:</w:t>
      </w:r>
      <w:r w:rsidDel="00000000" w:rsidR="00000000" w:rsidRPr="00000000">
        <w:rPr>
          <w:rtl w:val="0"/>
        </w:rPr>
        <w:t xml:space="preserve"> Botón de "Ver Detalle" o "Reintentar Lote".</w:t>
      </w:r>
    </w:p>
    <w:p>
      <w:pPr>
        <w:jc w:val="center"/>
      </w:pPr>
      <w:r>
        <w:drawing>
          <wp:inline>
            <wp:extent cx="5715000" cy="285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1_ingesta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5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B"/>
          <w:sz w:val="18"/>
        </w:rPr>
        <w:t>Figura 1: Mockup de la pantalla de Ingesta y Carga de Archivos TGR.</w:t>
      </w:r>
    </w:p>
    <w:p w:rsidR="00000000" w:rsidDel="00000000" w:rsidP="00000000" w:rsidRDefault="00000000" w:rsidRPr="00000000" w14:paraId="0000001B">
      <w:pPr>
        <w:pStyle w:val="Heading3"/>
        <w:rPr/>
      </w:pPr>
      <w:bookmarkStart w:colFirst="0" w:colLast="0" w:name="_ijy66mbkqn5f" w:id="6"/>
      <w:bookmarkEnd w:id="6"/>
      <w:r w:rsidDel="00000000" w:rsidR="00000000" w:rsidRPr="00000000">
        <w:rPr>
          <w:b w:val="1"/>
          <w:bCs w:val="1"/>
          <w:rtl w:val="0"/>
        </w:rPr>
        <w:t xml:space="preserve">Vista 2: Panel de Control y Monitoreo (Dashboard - RF06, RF11)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Propósito:</w:t>
      </w:r>
      <w:r w:rsidDel="00000000" w:rsidR="00000000" w:rsidRPr="00000000">
        <w:rPr>
          <w:rtl w:val="0"/>
        </w:rPr>
        <w:t xml:space="preserve"> Mostrar los indicadores clave de desempeño (KPIs) y el resumen general del proceso de conciliación.</w:t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Estructura Visual de la Interfaz: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1"/>
          <w:numId w:val="2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Tarjetas de Resumen Superior (KPI Cards):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2"/>
          <w:numId w:val="1"/>
        </w:numPr>
        <w:ind w:left="2160" w:hanging="360"/>
      </w:pPr>
      <w:r w:rsidDel="00000000" w:rsidR="00000000" w:rsidRPr="00000000">
        <w:rPr>
          <w:i w:val="1"/>
          <w:iCs w:val="1"/>
          <w:rtl w:val="0"/>
        </w:rPr>
        <w:t xml:space="preserve">Total Registros Procesados</w:t>
      </w:r>
      <w:r w:rsidDel="00000000" w:rsidR="00000000" w:rsidRPr="00000000">
        <w:rPr>
          <w:rtl w:val="0"/>
        </w:rPr>
        <w:t xml:space="preserve"> (Ej: 145,200)</w:t>
      </w:r>
    </w:p>
    <w:p w:rsidR="00000000" w:rsidDel="00000000" w:rsidP="00000000" w:rsidRDefault="00000000" w:rsidRPr="00000000" w14:paraId="00000020">
      <w:pPr>
        <w:numPr>
          <w:ilvl w:val="2"/>
          <w:numId w:val="1"/>
        </w:numPr>
        <w:ind w:left="2160" w:hanging="360"/>
      </w:pPr>
      <w:r w:rsidDel="00000000" w:rsidR="00000000" w:rsidRPr="00000000">
        <w:rPr>
          <w:i w:val="1"/>
          <w:iCs w:val="1"/>
          <w:rtl w:val="0"/>
        </w:rPr>
        <w:t xml:space="preserve">Registros Conciliados con Éxito</w:t>
      </w:r>
      <w:r w:rsidDel="00000000" w:rsidR="00000000" w:rsidRPr="00000000">
        <w:rPr>
          <w:rtl w:val="0"/>
        </w:rPr>
        <w:t xml:space="preserve"> (Ej: 94.5%)</w:t>
      </w:r>
    </w:p>
    <w:p w:rsidR="00000000" w:rsidDel="00000000" w:rsidP="00000000" w:rsidRDefault="00000000" w:rsidRPr="00000000" w14:paraId="00000021">
      <w:pPr>
        <w:numPr>
          <w:ilvl w:val="2"/>
          <w:numId w:val="1"/>
        </w:numPr>
        <w:ind w:left="2160" w:hanging="360"/>
      </w:pPr>
      <w:r w:rsidDel="00000000" w:rsidR="00000000" w:rsidRPr="00000000">
        <w:rPr>
          <w:i w:val="1"/>
          <w:iCs w:val="1"/>
          <w:rtl w:val="0"/>
        </w:rPr>
        <w:t xml:space="preserve">Rechazos por Banco</w:t>
      </w:r>
      <w:r w:rsidDel="00000000" w:rsidR="00000000" w:rsidRPr="00000000">
        <w:rPr>
          <w:rtl w:val="0"/>
        </w:rPr>
        <w:t xml:space="preserve"> (Ej: 3.2%)</w:t>
      </w:r>
    </w:p>
    <w:p w:rsidR="00000000" w:rsidDel="00000000" w:rsidP="00000000" w:rsidRDefault="00000000" w:rsidRPr="00000000" w14:paraId="00000022">
      <w:pPr>
        <w:numPr>
          <w:ilvl w:val="2"/>
          <w:numId w:val="1"/>
        </w:numPr>
        <w:ind w:left="2160" w:hanging="360"/>
      </w:pPr>
      <w:r w:rsidDel="00000000" w:rsidR="00000000" w:rsidRPr="00000000">
        <w:rPr>
          <w:i w:val="1"/>
          <w:iCs w:val="1"/>
          <w:rtl w:val="0"/>
        </w:rPr>
        <w:t xml:space="preserve">Excepciones Pendientes</w:t>
      </w:r>
      <w:r w:rsidDel="00000000" w:rsidR="00000000" w:rsidRPr="00000000">
        <w:rPr>
          <w:rtl w:val="0"/>
        </w:rPr>
        <w:t xml:space="preserve"> (Ej: 2.3%)</w:t>
      </w:r>
    </w:p>
    <w:p w:rsidR="00000000" w:rsidDel="00000000" w:rsidP="00000000" w:rsidRDefault="00000000" w:rsidRPr="00000000" w14:paraId="00000023">
      <w:pPr>
        <w:numPr>
          <w:ilvl w:val="1"/>
          <w:numId w:val="1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Gráficos Analíticos: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2"/>
          <w:numId w:val="3"/>
        </w:numPr>
        <w:ind w:left="2160" w:hanging="360"/>
      </w:pPr>
      <w:r w:rsidDel="00000000" w:rsidR="00000000" w:rsidRPr="00000000">
        <w:rPr>
          <w:i w:val="1"/>
          <w:iCs w:val="1"/>
          <w:rtl w:val="0"/>
        </w:rPr>
        <w:t xml:space="preserve">Gráfico de Torta (Pie Chart):</w:t>
      </w:r>
      <w:r w:rsidDel="00000000" w:rsidR="00000000" w:rsidRPr="00000000">
        <w:rPr>
          <w:rtl w:val="0"/>
        </w:rPr>
        <w:t xml:space="preserve"> Distribución de estados de conciliación (</w:t>
      </w:r>
      <w:r w:rsidDel="00000000" w:rsidR="00000000" w:rsidRPr="00000000">
        <w:rPr>
          <w:i w:val="1"/>
          <w:iCs w:val="1"/>
          <w:rtl w:val="0"/>
        </w:rPr>
        <w:t xml:space="preserve">Conciliado, Rechazado Banco, Error RUT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25">
      <w:pPr>
        <w:numPr>
          <w:ilvl w:val="2"/>
          <w:numId w:val="3"/>
        </w:numPr>
        <w:ind w:left="2160" w:hanging="360"/>
      </w:pPr>
      <w:r w:rsidDel="00000000" w:rsidR="00000000" w:rsidRPr="00000000">
        <w:rPr>
          <w:i w:val="1"/>
          <w:iCs w:val="1"/>
          <w:rtl w:val="0"/>
        </w:rPr>
        <w:t xml:space="preserve">Gráfico de Barras:</w:t>
      </w:r>
      <w:r w:rsidDel="00000000" w:rsidR="00000000" w:rsidRPr="00000000">
        <w:rPr>
          <w:rtl w:val="0"/>
        </w:rPr>
        <w:t xml:space="preserve"> Volumen de transacciones procesadas por día de la semana.</w:t>
      </w:r>
    </w:p>
    <w:p w:rsidR="00000000" w:rsidDel="00000000" w:rsidP="00000000" w:rsidRDefault="00000000" w:rsidRPr="00000000" w14:paraId="00000026">
      <w:pPr>
        <w:numPr>
          <w:ilvl w:val="1"/>
          <w:numId w:val="3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Panel de Alertas del Sistema:</w:t>
      </w:r>
      <w:r w:rsidDel="00000000" w:rsidR="00000000" w:rsidRPr="00000000">
        <w:rPr>
          <w:rtl w:val="0"/>
        </w:rPr>
        <w:t xml:space="preserve"> Avisos automáticos sobre anomalías detectadas por el sistema o fallas en lotes recientes.</w:t>
      </w:r>
    </w:p>
    <w:p>
      <w:pPr>
        <w:jc w:val="center"/>
      </w:pPr>
      <w:r>
        <w:drawing>
          <wp:inline>
            <wp:extent cx="5715000" cy="23415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2_dashboard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34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B"/>
          <w:sz w:val="18"/>
        </w:rPr>
        <w:t>Figura 2: Mockup del Panel de Control y Monitoreo.</w:t>
      </w:r>
    </w:p>
    <w:p w:rsidR="00000000" w:rsidDel="00000000" w:rsidP="00000000" w:rsidRDefault="00000000" w:rsidRPr="00000000" w14:paraId="00000027">
      <w:pPr>
        <w:pStyle w:val="Heading3"/>
        <w:rPr/>
      </w:pPr>
      <w:bookmarkStart w:colFirst="0" w:colLast="0" w:name="_ynw4zsgst8tg" w:id="7"/>
      <w:bookmarkEnd w:id="7"/>
      <w:r w:rsidDel="00000000" w:rsidR="00000000" w:rsidRPr="00000000">
        <w:rPr>
          <w:b w:val="1"/>
          <w:bCs w:val="1"/>
          <w:rtl w:val="0"/>
        </w:rPr>
        <w:t xml:space="preserve">Vista 3: Bandeja de Excepciones y Reglas de Negocio (RF04, RF05)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Propósito:</w:t>
      </w:r>
      <w:r w:rsidDel="00000000" w:rsidR="00000000" w:rsidRPr="00000000">
        <w:rPr>
          <w:rtl w:val="0"/>
        </w:rPr>
        <w:t xml:space="preserve"> Gestionar los registros que no pasaron las validaciones automáticas (RUT inválido, duplicados, campos incompletos).</w:t>
      </w:r>
    </w:p>
    <w:p w:rsidR="00000000" w:rsidDel="00000000" w:rsidP="00000000" w:rsidRDefault="00000000" w:rsidRPr="00000000" w14:paraId="00000029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Estructura Visual de la Interfaz: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1"/>
          <w:numId w:val="3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Barra de Filtros:</w:t>
      </w:r>
      <w:r w:rsidDel="00000000" w:rsidR="00000000" w:rsidRPr="00000000">
        <w:rPr>
          <w:rtl w:val="0"/>
        </w:rPr>
        <w:t xml:space="preserve"> Selector por tipo de error (</w:t>
      </w:r>
      <w:r w:rsidDel="00000000" w:rsidR="00000000" w:rsidRPr="00000000">
        <w:rPr>
          <w:i w:val="1"/>
          <w:iCs w:val="1"/>
          <w:rtl w:val="0"/>
        </w:rPr>
        <w:t xml:space="preserve">Error RUT Módulo 11, Duplicado, Campo Vacío, Rechazado por Banco</w:t>
      </w:r>
      <w:r w:rsidDel="00000000" w:rsidR="00000000" w:rsidRPr="00000000">
        <w:rPr>
          <w:rtl w:val="0"/>
        </w:rPr>
        <w:t xml:space="preserve">) y barra de búsqueda por RUT de deudor.</w:t>
      </w:r>
    </w:p>
    <w:p w:rsidR="00000000" w:rsidDel="00000000" w:rsidP="00000000" w:rsidRDefault="00000000" w:rsidRPr="00000000" w14:paraId="0000002B">
      <w:pPr>
        <w:numPr>
          <w:ilvl w:val="1"/>
          <w:numId w:val="3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Tabla de Detalle de Excepciones: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2"/>
          <w:numId w:val="3"/>
        </w:numPr>
        <w:ind w:left="2160" w:hanging="360"/>
      </w:pPr>
      <w:r w:rsidDel="00000000" w:rsidR="00000000" w:rsidRPr="00000000">
        <w:rPr>
          <w:i w:val="1"/>
          <w:iCs w:val="1"/>
          <w:rtl w:val="0"/>
        </w:rPr>
        <w:t xml:space="preserve">Columnas:</w:t>
      </w:r>
      <w:r w:rsidDel="00000000" w:rsidR="00000000" w:rsidRPr="00000000">
        <w:rPr>
          <w:rtl w:val="0"/>
        </w:rPr>
        <w:t xml:space="preserve"> ID Transacción | RUT Deudor | Folio Deuda | Monto | Tipo de Error | Estado de Revisión (</w:t>
      </w:r>
      <w:r w:rsidDel="00000000" w:rsidR="00000000" w:rsidRPr="00000000">
        <w:rPr>
          <w:i w:val="1"/>
          <w:iCs w:val="1"/>
          <w:rtl w:val="0"/>
        </w:rPr>
        <w:t xml:space="preserve">Pendiente / Resuelto Manual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2D">
      <w:pPr>
        <w:numPr>
          <w:ilvl w:val="2"/>
          <w:numId w:val="3"/>
        </w:numPr>
        <w:ind w:left="2160" w:hanging="360"/>
      </w:pPr>
      <w:r w:rsidDel="00000000" w:rsidR="00000000" w:rsidRPr="00000000">
        <w:rPr>
          <w:i w:val="1"/>
          <w:iCs w:val="1"/>
          <w:rtl w:val="0"/>
        </w:rPr>
        <w:t xml:space="preserve">Acciones:</w:t>
      </w:r>
      <w:r w:rsidDel="00000000" w:rsidR="00000000" w:rsidRPr="00000000">
        <w:rPr>
          <w:rtl w:val="0"/>
        </w:rPr>
        <w:t xml:space="preserve"> Botón "Revisar Detalle" y opción para marcar como "Regularizado".</w:t>
      </w:r>
    </w:p>
    <w:p>
      <w:pPr>
        <w:jc w:val="center"/>
      </w:pPr>
      <w:r>
        <w:drawing>
          <wp:inline>
            <wp:extent cx="5715000" cy="2698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3_excepcione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69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B"/>
          <w:sz w:val="18"/>
        </w:rPr>
        <w:t>Figura 3: Mockup de la Bandeja de Excepciones y Reglas de Negocio.</w:t>
      </w:r>
    </w:p>
    <w:p w:rsidR="00000000" w:rsidDel="00000000" w:rsidP="00000000" w:rsidRDefault="00000000" w:rsidRPr="00000000" w14:paraId="0000002E">
      <w:pPr>
        <w:pStyle w:val="Heading3"/>
        <w:rPr/>
      </w:pPr>
      <w:bookmarkStart w:colFirst="0" w:colLast="0" w:name="_awcl32w9jdly" w:id="8"/>
      <w:bookmarkEnd w:id="8"/>
      <w:r w:rsidDel="00000000" w:rsidR="00000000" w:rsidRPr="00000000">
        <w:rPr>
          <w:b w:val="1"/>
          <w:bCs w:val="1"/>
          <w:rtl w:val="0"/>
        </w:rPr>
        <w:t xml:space="preserve">Vista 4: Módulo de Reportes e Insights de Inteligencia Artificial (RF08, RF09, RF10)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Propósito:</w:t>
      </w:r>
      <w:r w:rsidDel="00000000" w:rsidR="00000000" w:rsidRPr="00000000">
        <w:rPr>
          <w:rtl w:val="0"/>
        </w:rPr>
        <w:t xml:space="preserve"> Exponer los informes parametrizables y las sugerencias automatizadas generadas por el modelo de IA.</w:t>
      </w:r>
    </w:p>
    <w:p w:rsidR="00000000" w:rsidDel="00000000" w:rsidP="00000000" w:rsidRDefault="00000000" w:rsidRPr="00000000" w14:paraId="00000030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Estructura Visual de la Interfaz: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1"/>
          <w:numId w:val="3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Sección de Filtros de Reporte:</w:t>
      </w:r>
      <w:r w:rsidDel="00000000" w:rsidR="00000000" w:rsidRPr="00000000">
        <w:rPr>
          <w:rtl w:val="0"/>
        </w:rPr>
        <w:t xml:space="preserve"> Rango de fechas, tipo de cuenta y sucursales de Banco Genérico. Botones de exportación rápida: </w:t>
      </w:r>
      <w:r w:rsidDel="00000000" w:rsidR="00000000" w:rsidRPr="00000000">
        <w:rPr>
          <w:i w:val="1"/>
          <w:iCs w:val="1"/>
          <w:rtl w:val="0"/>
        </w:rPr>
        <w:t xml:space="preserve">"Exportar a Excel"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i w:val="1"/>
          <w:iCs w:val="1"/>
          <w:rtl w:val="0"/>
        </w:rPr>
        <w:t xml:space="preserve">"Exportar a PDF"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2">
      <w:pPr>
        <w:numPr>
          <w:ilvl w:val="1"/>
          <w:numId w:val="3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Panel de Insights de Inteligencia Artificial: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2"/>
          <w:numId w:val="3"/>
        </w:numPr>
        <w:ind w:left="2160" w:hanging="360"/>
      </w:pPr>
      <w:r w:rsidDel="00000000" w:rsidR="00000000" w:rsidRPr="00000000">
        <w:rPr>
          <w:rtl w:val="0"/>
        </w:rPr>
        <w:t xml:space="preserve">Un bloque destacado con recomendaciones del modelo de IA (Ej: </w:t>
      </w:r>
      <w:r w:rsidDel="00000000" w:rsidR="00000000" w:rsidRPr="00000000">
        <w:rPr>
          <w:i w:val="1"/>
          <w:iCs w:val="1"/>
          <w:rtl w:val="0"/>
        </w:rPr>
        <w:t xml:space="preserve">"Patrón anómalo detectado en rechazos de la Región Metropolitana: Se sugiere validar formato de cuentas corrientes en lote #402"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34">
      <w:pPr>
        <w:numPr>
          <w:ilvl w:val="2"/>
          <w:numId w:val="3"/>
        </w:numPr>
        <w:ind w:left="2160" w:hanging="360"/>
      </w:pPr>
      <w:r w:rsidDel="00000000" w:rsidR="00000000" w:rsidRPr="00000000">
        <w:rPr>
          <w:rtl w:val="0"/>
        </w:rPr>
        <w:t xml:space="preserve">Botón de "Aplicar Sugerencia de Validación".</w:t>
      </w:r>
    </w:p>
    <w:p>
      <w:pPr>
        <w:jc w:val="center"/>
      </w:pPr>
      <w:r>
        <w:drawing>
          <wp:inline>
            <wp:extent cx="5715000" cy="307710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4_reportes_i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077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B"/>
          <w:sz w:val="18"/>
        </w:rPr>
        <w:t>Figura 4: Mockup del Módulo de Reportes e Insights de IA.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Style w:val="Heading2"/>
        <w:rPr/>
      </w:pPr>
      <w:bookmarkStart w:colFirst="0" w:colLast="0" w:name="_y1q9postemzp" w:id="9"/>
      <w:bookmarkEnd w:id="9"/>
      <w:r w:rsidDel="00000000" w:rsidR="00000000" w:rsidRPr="00000000">
        <w:rPr>
          <w:rtl w:val="0"/>
        </w:rPr>
        <w:t xml:space="preserve">4. Responsable del Diseño de Interfaces</w:t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Diseñador Responsable:</w:t>
      </w:r>
      <w:r w:rsidDel="00000000" w:rsidR="00000000" w:rsidRPr="00000000">
        <w:rPr>
          <w:rtl w:val="0"/>
        </w:rPr>
        <w:t xml:space="preserve"> David Muñoz Bravo (Desarrollo Backend / Interfaces).</w:t>
      </w:r>
    </w:p>
    <w:p w:rsidR="00000000" w:rsidDel="00000000" w:rsidP="00000000" w:rsidRDefault="00000000" w:rsidRPr="00000000" w14:paraId="00000039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Validación de Usabilidad:</w:t>
      </w:r>
      <w:r w:rsidDel="00000000" w:rsidR="00000000" w:rsidRPr="00000000">
        <w:rPr>
          <w:rtl w:val="0"/>
        </w:rPr>
        <w:t xml:space="preserve"> María Trinidad Gaete Mella (Gestión y Requerimientos) y equipo completo de STARTAB.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