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RobotoMono-bold.ttf" ContentType="application/x-font-ttf"/>
  <Override PartName="/word/fonts/RobotoMono-boldItalic.ttf" ContentType="application/x-font-ttf"/>
  <Override PartName="/word/fonts/RobotoMono-italic.ttf" ContentType="application/x-font-ttf"/>
  <Override PartName="/word/fonts/RobotoMon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pPr>
      <w:bookmarkStart w:colFirst="0" w:colLast="0" w:name="_x8s81wxmttnd" w:id="0"/>
      <w:bookmarkEnd w:id="0"/>
      <w:r w:rsidDel="00000000" w:rsidR="00000000" w:rsidRPr="00000000">
        <w:rPr>
          <w:rtl w:val="0"/>
        </w:rPr>
        <w:t xml:space="preserve">Modelos de Datos y Arquitectura</w:t>
      </w:r>
    </w:p>
    <w:p w:rsidR="00000000" w:rsidDel="00000000" w:rsidP="00000000" w:rsidRDefault="00000000" w:rsidRPr="00000000" w14:paraId="00000002">
      <w:pPr>
        <w:pStyle w:val="Heading1"/>
        <w:rPr/>
      </w:pPr>
      <w:bookmarkStart w:colFirst="0" w:colLast="0" w:name="_ynm5jdlg7un0" w:id="1"/>
      <w:bookmarkEnd w:id="1"/>
      <w:r w:rsidDel="00000000" w:rsidR="00000000" w:rsidRPr="00000000">
        <w:rPr>
          <w:rtl w:val="0"/>
        </w:rPr>
        <w:t xml:space="preserve">Proyecto: TTDH Automation (Banco Genérico)</w:t>
      </w:r>
    </w:p>
    <w:p w:rsidR="00000000" w:rsidDel="00000000" w:rsidP="00000000" w:rsidRDefault="00000000" w:rsidRPr="00000000" w14:paraId="00000003">
      <w:pPr>
        <w:pStyle w:val="Heading2"/>
        <w:rPr/>
      </w:pPr>
      <w:bookmarkStart w:colFirst="0" w:colLast="0" w:name="_hmppe151pne0" w:id="2"/>
      <w:bookmarkEnd w:id="2"/>
      <w:r w:rsidDel="00000000" w:rsidR="00000000" w:rsidRPr="00000000">
        <w:rPr>
          <w:rtl w:val="0"/>
        </w:rPr>
        <w:t xml:space="preserve">1. Introducción y Arquitectura de la Solución</w:t>
      </w:r>
    </w:p>
    <w:p w:rsidR="00000000" w:rsidDel="00000000" w:rsidP="00000000" w:rsidRDefault="00000000" w:rsidRPr="00000000" w14:paraId="00000004">
      <w:pPr>
        <w:rPr/>
      </w:pPr>
      <w:r w:rsidDel="00000000" w:rsidR="00000000" w:rsidRPr="00000000">
        <w:rPr>
          <w:rtl w:val="0"/>
        </w:rPr>
        <w:t xml:space="preserve">El presente documento define la arquitectura técnica y el modelo de datos relacional para el proyecto </w:t>
      </w:r>
      <w:r w:rsidDel="00000000" w:rsidR="00000000" w:rsidRPr="00000000">
        <w:rPr>
          <w:b w:val="1"/>
          <w:bCs w:val="1"/>
          <w:rtl w:val="0"/>
        </w:rPr>
        <w:t xml:space="preserve">TTDH Automation</w:t>
      </w:r>
      <w:r w:rsidDel="00000000" w:rsidR="00000000" w:rsidRPr="00000000">
        <w:rPr>
          <w:rtl w:val="0"/>
        </w:rPr>
        <w:t xml:space="preserve">, diseñado por el equipo </w:t>
      </w:r>
      <w:r w:rsidDel="00000000" w:rsidR="00000000" w:rsidRPr="00000000">
        <w:rPr>
          <w:b w:val="1"/>
          <w:bCs w:val="1"/>
          <w:rtl w:val="0"/>
        </w:rPr>
        <w:t xml:space="preserve">STARTAB</w:t>
      </w:r>
      <w:r w:rsidDel="00000000" w:rsidR="00000000" w:rsidRPr="00000000">
        <w:rPr>
          <w:rtl w:val="0"/>
        </w:rPr>
        <w:t xml:space="preserve"> (liderado técnicamente por Tomas Catalán Madariaga en bases de datos y ETL). La solución tiene como propósito automatizar el procesamiento, validación y cruce de registros de deudores entre la Tesorería General de la República (TGR) y el Banco Genérico.</w:t>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t xml:space="preserve">El flujo arquitectónico consta de las siguientes capas:</w:t>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8">
      <w:pPr>
        <w:numPr>
          <w:ilvl w:val="0"/>
          <w:numId w:val="1"/>
        </w:numPr>
        <w:ind w:left="720" w:hanging="360"/>
      </w:pPr>
      <w:r w:rsidDel="00000000" w:rsidR="00000000" w:rsidRPr="00000000">
        <w:rPr>
          <w:b w:val="1"/>
          <w:bCs w:val="1"/>
          <w:rtl w:val="0"/>
        </w:rPr>
        <w:t xml:space="preserve">Capa de Ingesta:</w:t>
      </w:r>
      <w:r w:rsidDel="00000000" w:rsidR="00000000" w:rsidRPr="00000000">
        <w:rPr>
          <w:rtl w:val="0"/>
        </w:rPr>
        <w:t xml:space="preserve"> Recepción de archivos masivos (CSV, Excel, TXT) enviados periódicamente por la TGR.</w:t>
      </w:r>
    </w:p>
    <w:p w:rsidR="00000000" w:rsidDel="00000000" w:rsidP="00000000" w:rsidRDefault="00000000" w:rsidRPr="00000000" w14:paraId="00000009">
      <w:pPr>
        <w:numPr>
          <w:ilvl w:val="0"/>
          <w:numId w:val="1"/>
        </w:numPr>
        <w:ind w:left="720" w:hanging="360"/>
      </w:pPr>
      <w:r w:rsidDel="00000000" w:rsidR="00000000" w:rsidRPr="00000000">
        <w:rPr>
          <w:b w:val="1"/>
          <w:bCs w:val="1"/>
          <w:rtl w:val="0"/>
        </w:rPr>
        <w:t xml:space="preserve">Capa de Procesamiento ETL:</w:t>
      </w:r>
      <w:r w:rsidDel="00000000" w:rsidR="00000000" w:rsidRPr="00000000">
        <w:rPr>
          <w:rtl w:val="0"/>
        </w:rPr>
        <w:t xml:space="preserve"> Extracción, parsing, validación de reglas de negocio (RUT, duplicados, campos obligatorios) y transformación de los datos.</w:t>
      </w:r>
    </w:p>
    <w:p w:rsidR="00000000" w:rsidDel="00000000" w:rsidP="00000000" w:rsidRDefault="00000000" w:rsidRPr="00000000" w14:paraId="0000000A">
      <w:pPr>
        <w:numPr>
          <w:ilvl w:val="0"/>
          <w:numId w:val="1"/>
        </w:numPr>
        <w:ind w:left="720" w:hanging="360"/>
      </w:pPr>
      <w:r w:rsidDel="00000000" w:rsidR="00000000" w:rsidRPr="00000000">
        <w:rPr>
          <w:b w:val="1"/>
          <w:bCs w:val="1"/>
          <w:rtl w:val="0"/>
        </w:rPr>
        <w:t xml:space="preserve">Capa de Almacenamiento y Matching (Base de Datos):</w:t>
      </w:r>
      <w:r w:rsidDel="00000000" w:rsidR="00000000" w:rsidRPr="00000000">
        <w:rPr>
          <w:rtl w:val="0"/>
        </w:rPr>
        <w:t xml:space="preserve"> Persistencia transaccional de los datos validados y cruce con la información del Banco Genérico, manteniendo un registro de comparación histórica y trazabilidad.</w:t>
      </w:r>
    </w:p>
    <w:p w:rsidR="00000000" w:rsidDel="00000000" w:rsidP="00000000" w:rsidRDefault="00000000" w:rsidRPr="00000000" w14:paraId="0000000B">
      <w:pPr>
        <w:numPr>
          <w:ilvl w:val="0"/>
          <w:numId w:val="1"/>
        </w:numPr>
        <w:ind w:left="720" w:hanging="360"/>
      </w:pPr>
      <w:r w:rsidDel="00000000" w:rsidR="00000000" w:rsidRPr="00000000">
        <w:rPr>
          <w:b w:val="1"/>
          <w:bCs w:val="1"/>
          <w:rtl w:val="0"/>
        </w:rPr>
        <w:t xml:space="preserve">Capa de Inteligencia Artificial y Reportes:</w:t>
      </w:r>
      <w:r w:rsidDel="00000000" w:rsidR="00000000" w:rsidRPr="00000000">
        <w:rPr>
          <w:rtl w:val="0"/>
        </w:rPr>
        <w:t xml:space="preserve"> Módulo analítico asistido por IA para detectar anomalías, sugerir validaciones y generar reportes parametrizables.</w:t>
      </w:r>
    </w:p>
    <w:p w:rsidR="00000000" w:rsidDel="00000000" w:rsidP="00000000" w:rsidRDefault="00000000" w:rsidRPr="00000000" w14:paraId="0000000C">
      <w:pPr>
        <w:numPr>
          <w:ilvl w:val="0"/>
          <w:numId w:val="1"/>
        </w:numPr>
        <w:ind w:left="720" w:hanging="360"/>
      </w:pPr>
      <w:r w:rsidDel="00000000" w:rsidR="00000000" w:rsidRPr="00000000">
        <w:rPr>
          <w:b w:val="1"/>
          <w:bCs w:val="1"/>
          <w:rtl w:val="0"/>
        </w:rPr>
        <w:t xml:space="preserve">Capa de Presentación (Frontend / Dashboard):</w:t>
      </w:r>
      <w:r w:rsidDel="00000000" w:rsidR="00000000" w:rsidRPr="00000000">
        <w:rPr>
          <w:rtl w:val="0"/>
        </w:rPr>
        <w:t xml:space="preserve"> Interfaz web interactiva para la supervisión en tiempo real del estado de los procesos.</w:t>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F">
      <w:pPr>
        <w:pStyle w:val="Heading2"/>
        <w:rPr/>
      </w:pPr>
      <w:bookmarkStart w:colFirst="0" w:colLast="0" w:name="_w1hanbpgpscd" w:id="3"/>
      <w:bookmarkEnd w:id="3"/>
      <w:r w:rsidDel="00000000" w:rsidR="00000000" w:rsidRPr="00000000">
        <w:rPr>
          <w:rtl w:val="0"/>
        </w:rPr>
        <w:t xml:space="preserve">2. Arquitectura de Software y Componentes</w:t>
      </w:r>
    </w:p>
    <w:p w:rsidR="00000000" w:rsidDel="00000000" w:rsidP="00000000" w:rsidRDefault="00000000" w:rsidRPr="00000000" w14:paraId="00000010">
      <w:pPr>
        <w:rPr/>
      </w:pPr>
      <w:r w:rsidDel="00000000" w:rsidR="00000000" w:rsidRPr="00000000">
        <w:rPr>
          <w:rtl w:val="0"/>
        </w:rPr>
        <w:t xml:space="preserve">La solución adopta un diseño modular desacoplado:</w:t>
      </w:r>
    </w:p>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2">
      <w:pPr>
        <w:numPr>
          <w:ilvl w:val="0"/>
          <w:numId w:val="1"/>
        </w:numPr>
        <w:ind w:left="720" w:hanging="360"/>
      </w:pPr>
      <w:r w:rsidDel="00000000" w:rsidR="00000000" w:rsidRPr="00000000">
        <w:rPr>
          <w:b w:val="1"/>
          <w:bCs w:val="1"/>
          <w:rtl w:val="0"/>
        </w:rPr>
        <w:t xml:space="preserve">Módulo Ingesta y ETL (Tomas Catalán):</w:t>
      </w:r>
      <w:r w:rsidDel="00000000" w:rsidR="00000000" w:rsidRPr="00000000">
        <w:rPr>
          <w:rtl w:val="0"/>
        </w:rPr>
        <w:t xml:space="preserve"> Encargado de automatizar la lectura de ficheros externos y la carga normalizada en el almacenamiento.</w:t>
      </w:r>
    </w:p>
    <w:p w:rsidR="00000000" w:rsidDel="00000000" w:rsidP="00000000" w:rsidRDefault="00000000" w:rsidRPr="00000000" w14:paraId="00000013">
      <w:pPr>
        <w:numPr>
          <w:ilvl w:val="0"/>
          <w:numId w:val="1"/>
        </w:numPr>
        <w:ind w:left="720" w:hanging="360"/>
      </w:pPr>
      <w:r w:rsidDel="00000000" w:rsidR="00000000" w:rsidRPr="00000000">
        <w:rPr>
          <w:b w:val="1"/>
          <w:bCs w:val="1"/>
          <w:rtl w:val="0"/>
        </w:rPr>
        <w:t xml:space="preserve">Módulo de Validaciones y Core Backend (David Muñoz):</w:t>
      </w:r>
      <w:r w:rsidDel="00000000" w:rsidR="00000000" w:rsidRPr="00000000">
        <w:rPr>
          <w:rtl w:val="0"/>
        </w:rPr>
        <w:t xml:space="preserve"> Ejecuta las reglas de negocio, validación estricta de RUT (Módulo 11), detección de duplicados y cruce de cuentas.</w:t>
      </w:r>
    </w:p>
    <w:p w:rsidR="00000000" w:rsidDel="00000000" w:rsidP="00000000" w:rsidRDefault="00000000" w:rsidRPr="00000000" w14:paraId="00000014">
      <w:pPr>
        <w:numPr>
          <w:ilvl w:val="0"/>
          <w:numId w:val="1"/>
        </w:numPr>
        <w:ind w:left="720" w:hanging="360"/>
      </w:pPr>
      <w:r w:rsidDel="00000000" w:rsidR="00000000" w:rsidRPr="00000000">
        <w:rPr>
          <w:b w:val="1"/>
          <w:bCs w:val="1"/>
          <w:rtl w:val="0"/>
        </w:rPr>
        <w:t xml:space="preserve">Módulo de Inteligencia Artificial y QA (Héctor Sanhueza):</w:t>
      </w:r>
      <w:r w:rsidDel="00000000" w:rsidR="00000000" w:rsidRPr="00000000">
        <w:rPr>
          <w:rtl w:val="0"/>
        </w:rPr>
        <w:t xml:space="preserve"> Analiza patrones atípicos de rechazo y apoya en la certificación de calidad de los datos.</w:t>
      </w:r>
    </w:p>
    <w:p w:rsidR="00000000" w:rsidDel="00000000" w:rsidP="00000000" w:rsidRDefault="00000000" w:rsidRPr="00000000" w14:paraId="00000015">
      <w:pPr>
        <w:numPr>
          <w:ilvl w:val="0"/>
          <w:numId w:val="1"/>
        </w:numPr>
        <w:ind w:left="720" w:hanging="360"/>
      </w:pPr>
      <w:r w:rsidDel="00000000" w:rsidR="00000000" w:rsidRPr="00000000">
        <w:rPr>
          <w:b w:val="1"/>
          <w:bCs w:val="1"/>
          <w:rtl w:val="0"/>
        </w:rPr>
        <w:t xml:space="preserve">Módulo de Gestión y Coordinación (María Trinidad Gaete):</w:t>
      </w:r>
      <w:r w:rsidDel="00000000" w:rsidR="00000000" w:rsidRPr="00000000">
        <w:rPr>
          <w:rtl w:val="0"/>
        </w:rPr>
        <w:t xml:space="preserve"> Supervisión de requerimientos y control general del proyecto.</w:t>
      </w:r>
    </w:p>
    <w:p w:rsidR="00000000" w:rsidDel="00000000" w:rsidP="00000000" w:rsidRDefault="00000000" w:rsidRPr="00000000" w14:paraId="0000001A">
      <w:pPr>
        <w:pStyle w:val="Heading3"/>
        <w:rPr/>
      </w:pPr>
      <w:bookmarkStart w:colFirst="0" w:colLast="0" w:name="_wawr0cjgewhl" w:id="5"/>
      <w:bookmarkEnd w:id="5"/>
      <w:r w:rsidDel="00000000" w:rsidR="00000000" w:rsidRPr="00000000">
        <w:rPr>
          <w:b w:val="1"/>
          <w:bCs w:val="1"/>
          <w:rtl w:val="0"/>
        </w:rPr>
        <w:t xml:space="preserve">2.1 Diagrama de Componentes</w:t>
      </w:r>
    </w:p>
    <w:p w:rsidR="00000000" w:rsidDel="00000000" w:rsidP="00000000" w:rsidRDefault="00000000" w:rsidRPr="00000000" w14:paraId="0000001B">
      <w:pPr>
        <w:rPr/>
      </w:pPr>
      <w:r w:rsidDel="00000000" w:rsidR="00000000" w:rsidRPr="00000000">
        <w:rPr>
          <w:rtl w:val="0"/>
        </w:rPr>
        <w:t xml:space="preserve">El diagrama de componentes muestra los módulos de la solución agrupados por capa (presentación, aplicación y procesamiento), sus dependencias y las integraciones con los sistemas externos: servidor SFTP de la TGR, Core Bancario y Active Directory.</w:t>
      </w:r>
    </w:p>
    <w:p>
      <w:pPr>
        <w:jc w:val="center"/>
      </w:pPr>
      <w:r>
        <w:drawing>
          <wp:inline>
            <wp:extent cx="5715000" cy="3977856"/>
            <wp:docPr id="1" name="Picture 1"/>
            <wp:cNvGraphicFramePr>
              <a:graphicFrameLocks noChangeAspect="1"/>
            </wp:cNvGraphicFramePr>
            <a:graphic>
              <a:graphicData uri="http://schemas.openxmlformats.org/drawingml/2006/picture">
                <pic:pic>
                  <pic:nvPicPr>
                    <pic:cNvPr id="0" name="03_componentes.png"/>
                    <pic:cNvPicPr/>
                  </pic:nvPicPr>
                  <pic:blipFill>
                    <a:blip r:embed="rId6"/>
                    <a:stretch>
                      <a:fillRect/>
                    </a:stretch>
                  </pic:blipFill>
                  <pic:spPr>
                    <a:xfrm>
                      <a:off x="0" y="0"/>
                      <a:ext cx="5715000" cy="3977856"/>
                    </a:xfrm>
                    <a:prstGeom prst="rect"/>
                  </pic:spPr>
                </pic:pic>
              </a:graphicData>
            </a:graphic>
          </wp:inline>
        </w:drawing>
      </w:r>
    </w:p>
    <w:p>
      <w:pPr>
        <w:jc w:val="center"/>
      </w:pPr>
      <w:r>
        <w:rPr>
          <w:i/>
          <w:color w:val="555F6B"/>
          <w:sz w:val="18"/>
        </w:rPr>
        <w:t>Figura 1: Diagrama de componentes de TTDH Automation.</w:t>
      </w:r>
    </w:p>
    <w:p w:rsidR="00000000" w:rsidDel="00000000" w:rsidP="00000000" w:rsidRDefault="00000000" w:rsidRPr="00000000" w14:paraId="0000001A">
      <w:pPr>
        <w:pStyle w:val="Heading3"/>
        <w:rPr/>
      </w:pPr>
      <w:bookmarkStart w:colFirst="0" w:colLast="0" w:name="_wawr0cjgewhl" w:id="5"/>
      <w:bookmarkEnd w:id="5"/>
      <w:r w:rsidDel="00000000" w:rsidR="00000000" w:rsidRPr="00000000">
        <w:rPr>
          <w:b w:val="1"/>
          <w:bCs w:val="1"/>
          <w:rtl w:val="0"/>
        </w:rPr>
        <w:t xml:space="preserve">2.2 Diagrama de Despliegue</w:t>
      </w:r>
    </w:p>
    <w:p w:rsidR="00000000" w:rsidDel="00000000" w:rsidP="00000000" w:rsidRDefault="00000000" w:rsidRPr="00000000" w14:paraId="0000001B">
      <w:pPr>
        <w:rPr/>
      </w:pPr>
      <w:r w:rsidDel="00000000" w:rsidR="00000000" w:rsidRPr="00000000">
        <w:rPr>
          <w:rtl w:val="0"/>
        </w:rPr>
        <w:t xml:space="preserve">El diagrama de despliegue muestra la distribución física propuesta de los componentes en la red interna de Banco Genérico. La comunicación con el usuario utiliza HTTPS con TLS 1.3 y la base de datos se cifra en reposo con AES-256, según los requerimientos no funcionales de seguridad. La tecnología específica de cada nodo se definirá junto con el stack del proyecto.</w:t>
      </w:r>
    </w:p>
    <w:p>
      <w:pPr>
        <w:jc w:val="center"/>
      </w:pPr>
      <w:r>
        <w:drawing>
          <wp:inline>
            <wp:extent cx="5486400" cy="3213729"/>
            <wp:docPr id="2" name="Picture 2"/>
            <wp:cNvGraphicFramePr>
              <a:graphicFrameLocks noChangeAspect="1"/>
            </wp:cNvGraphicFramePr>
            <a:graphic>
              <a:graphicData uri="http://schemas.openxmlformats.org/drawingml/2006/picture">
                <pic:pic>
                  <pic:nvPicPr>
                    <pic:cNvPr id="0" name="04_despliegue.png"/>
                    <pic:cNvPicPr/>
                  </pic:nvPicPr>
                  <pic:blipFill>
                    <a:blip r:embed="rId7"/>
                    <a:stretch>
                      <a:fillRect/>
                    </a:stretch>
                  </pic:blipFill>
                  <pic:spPr>
                    <a:xfrm>
                      <a:off x="0" y="0"/>
                      <a:ext cx="5486400" cy="3213729"/>
                    </a:xfrm>
                    <a:prstGeom prst="rect"/>
                  </pic:spPr>
                </pic:pic>
              </a:graphicData>
            </a:graphic>
          </wp:inline>
        </w:drawing>
      </w:r>
    </w:p>
    <w:p>
      <w:pPr>
        <w:jc w:val="center"/>
      </w:pPr>
      <w:r>
        <w:rPr>
          <w:i/>
          <w:color w:val="555F6B"/>
          <w:sz w:val="18"/>
        </w:rPr>
        <w:t>Figura 2: Diagrama de despliegue de TTDH Automation.</w:t>
      </w:r>
    </w:p>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8">
      <w:pPr>
        <w:pStyle w:val="Heading2"/>
        <w:rPr/>
      </w:pPr>
      <w:bookmarkStart w:colFirst="0" w:colLast="0" w:name="_n8aos2vlkiwu" w:id="4"/>
      <w:bookmarkEnd w:id="4"/>
      <w:r w:rsidDel="00000000" w:rsidR="00000000" w:rsidRPr="00000000">
        <w:rPr>
          <w:rtl w:val="0"/>
        </w:rPr>
        <w:t xml:space="preserve">3. Modelo Entidad-Relación (ER) / Modelo de Datos</w:t>
      </w:r>
    </w:p>
    <w:p w:rsidR="00000000" w:rsidDel="00000000" w:rsidP="00000000" w:rsidRDefault="00000000" w:rsidRPr="00000000" w14:paraId="00000019">
      <w:pPr>
        <w:rPr/>
      </w:pPr>
      <w:r w:rsidDel="00000000" w:rsidR="00000000" w:rsidRPr="00000000">
        <w:rPr>
          <w:rtl w:val="0"/>
        </w:rPr>
        <w:t xml:space="preserve">Para soportar la trazabilidad histórica, el almacenamiento de transacciones y los reportes, se define el siguiente esquema de base de datos relacional:</w:t>
      </w:r>
    </w:p>
    <w:p w:rsidR="00000000" w:rsidDel="00000000" w:rsidP="00000000" w:rsidRDefault="00000000" w:rsidRPr="00000000" w14:paraId="0000001B">
      <w:pPr>
        <w:rPr/>
      </w:pPr>
      <w:r w:rsidDel="00000000" w:rsidR="00000000" w:rsidRPr="00000000">
        <w:rPr>
          <w:rtl w:val="0"/>
        </w:rPr>
        <w:t xml:space="preserve">La Figura 3 presenta el modelo entidad-relación con las siete entidades del sistema y sus cardinalidades. A continuación se detalla cada entidad.</w:t>
      </w:r>
    </w:p>
    <w:p>
      <w:pPr>
        <w:jc w:val="center"/>
      </w:pPr>
      <w:r>
        <w:drawing>
          <wp:inline>
            <wp:extent cx="3931920" cy="6320726"/>
            <wp:docPr id="3" name="Picture 3"/>
            <wp:cNvGraphicFramePr>
              <a:graphicFrameLocks noChangeAspect="1"/>
            </wp:cNvGraphicFramePr>
            <a:graphic>
              <a:graphicData uri="http://schemas.openxmlformats.org/drawingml/2006/picture">
                <pic:pic>
                  <pic:nvPicPr>
                    <pic:cNvPr id="0" name="02_modelo_er.png"/>
                    <pic:cNvPicPr/>
                  </pic:nvPicPr>
                  <pic:blipFill>
                    <a:blip r:embed="rId8"/>
                    <a:stretch>
                      <a:fillRect/>
                    </a:stretch>
                  </pic:blipFill>
                  <pic:spPr>
                    <a:xfrm>
                      <a:off x="0" y="0"/>
                      <a:ext cx="3931920" cy="6320726"/>
                    </a:xfrm>
                    <a:prstGeom prst="rect"/>
                  </pic:spPr>
                </pic:pic>
              </a:graphicData>
            </a:graphic>
          </wp:inline>
        </w:drawing>
      </w:r>
    </w:p>
    <w:p>
      <w:pPr>
        <w:jc w:val="center"/>
      </w:pPr>
      <w:r>
        <w:rPr>
          <w:i/>
          <w:color w:val="555F6B"/>
          <w:sz w:val="18"/>
        </w:rPr>
        <w:t>Figura 3: Modelo entidad-relación de TTDH Automation.</w:t>
      </w:r>
    </w:p>
    <w:p w:rsidR="00000000" w:rsidDel="00000000" w:rsidP="00000000" w:rsidRDefault="00000000" w:rsidRPr="00000000" w14:paraId="0000001A">
      <w:pPr>
        <w:pStyle w:val="Heading3"/>
        <w:rPr/>
      </w:pPr>
      <w:bookmarkStart w:colFirst="0" w:colLast="0" w:name="_wawr0cjgewhl" w:id="5"/>
      <w:bookmarkEnd w:id="5"/>
      <w:r w:rsidDel="00000000" w:rsidR="00000000" w:rsidRPr="00000000">
        <w:rPr>
          <w:b w:val="1"/>
          <w:bCs w:val="1"/>
          <w:rtl w:val="0"/>
        </w:rPr>
        <w:t xml:space="preserve">Entidad 1: Archivos_TGR</w:t>
      </w:r>
      <w:r w:rsidDel="00000000" w:rsidR="00000000" w:rsidRPr="00000000">
        <w:rPr>
          <w:rtl w:val="0"/>
        </w:rPr>
      </w:r>
    </w:p>
    <w:p w:rsidR="00000000" w:rsidDel="00000000" w:rsidP="00000000" w:rsidRDefault="00000000" w:rsidRPr="00000000" w14:paraId="0000001B">
      <w:pPr>
        <w:rPr/>
      </w:pPr>
      <w:r w:rsidDel="00000000" w:rsidR="00000000" w:rsidRPr="00000000">
        <w:rPr>
          <w:rtl w:val="0"/>
        </w:rPr>
        <w:t xml:space="preserve">Registra la metadata de cada archivo recibido desde la TGR.</w:t>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D">
      <w:pPr>
        <w:numPr>
          <w:ilvl w:val="0"/>
          <w:numId w:val="1"/>
        </w:numPr>
        <w:ind w:left="720" w:hanging="360"/>
      </w:pPr>
      <w:r w:rsidDel="00000000" w:rsidR="00000000" w:rsidRPr="00000000">
        <w:rPr>
          <w:rFonts w:ascii="Roboto Mono" w:cs="Roboto Mono" w:eastAsia="Roboto Mono" w:hAnsi="Roboto Mono"/>
          <w:color w:val="188038"/>
          <w:rtl w:val="0"/>
        </w:rPr>
        <w:t xml:space="preserve">id_archivo</w:t>
      </w:r>
      <w:r w:rsidDel="00000000" w:rsidR="00000000" w:rsidRPr="00000000">
        <w:rPr>
          <w:rtl w:val="0"/>
        </w:rPr>
        <w:t xml:space="preserve"> (PK, INT)</w:t>
      </w:r>
    </w:p>
    <w:p w:rsidR="00000000" w:rsidDel="00000000" w:rsidP="00000000" w:rsidRDefault="00000000" w:rsidRPr="00000000" w14:paraId="0000001E">
      <w:pPr>
        <w:numPr>
          <w:ilvl w:val="0"/>
          <w:numId w:val="1"/>
        </w:numPr>
        <w:ind w:left="720" w:hanging="360"/>
      </w:pPr>
      <w:r w:rsidDel="00000000" w:rsidR="00000000" w:rsidRPr="00000000">
        <w:rPr>
          <w:rFonts w:ascii="Roboto Mono" w:cs="Roboto Mono" w:eastAsia="Roboto Mono" w:hAnsi="Roboto Mono"/>
          <w:color w:val="188038"/>
          <w:rtl w:val="0"/>
        </w:rPr>
        <w:t xml:space="preserve">nombre_archivo</w:t>
      </w:r>
      <w:r w:rsidDel="00000000" w:rsidR="00000000" w:rsidRPr="00000000">
        <w:rPr>
          <w:rtl w:val="0"/>
        </w:rPr>
        <w:t xml:space="preserve"> (VARCHAR)</w:t>
      </w:r>
    </w:p>
    <w:p w:rsidR="00000000" w:rsidDel="00000000" w:rsidP="00000000" w:rsidRDefault="00000000" w:rsidRPr="00000000" w14:paraId="0000001F">
      <w:pPr>
        <w:numPr>
          <w:ilvl w:val="0"/>
          <w:numId w:val="1"/>
        </w:numPr>
        <w:ind w:left="720" w:hanging="360"/>
      </w:pPr>
      <w:r w:rsidDel="00000000" w:rsidR="00000000" w:rsidRPr="00000000">
        <w:rPr>
          <w:rFonts w:ascii="Roboto Mono" w:cs="Roboto Mono" w:eastAsia="Roboto Mono" w:hAnsi="Roboto Mono"/>
          <w:color w:val="188038"/>
          <w:rtl w:val="0"/>
        </w:rPr>
        <w:t xml:space="preserve">fecha_recepcion</w:t>
      </w:r>
      <w:r w:rsidDel="00000000" w:rsidR="00000000" w:rsidRPr="00000000">
        <w:rPr>
          <w:rtl w:val="0"/>
        </w:rPr>
        <w:t xml:space="preserve"> (TIMESTAMP)</w:t>
      </w:r>
    </w:p>
    <w:p w:rsidR="00000000" w:rsidDel="00000000" w:rsidP="00000000" w:rsidRDefault="00000000" w:rsidRPr="00000000" w14:paraId="00000020">
      <w:pPr>
        <w:numPr>
          <w:ilvl w:val="0"/>
          <w:numId w:val="1"/>
        </w:numPr>
        <w:ind w:left="720" w:hanging="360"/>
      </w:pPr>
      <w:r w:rsidDel="00000000" w:rsidR="00000000" w:rsidRPr="00000000">
        <w:rPr>
          <w:rFonts w:ascii="Roboto Mono" w:cs="Roboto Mono" w:eastAsia="Roboto Mono" w:hAnsi="Roboto Mono"/>
          <w:color w:val="188038"/>
          <w:rtl w:val="0"/>
        </w:rPr>
        <w:t xml:space="preserve">estado_archivo</w:t>
      </w:r>
      <w:r w:rsidDel="00000000" w:rsidR="00000000" w:rsidRPr="00000000">
        <w:rPr>
          <w:rtl w:val="0"/>
        </w:rPr>
        <w:t xml:space="preserve"> (VARCHAR: </w:t>
      </w:r>
      <w:r w:rsidDel="00000000" w:rsidR="00000000" w:rsidRPr="00000000">
        <w:rPr>
          <w:i w:val="1"/>
          <w:iCs w:val="1"/>
          <w:rtl w:val="0"/>
        </w:rPr>
        <w:t xml:space="preserve">Recibido, Procesado, Error</w:t>
      </w:r>
      <w:r w:rsidDel="00000000" w:rsidR="00000000" w:rsidRPr="00000000">
        <w:rPr>
          <w:rtl w:val="0"/>
        </w:rPr>
        <w:t xml:space="preserve">)</w:t>
      </w:r>
    </w:p>
    <w:p w:rsidR="00000000" w:rsidDel="00000000" w:rsidP="00000000" w:rsidRDefault="00000000" w:rsidRPr="00000000" w14:paraId="00000021">
      <w:pPr>
        <w:numPr>
          <w:ilvl w:val="0"/>
          <w:numId w:val="1"/>
        </w:numPr>
        <w:ind w:left="720" w:hanging="360"/>
      </w:pPr>
      <w:r w:rsidDel="00000000" w:rsidR="00000000" w:rsidRPr="00000000">
        <w:rPr>
          <w:rFonts w:ascii="Roboto Mono" w:cs="Roboto Mono" w:eastAsia="Roboto Mono" w:hAnsi="Roboto Mono"/>
          <w:color w:val="188038"/>
          <w:rtl w:val="0"/>
        </w:rPr>
        <w:t xml:space="preserve">total_registros</w:t>
      </w:r>
      <w:r w:rsidDel="00000000" w:rsidR="00000000" w:rsidRPr="00000000">
        <w:rPr>
          <w:rtl w:val="0"/>
        </w:rPr>
        <w:t xml:space="preserve"> (INT)</w:t>
      </w:r>
    </w:p>
    <w:p w:rsidR="00000000" w:rsidDel="00000000" w:rsidP="00000000" w:rsidRDefault="00000000" w:rsidRPr="00000000" w14:paraId="00000022">
      <w:pPr>
        <w:pStyle w:val="Heading3"/>
        <w:rPr/>
      </w:pPr>
      <w:bookmarkStart w:colFirst="0" w:colLast="0" w:name="_xqz2cz56mdb" w:id="6"/>
      <w:bookmarkEnd w:id="6"/>
      <w:r w:rsidDel="00000000" w:rsidR="00000000" w:rsidRPr="00000000">
        <w:rPr>
          <w:b w:val="1"/>
          <w:bCs w:val="1"/>
          <w:rtl w:val="0"/>
        </w:rPr>
        <w:t xml:space="preserve">Entidad 2: Registros_TGR</w:t>
      </w:r>
      <w:r w:rsidDel="00000000" w:rsidR="00000000" w:rsidRPr="00000000">
        <w:rPr>
          <w:rtl w:val="0"/>
        </w:rPr>
      </w:r>
    </w:p>
    <w:p w:rsidR="00000000" w:rsidDel="00000000" w:rsidP="00000000" w:rsidRDefault="00000000" w:rsidRPr="00000000" w14:paraId="00000023">
      <w:pPr>
        <w:rPr/>
      </w:pPr>
      <w:r w:rsidDel="00000000" w:rsidR="00000000" w:rsidRPr="00000000">
        <w:rPr>
          <w:rtl w:val="0"/>
        </w:rPr>
        <w:t xml:space="preserve">Almacena el detalle desglosado de cada transacción contenida en los archivos TGR.</w:t>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25">
      <w:pPr>
        <w:numPr>
          <w:ilvl w:val="0"/>
          <w:numId w:val="1"/>
        </w:numPr>
        <w:ind w:left="720" w:hanging="360"/>
      </w:pPr>
      <w:r w:rsidDel="00000000" w:rsidR="00000000" w:rsidRPr="00000000">
        <w:rPr>
          <w:rFonts w:ascii="Roboto Mono" w:cs="Roboto Mono" w:eastAsia="Roboto Mono" w:hAnsi="Roboto Mono"/>
          <w:color w:val="188038"/>
          <w:rtl w:val="0"/>
        </w:rPr>
        <w:t xml:space="preserve">id_registro</w:t>
      </w:r>
      <w:r w:rsidDel="00000000" w:rsidR="00000000" w:rsidRPr="00000000">
        <w:rPr>
          <w:rtl w:val="0"/>
        </w:rPr>
        <w:t xml:space="preserve"> (PK, INT)</w:t>
      </w:r>
    </w:p>
    <w:p w:rsidR="00000000" w:rsidDel="00000000" w:rsidP="00000000" w:rsidRDefault="00000000" w:rsidRPr="00000000" w14:paraId="00000026">
      <w:pPr>
        <w:numPr>
          <w:ilvl w:val="0"/>
          <w:numId w:val="1"/>
        </w:numPr>
        <w:ind w:left="720" w:hanging="360"/>
      </w:pPr>
      <w:r w:rsidDel="00000000" w:rsidR="00000000" w:rsidRPr="00000000">
        <w:rPr>
          <w:rFonts w:ascii="Roboto Mono" w:cs="Roboto Mono" w:eastAsia="Roboto Mono" w:hAnsi="Roboto Mono"/>
          <w:color w:val="188038"/>
          <w:rtl w:val="0"/>
        </w:rPr>
        <w:t xml:space="preserve">id_archivo</w:t>
      </w:r>
      <w:r w:rsidDel="00000000" w:rsidR="00000000" w:rsidRPr="00000000">
        <w:rPr>
          <w:rtl w:val="0"/>
        </w:rPr>
        <w:t xml:space="preserve"> (FK, INT)</w:t>
      </w:r>
    </w:p>
    <w:p w:rsidR="00000000" w:rsidDel="00000000" w:rsidP="00000000" w:rsidRDefault="00000000" w:rsidRPr="00000000" w14:paraId="00000027">
      <w:pPr>
        <w:numPr>
          <w:ilvl w:val="0"/>
          <w:numId w:val="1"/>
        </w:numPr>
        <w:ind w:left="720" w:hanging="360"/>
      </w:pPr>
      <w:r w:rsidDel="00000000" w:rsidR="00000000" w:rsidRPr="00000000">
        <w:rPr>
          <w:rFonts w:ascii="Roboto Mono" w:cs="Roboto Mono" w:eastAsia="Roboto Mono" w:hAnsi="Roboto Mono"/>
          <w:color w:val="188038"/>
          <w:rtl w:val="0"/>
        </w:rPr>
        <w:t xml:space="preserve">rut_deudor</w:t>
      </w:r>
      <w:r w:rsidDel="00000000" w:rsidR="00000000" w:rsidRPr="00000000">
        <w:rPr>
          <w:rtl w:val="0"/>
        </w:rPr>
        <w:t xml:space="preserve"> (VARCHAR)</w:t>
      </w:r>
    </w:p>
    <w:p w:rsidR="00000000" w:rsidDel="00000000" w:rsidP="00000000" w:rsidRDefault="00000000" w:rsidRPr="00000000" w14:paraId="00000028">
      <w:pPr>
        <w:numPr>
          <w:ilvl w:val="0"/>
          <w:numId w:val="1"/>
        </w:numPr>
        <w:ind w:left="720" w:hanging="360"/>
      </w:pPr>
      <w:r w:rsidDel="00000000" w:rsidR="00000000" w:rsidRPr="00000000">
        <w:rPr>
          <w:rFonts w:ascii="Roboto Mono" w:cs="Roboto Mono" w:eastAsia="Roboto Mono" w:hAnsi="Roboto Mono"/>
          <w:color w:val="188038"/>
          <w:rtl w:val="0"/>
        </w:rPr>
        <w:t xml:space="preserve">folio_deuda</w:t>
      </w:r>
      <w:r w:rsidDel="00000000" w:rsidR="00000000" w:rsidRPr="00000000">
        <w:rPr>
          <w:rtl w:val="0"/>
        </w:rPr>
        <w:t xml:space="preserve"> (VARCHAR)</w:t>
      </w:r>
    </w:p>
    <w:p w:rsidR="00000000" w:rsidDel="00000000" w:rsidP="00000000" w:rsidRDefault="00000000" w:rsidRPr="00000000" w14:paraId="00000029">
      <w:pPr>
        <w:numPr>
          <w:ilvl w:val="0"/>
          <w:numId w:val="1"/>
        </w:numPr>
        <w:ind w:left="720" w:hanging="360"/>
      </w:pPr>
      <w:r w:rsidDel="00000000" w:rsidR="00000000" w:rsidRPr="00000000">
        <w:rPr>
          <w:rFonts w:ascii="Roboto Mono" w:cs="Roboto Mono" w:eastAsia="Roboto Mono" w:hAnsi="Roboto Mono"/>
          <w:color w:val="188038"/>
          <w:rtl w:val="0"/>
        </w:rPr>
        <w:t xml:space="preserve">monto_deuda</w:t>
      </w:r>
      <w:r w:rsidDel="00000000" w:rsidR="00000000" w:rsidRPr="00000000">
        <w:rPr>
          <w:rtl w:val="0"/>
        </w:rPr>
        <w:t xml:space="preserve"> (DECIMAL)</w:t>
      </w:r>
    </w:p>
    <w:p w:rsidR="00000000" w:rsidDel="00000000" w:rsidP="00000000" w:rsidRDefault="00000000" w:rsidRPr="00000000" w14:paraId="0000002A">
      <w:pPr>
        <w:numPr>
          <w:ilvl w:val="0"/>
          <w:numId w:val="1"/>
        </w:numPr>
        <w:ind w:left="720" w:hanging="360"/>
      </w:pPr>
      <w:r w:rsidDel="00000000" w:rsidR="00000000" w:rsidRPr="00000000">
        <w:rPr>
          <w:rFonts w:ascii="Roboto Mono" w:cs="Roboto Mono" w:eastAsia="Roboto Mono" w:hAnsi="Roboto Mono"/>
          <w:color w:val="188038"/>
          <w:rtl w:val="0"/>
        </w:rPr>
        <w:t xml:space="preserve">fecha_origen</w:t>
      </w:r>
      <w:r w:rsidDel="00000000" w:rsidR="00000000" w:rsidRPr="00000000">
        <w:rPr>
          <w:rtl w:val="0"/>
        </w:rPr>
        <w:t xml:space="preserve"> (DATE)</w:t>
      </w:r>
    </w:p>
    <w:p w:rsidR="00000000" w:rsidDel="00000000" w:rsidP="00000000" w:rsidRDefault="00000000" w:rsidRPr="00000000" w14:paraId="0000002B">
      <w:pPr>
        <w:numPr>
          <w:ilvl w:val="0"/>
          <w:numId w:val="1"/>
        </w:numPr>
        <w:ind w:left="720" w:hanging="360"/>
      </w:pPr>
      <w:r w:rsidDel="00000000" w:rsidR="00000000" w:rsidRPr="00000000">
        <w:rPr>
          <w:rFonts w:ascii="Roboto Mono" w:cs="Roboto Mono" w:eastAsia="Roboto Mono" w:hAnsi="Roboto Mono"/>
          <w:color w:val="188038"/>
          <w:rtl w:val="0"/>
        </w:rPr>
        <w:t xml:space="preserve">estado_validacion</w:t>
      </w:r>
      <w:r w:rsidDel="00000000" w:rsidR="00000000" w:rsidRPr="00000000">
        <w:rPr>
          <w:rtl w:val="0"/>
        </w:rPr>
        <w:t xml:space="preserve"> (VARCHAR: </w:t>
      </w:r>
      <w:r w:rsidDel="00000000" w:rsidR="00000000" w:rsidRPr="00000000">
        <w:rPr>
          <w:i w:val="1"/>
          <w:iCs w:val="1"/>
          <w:rtl w:val="0"/>
        </w:rPr>
        <w:t xml:space="preserve">Válido, Inválido, Duplicado</w:t>
      </w:r>
      <w:r w:rsidDel="00000000" w:rsidR="00000000" w:rsidRPr="00000000">
        <w:rPr>
          <w:rtl w:val="0"/>
        </w:rPr>
        <w:t xml:space="preserve">)</w:t>
      </w:r>
    </w:p>
    <w:p w:rsidR="00000000" w:rsidDel="00000000" w:rsidP="00000000" w:rsidRDefault="00000000" w:rsidRPr="00000000" w14:paraId="0000002C">
      <w:pPr>
        <w:pStyle w:val="Heading3"/>
        <w:rPr/>
      </w:pPr>
      <w:bookmarkStart w:colFirst="0" w:colLast="0" w:name="_obweoxwkrj8h" w:id="7"/>
      <w:bookmarkEnd w:id="7"/>
      <w:r w:rsidDel="00000000" w:rsidR="00000000" w:rsidRPr="00000000">
        <w:rPr>
          <w:b w:val="1"/>
          <w:bCs w:val="1"/>
          <w:rtl w:val="0"/>
        </w:rPr>
        <w:t xml:space="preserve">Entidad 3: Conciliacion_Banco</w:t>
      </w:r>
      <w:r w:rsidDel="00000000" w:rsidR="00000000" w:rsidRPr="00000000">
        <w:rPr>
          <w:rtl w:val="0"/>
        </w:rPr>
      </w:r>
    </w:p>
    <w:p w:rsidR="00000000" w:rsidDel="00000000" w:rsidP="00000000" w:rsidRDefault="00000000" w:rsidRPr="00000000" w14:paraId="0000002D">
      <w:pPr>
        <w:rPr/>
      </w:pPr>
      <w:r w:rsidDel="00000000" w:rsidR="00000000" w:rsidRPr="00000000">
        <w:rPr>
          <w:rtl w:val="0"/>
        </w:rPr>
        <w:t xml:space="preserve">Resultado del cruce automatizado entre los registros TGR y las bases de datos de Banco Genérico.</w:t>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2F">
      <w:pPr>
        <w:numPr>
          <w:ilvl w:val="0"/>
          <w:numId w:val="1"/>
        </w:numPr>
        <w:ind w:left="720" w:hanging="360"/>
      </w:pPr>
      <w:r w:rsidDel="00000000" w:rsidR="00000000" w:rsidRPr="00000000">
        <w:rPr>
          <w:rFonts w:ascii="Roboto Mono" w:cs="Roboto Mono" w:eastAsia="Roboto Mono" w:hAnsi="Roboto Mono"/>
          <w:color w:val="188038"/>
          <w:rtl w:val="0"/>
        </w:rPr>
        <w:t xml:space="preserve">id_conciliacion</w:t>
      </w:r>
      <w:r w:rsidDel="00000000" w:rsidR="00000000" w:rsidRPr="00000000">
        <w:rPr>
          <w:rtl w:val="0"/>
        </w:rPr>
        <w:t xml:space="preserve"> (PK, INT)</w:t>
      </w:r>
    </w:p>
    <w:p w:rsidR="00000000" w:rsidDel="00000000" w:rsidP="00000000" w:rsidRDefault="00000000" w:rsidRPr="00000000" w14:paraId="00000030">
      <w:pPr>
        <w:numPr>
          <w:ilvl w:val="0"/>
          <w:numId w:val="1"/>
        </w:numPr>
        <w:ind w:left="720" w:hanging="360"/>
      </w:pPr>
      <w:r w:rsidDel="00000000" w:rsidR="00000000" w:rsidRPr="00000000">
        <w:rPr>
          <w:rFonts w:ascii="Roboto Mono" w:cs="Roboto Mono" w:eastAsia="Roboto Mono" w:hAnsi="Roboto Mono"/>
          <w:color w:val="188038"/>
          <w:rtl w:val="0"/>
        </w:rPr>
        <w:t xml:space="preserve">id_registro</w:t>
      </w:r>
      <w:r w:rsidDel="00000000" w:rsidR="00000000" w:rsidRPr="00000000">
        <w:rPr>
          <w:rtl w:val="0"/>
        </w:rPr>
        <w:t xml:space="preserve"> (FK, INT)</w:t>
      </w:r>
    </w:p>
    <w:p w:rsidR="00000000" w:rsidDel="00000000" w:rsidP="00000000" w:rsidRDefault="00000000" w:rsidRPr="00000000" w14:paraId="00000031">
      <w:pPr>
        <w:numPr>
          <w:ilvl w:val="0"/>
          <w:numId w:val="1"/>
        </w:numPr>
        <w:ind w:left="720" w:hanging="360"/>
      </w:pPr>
      <w:r w:rsidDel="00000000" w:rsidR="00000000" w:rsidRPr="00000000">
        <w:rPr>
          <w:rFonts w:ascii="Roboto Mono" w:cs="Roboto Mono" w:eastAsia="Roboto Mono" w:hAnsi="Roboto Mono"/>
          <w:color w:val="188038"/>
          <w:rtl w:val="0"/>
        </w:rPr>
        <w:t xml:space="preserve">cuenta_bancaria</w:t>
      </w:r>
      <w:r w:rsidDel="00000000" w:rsidR="00000000" w:rsidRPr="00000000">
        <w:rPr>
          <w:rtl w:val="0"/>
        </w:rPr>
        <w:t xml:space="preserve"> (VARCHAR)</w:t>
      </w:r>
    </w:p>
    <w:p w:rsidR="00000000" w:rsidDel="00000000" w:rsidP="00000000" w:rsidRDefault="00000000" w:rsidRPr="00000000" w14:paraId="00000032">
      <w:pPr>
        <w:numPr>
          <w:ilvl w:val="0"/>
          <w:numId w:val="1"/>
        </w:numPr>
        <w:ind w:left="720" w:hanging="360"/>
      </w:pPr>
      <w:r w:rsidDel="00000000" w:rsidR="00000000" w:rsidRPr="00000000">
        <w:rPr>
          <w:rFonts w:ascii="Roboto Mono" w:cs="Roboto Mono" w:eastAsia="Roboto Mono" w:hAnsi="Roboto Mono"/>
          <w:color w:val="188038"/>
          <w:rtl w:val="0"/>
        </w:rPr>
        <w:t xml:space="preserve">estado_conciliacion</w:t>
      </w:r>
      <w:r w:rsidDel="00000000" w:rsidR="00000000" w:rsidRPr="00000000">
        <w:rPr>
          <w:rtl w:val="0"/>
        </w:rPr>
        <w:t xml:space="preserve"> (VARCHAR: </w:t>
      </w:r>
      <w:r w:rsidDel="00000000" w:rsidR="00000000" w:rsidRPr="00000000">
        <w:rPr>
          <w:i w:val="1"/>
          <w:iCs w:val="1"/>
          <w:rtl w:val="0"/>
        </w:rPr>
        <w:t xml:space="preserve">Conciliado, Rechazado Banco, Pendiente</w:t>
      </w:r>
      <w:r w:rsidDel="00000000" w:rsidR="00000000" w:rsidRPr="00000000">
        <w:rPr>
          <w:rtl w:val="0"/>
        </w:rPr>
        <w:t xml:space="preserve">)</w:t>
      </w:r>
    </w:p>
    <w:p w:rsidR="00000000" w:rsidDel="00000000" w:rsidP="00000000" w:rsidRDefault="00000000" w:rsidRPr="00000000" w14:paraId="00000033">
      <w:pPr>
        <w:numPr>
          <w:ilvl w:val="0"/>
          <w:numId w:val="1"/>
        </w:numPr>
        <w:ind w:left="720" w:hanging="360"/>
      </w:pPr>
      <w:r w:rsidDel="00000000" w:rsidR="00000000" w:rsidRPr="00000000">
        <w:rPr>
          <w:rFonts w:ascii="Roboto Mono" w:cs="Roboto Mono" w:eastAsia="Roboto Mono" w:hAnsi="Roboto Mono"/>
          <w:color w:val="188038"/>
          <w:rtl w:val="0"/>
        </w:rPr>
        <w:t xml:space="preserve">detalle_observacion</w:t>
      </w:r>
      <w:r w:rsidDel="00000000" w:rsidR="00000000" w:rsidRPr="00000000">
        <w:rPr>
          <w:rtl w:val="0"/>
        </w:rPr>
        <w:t xml:space="preserve"> (TEXT)</w:t>
      </w:r>
    </w:p>
    <w:p w:rsidR="00000000" w:rsidDel="00000000" w:rsidP="00000000" w:rsidRDefault="00000000" w:rsidRPr="00000000" w14:paraId="00000034">
      <w:pPr>
        <w:numPr>
          <w:ilvl w:val="0"/>
          <w:numId w:val="1"/>
        </w:numPr>
        <w:ind w:left="720" w:hanging="360"/>
      </w:pPr>
      <w:r w:rsidDel="00000000" w:rsidR="00000000" w:rsidRPr="00000000">
        <w:rPr>
          <w:rFonts w:ascii="Roboto Mono" w:cs="Roboto Mono" w:eastAsia="Roboto Mono" w:hAnsi="Roboto Mono"/>
          <w:color w:val="188038"/>
          <w:rtl w:val="0"/>
        </w:rPr>
        <w:t xml:space="preserve">fecha_cruce</w:t>
      </w:r>
      <w:r w:rsidDel="00000000" w:rsidR="00000000" w:rsidRPr="00000000">
        <w:rPr>
          <w:rtl w:val="0"/>
        </w:rPr>
        <w:t xml:space="preserve"> (TIMESTAMP)</w:t>
      </w:r>
    </w:p>
    <w:p w:rsidR="00000000" w:rsidDel="00000000" w:rsidP="00000000" w:rsidRDefault="00000000" w:rsidRPr="00000000" w14:paraId="00000035">
      <w:pPr>
        <w:pStyle w:val="Heading3"/>
        <w:rPr/>
      </w:pPr>
      <w:bookmarkStart w:colFirst="0" w:colLast="0" w:name="_w0q4k2ut802" w:id="8"/>
      <w:bookmarkEnd w:id="8"/>
      <w:r w:rsidDel="00000000" w:rsidR="00000000" w:rsidRPr="00000000">
        <w:rPr>
          <w:b w:val="1"/>
          <w:bCs w:val="1"/>
          <w:rtl w:val="0"/>
        </w:rPr>
        <w:t xml:space="preserve">Entidad 4: Bitacora_Trazabilidad</w:t>
      </w:r>
      <w:r w:rsidDel="00000000" w:rsidR="00000000" w:rsidRPr="00000000">
        <w:rPr>
          <w:rtl w:val="0"/>
        </w:rPr>
      </w:r>
    </w:p>
    <w:p w:rsidR="00000000" w:rsidDel="00000000" w:rsidP="00000000" w:rsidRDefault="00000000" w:rsidRPr="00000000" w14:paraId="00000036">
      <w:pPr>
        <w:rPr/>
      </w:pPr>
      <w:r w:rsidDel="00000000" w:rsidR="00000000" w:rsidRPr="00000000">
        <w:rPr>
          <w:rtl w:val="0"/>
        </w:rPr>
        <w:t xml:space="preserve">Garantiza el cumplimiento del requisito de auditoría e historial de ejecuciones.</w:t>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38">
      <w:pPr>
        <w:numPr>
          <w:ilvl w:val="0"/>
          <w:numId w:val="1"/>
        </w:numPr>
        <w:ind w:left="720" w:hanging="360"/>
      </w:pPr>
      <w:r w:rsidDel="00000000" w:rsidR="00000000" w:rsidRPr="00000000">
        <w:rPr>
          <w:rFonts w:ascii="Roboto Mono" w:cs="Roboto Mono" w:eastAsia="Roboto Mono" w:hAnsi="Roboto Mono"/>
          <w:color w:val="188038"/>
          <w:rtl w:val="0"/>
        </w:rPr>
        <w:t xml:space="preserve">id_bitacora</w:t>
      </w:r>
      <w:r w:rsidDel="00000000" w:rsidR="00000000" w:rsidRPr="00000000">
        <w:rPr>
          <w:rtl w:val="0"/>
        </w:rPr>
        <w:t xml:space="preserve"> (PK, INT)</w:t>
      </w:r>
    </w:p>
    <w:p w:rsidR="00000000" w:rsidDel="00000000" w:rsidP="00000000" w:rsidRDefault="00000000" w:rsidRPr="00000000" w14:paraId="00000039">
      <w:pPr>
        <w:numPr>
          <w:ilvl w:val="0"/>
          <w:numId w:val="1"/>
        </w:numPr>
        <w:ind w:left="720" w:hanging="360"/>
      </w:pPr>
      <w:r w:rsidDel="00000000" w:rsidR="00000000" w:rsidRPr="00000000">
        <w:rPr>
          <w:rFonts w:ascii="Roboto Mono" w:cs="Roboto Mono" w:eastAsia="Roboto Mono" w:hAnsi="Roboto Mono"/>
          <w:color w:val="188038"/>
          <w:rtl w:val="0"/>
        </w:rPr>
        <w:t xml:space="preserve">accion_ejecutada</w:t>
      </w:r>
      <w:r w:rsidDel="00000000" w:rsidR="00000000" w:rsidRPr="00000000">
        <w:rPr>
          <w:rtl w:val="0"/>
        </w:rPr>
        <w:t xml:space="preserve"> (VARCHAR)</w:t>
      </w:r>
    </w:p>
    <w:p w:rsidR="00000000" w:rsidDel="00000000" w:rsidP="00000000" w:rsidRDefault="00000000" w:rsidRPr="00000000" w14:paraId="0000003A">
      <w:pPr>
        <w:numPr>
          <w:ilvl w:val="0"/>
          <w:numId w:val="1"/>
        </w:numPr>
        <w:ind w:left="720" w:hanging="360"/>
      </w:pPr>
      <w:r w:rsidDel="00000000" w:rsidR="00000000" w:rsidRPr="00000000">
        <w:rPr>
          <w:rFonts w:ascii="Roboto Mono" w:cs="Roboto Mono" w:eastAsia="Roboto Mono" w:hAnsi="Roboto Mono"/>
          <w:color w:val="188038"/>
          <w:rtl w:val="0"/>
        </w:rPr>
        <w:t>id_usuario</w:t>
      </w:r>
      <w:r w:rsidDel="00000000" w:rsidR="00000000" w:rsidRPr="00000000">
        <w:rPr>
          <w:rtl w:val="0"/>
        </w:rPr>
        <w:t xml:space="preserve"> (FK, INT)</w:t>
      </w:r>
    </w:p>
    <w:p w:rsidR="00000000" w:rsidDel="00000000" w:rsidP="00000000" w:rsidRDefault="00000000" w:rsidRPr="00000000" w14:paraId="0000003B">
      <w:pPr>
        <w:numPr>
          <w:ilvl w:val="0"/>
          <w:numId w:val="1"/>
        </w:numPr>
        <w:ind w:left="720" w:hanging="360"/>
      </w:pPr>
      <w:r w:rsidDel="00000000" w:rsidR="00000000" w:rsidRPr="00000000">
        <w:rPr>
          <w:rFonts w:ascii="Roboto Mono" w:cs="Roboto Mono" w:eastAsia="Roboto Mono" w:hAnsi="Roboto Mono"/>
          <w:color w:val="188038"/>
          <w:rtl w:val="0"/>
        </w:rPr>
        <w:t xml:space="preserve">timestamp_accion</w:t>
      </w:r>
      <w:r w:rsidDel="00000000" w:rsidR="00000000" w:rsidRPr="00000000">
        <w:rPr>
          <w:rtl w:val="0"/>
        </w:rPr>
        <w:t xml:space="preserve"> (TIMESTAMP)</w:t>
      </w:r>
    </w:p>
    <w:p w:rsidR="00000000" w:rsidDel="00000000" w:rsidP="00000000" w:rsidRDefault="00000000" w:rsidRPr="00000000" w14:paraId="0000003C">
      <w:pPr>
        <w:numPr>
          <w:ilvl w:val="0"/>
          <w:numId w:val="1"/>
        </w:numPr>
        <w:ind w:left="720" w:hanging="360"/>
      </w:pPr>
      <w:r w:rsidDel="00000000" w:rsidR="00000000" w:rsidRPr="00000000">
        <w:rPr>
          <w:rFonts w:ascii="Roboto Mono" w:cs="Roboto Mono" w:eastAsia="Roboto Mono" w:hAnsi="Roboto Mono"/>
          <w:color w:val="188038"/>
          <w:rtl w:val="0"/>
        </w:rPr>
        <w:t xml:space="preserve">detalle_cambio</w:t>
      </w:r>
      <w:r w:rsidDel="00000000" w:rsidR="00000000" w:rsidRPr="00000000">
        <w:rPr>
          <w:rtl w:val="0"/>
        </w:rPr>
        <w:t xml:space="preserve"> (TEXT)</w:t>
      </w:r>
    </w:p>
    <w:p w:rsidR="00000000" w:rsidDel="00000000" w:rsidP="00000000" w:rsidRDefault="00000000" w:rsidRPr="00000000" w14:paraId="0000003D">
      <w:pPr>
        <w:pStyle w:val="Heading3"/>
        <w:rPr/>
      </w:pPr>
      <w:bookmarkStart w:colFirst="0" w:colLast="0" w:name="_wt04g6mc8r9x" w:id="9"/>
      <w:bookmarkEnd w:id="9"/>
      <w:r w:rsidDel="00000000" w:rsidR="00000000" w:rsidRPr="00000000">
        <w:rPr>
          <w:b w:val="1"/>
          <w:bCs w:val="1"/>
          <w:rtl w:val="0"/>
        </w:rPr>
        <w:t xml:space="preserve">Entidad 5: Analisis_IA_Anomalias</w:t>
      </w:r>
      <w:r w:rsidDel="00000000" w:rsidR="00000000" w:rsidRPr="00000000">
        <w:rPr>
          <w:rtl w:val="0"/>
        </w:rPr>
      </w:r>
    </w:p>
    <w:p w:rsidR="00000000" w:rsidDel="00000000" w:rsidP="00000000" w:rsidRDefault="00000000" w:rsidRPr="00000000" w14:paraId="0000003E">
      <w:pPr>
        <w:rPr/>
      </w:pPr>
      <w:r w:rsidDel="00000000" w:rsidR="00000000" w:rsidRPr="00000000">
        <w:rPr>
          <w:rtl w:val="0"/>
        </w:rPr>
        <w:t xml:space="preserve">Almacena las sugerencias y detección de anomalías generadas por el componente de IA.</w:t>
      </w:r>
    </w:p>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40">
      <w:pPr>
        <w:numPr>
          <w:ilvl w:val="0"/>
          <w:numId w:val="1"/>
        </w:numPr>
        <w:ind w:left="720" w:hanging="360"/>
      </w:pPr>
      <w:r w:rsidDel="00000000" w:rsidR="00000000" w:rsidRPr="00000000">
        <w:rPr>
          <w:rFonts w:ascii="Roboto Mono" w:cs="Roboto Mono" w:eastAsia="Roboto Mono" w:hAnsi="Roboto Mono"/>
          <w:color w:val="188038"/>
          <w:rtl w:val="0"/>
        </w:rPr>
        <w:t xml:space="preserve">id_analisis</w:t>
      </w:r>
      <w:r w:rsidDel="00000000" w:rsidR="00000000" w:rsidRPr="00000000">
        <w:rPr>
          <w:rtl w:val="0"/>
        </w:rPr>
        <w:t xml:space="preserve"> (PK, INT)</w:t>
      </w:r>
    </w:p>
    <w:p w:rsidR="00000000" w:rsidDel="00000000" w:rsidP="00000000" w:rsidRDefault="00000000" w:rsidRPr="00000000" w14:paraId="00000041">
      <w:pPr>
        <w:numPr>
          <w:ilvl w:val="0"/>
          <w:numId w:val="1"/>
        </w:numPr>
        <w:ind w:left="720" w:hanging="360"/>
      </w:pPr>
      <w:r w:rsidDel="00000000" w:rsidR="00000000" w:rsidRPr="00000000">
        <w:rPr>
          <w:rFonts w:ascii="Roboto Mono" w:cs="Roboto Mono" w:eastAsia="Roboto Mono" w:hAnsi="Roboto Mono"/>
          <w:color w:val="188038"/>
          <w:rtl w:val="0"/>
        </w:rPr>
        <w:t xml:space="preserve">id_conciliacion</w:t>
      </w:r>
      <w:r w:rsidDel="00000000" w:rsidR="00000000" w:rsidRPr="00000000">
        <w:rPr>
          <w:rtl w:val="0"/>
        </w:rPr>
        <w:t xml:space="preserve"> (FK, INT)</w:t>
      </w:r>
    </w:p>
    <w:p w:rsidR="00000000" w:rsidDel="00000000" w:rsidP="00000000" w:rsidRDefault="00000000" w:rsidRPr="00000000" w14:paraId="00000042">
      <w:pPr>
        <w:numPr>
          <w:ilvl w:val="0"/>
          <w:numId w:val="1"/>
        </w:numPr>
        <w:ind w:left="720" w:hanging="360"/>
      </w:pPr>
      <w:r w:rsidDel="00000000" w:rsidR="00000000" w:rsidRPr="00000000">
        <w:rPr>
          <w:rFonts w:ascii="Roboto Mono" w:cs="Roboto Mono" w:eastAsia="Roboto Mono" w:hAnsi="Roboto Mono"/>
          <w:color w:val="188038"/>
          <w:rtl w:val="0"/>
        </w:rPr>
        <w:t xml:space="preserve">nivel_anomalia</w:t>
      </w:r>
      <w:r w:rsidDel="00000000" w:rsidR="00000000" w:rsidRPr="00000000">
        <w:rPr>
          <w:rtl w:val="0"/>
        </w:rPr>
        <w:t xml:space="preserve"> (VARCHAR: </w:t>
      </w:r>
      <w:r w:rsidDel="00000000" w:rsidR="00000000" w:rsidRPr="00000000">
        <w:rPr>
          <w:i w:val="1"/>
          <w:iCs w:val="1"/>
          <w:rtl w:val="0"/>
        </w:rPr>
        <w:t xml:space="preserve">Bajo, Medio, Alto</w:t>
      </w:r>
      <w:r w:rsidDel="00000000" w:rsidR="00000000" w:rsidRPr="00000000">
        <w:rPr>
          <w:rtl w:val="0"/>
        </w:rPr>
        <w:t xml:space="preserve">)</w:t>
      </w:r>
    </w:p>
    <w:p w:rsidR="00000000" w:rsidDel="00000000" w:rsidP="00000000" w:rsidRDefault="00000000" w:rsidRPr="00000000" w14:paraId="00000043">
      <w:pPr>
        <w:numPr>
          <w:ilvl w:val="0"/>
          <w:numId w:val="1"/>
        </w:numPr>
        <w:ind w:left="720" w:hanging="360"/>
      </w:pPr>
      <w:r w:rsidDel="00000000" w:rsidR="00000000" w:rsidRPr="00000000">
        <w:rPr>
          <w:rFonts w:ascii="Roboto Mono" w:cs="Roboto Mono" w:eastAsia="Roboto Mono" w:hAnsi="Roboto Mono"/>
          <w:color w:val="188038"/>
          <w:rtl w:val="0"/>
        </w:rPr>
        <w:t xml:space="preserve">sugerencia_ia</w:t>
      </w:r>
      <w:r w:rsidDel="00000000" w:rsidR="00000000" w:rsidRPr="00000000">
        <w:rPr>
          <w:rtl w:val="0"/>
        </w:rPr>
        <w:t xml:space="preserve"> (TEXT)</w:t>
      </w:r>
    </w:p>
    <w:p w:rsidR="00000000" w:rsidDel="00000000" w:rsidP="00000000" w:rsidRDefault="00000000" w:rsidRPr="00000000" w14:paraId="00000044">
      <w:pPr>
        <w:numPr>
          <w:ilvl w:val="0"/>
          <w:numId w:val="1"/>
        </w:numPr>
        <w:ind w:left="720" w:hanging="360"/>
      </w:pPr>
      <w:r w:rsidDel="00000000" w:rsidR="00000000" w:rsidRPr="00000000">
        <w:rPr>
          <w:rFonts w:ascii="Roboto Mono" w:cs="Roboto Mono" w:eastAsia="Roboto Mono" w:hAnsi="Roboto Mono"/>
          <w:color w:val="188038"/>
          <w:rtl w:val="0"/>
        </w:rPr>
        <w:t xml:space="preserve">fecha_analisis</w:t>
      </w:r>
      <w:r w:rsidDel="00000000" w:rsidR="00000000" w:rsidRPr="00000000">
        <w:rPr>
          <w:rtl w:val="0"/>
        </w:rPr>
        <w:t xml:space="preserve"> (TIMESTAMP)</w:t>
      </w:r>
    </w:p>
    <w:p w:rsidR="00000000" w:rsidDel="00000000" w:rsidP="00000000" w:rsidRDefault="00000000" w:rsidRPr="00000000" w14:paraId="0000001A">
      <w:pPr>
        <w:pStyle w:val="Heading3"/>
        <w:rPr/>
      </w:pPr>
      <w:bookmarkStart w:colFirst="0" w:colLast="0" w:name="_wawr0cjgewhl" w:id="5"/>
      <w:bookmarkEnd w:id="5"/>
      <w:r w:rsidDel="00000000" w:rsidR="00000000" w:rsidRPr="00000000">
        <w:rPr>
          <w:b w:val="1"/>
          <w:bCs w:val="1"/>
          <w:rtl w:val="0"/>
        </w:rPr>
        <w:t xml:space="preserve">Entidad 6: Roles</w:t>
      </w:r>
    </w:p>
    <w:p w:rsidR="00000000" w:rsidDel="00000000" w:rsidP="00000000" w:rsidRDefault="00000000" w:rsidRPr="00000000" w14:paraId="0000001B">
      <w:pPr>
        <w:rPr/>
      </w:pPr>
      <w:r w:rsidDel="00000000" w:rsidR="00000000" w:rsidRPr="00000000">
        <w:rPr>
          <w:rtl w:val="0"/>
        </w:rPr>
        <w:t xml:space="preserve">Define los perfiles de acceso de la plataforma (Administrador, Analista de Conciliación, Auditor y Consulta), según RF09.</w:t>
      </w:r>
    </w:p>
    <w:p w:rsidR="00000000" w:rsidDel="00000000" w:rsidP="00000000" w:rsidRDefault="00000000" w:rsidRPr="00000000" w14:paraId="0000001D">
      <w:pPr>
        <w:numPr>
          <w:ilvl w:val="0"/>
          <w:numId w:val="1"/>
        </w:numPr>
        <w:ind w:left="720" w:hanging="360"/>
      </w:pPr>
      <w:r w:rsidDel="00000000" w:rsidR="00000000" w:rsidRPr="00000000">
        <w:rPr>
          <w:rFonts w:ascii="Roboto Mono" w:cs="Roboto Mono" w:eastAsia="Roboto Mono" w:hAnsi="Roboto Mono"/>
          <w:color w:val="188038"/>
          <w:rtl w:val="0"/>
        </w:rPr>
        <w:t>id_rol</w:t>
      </w:r>
      <w:r w:rsidDel="00000000" w:rsidR="00000000" w:rsidRPr="00000000">
        <w:rPr>
          <w:rtl w:val="0"/>
        </w:rPr>
        <w:t xml:space="preserve"> (PK, INT)</w:t>
      </w:r>
    </w:p>
    <w:p w:rsidR="00000000" w:rsidDel="00000000" w:rsidP="00000000" w:rsidRDefault="00000000" w:rsidRPr="00000000" w14:paraId="0000001D">
      <w:pPr>
        <w:numPr>
          <w:ilvl w:val="0"/>
          <w:numId w:val="1"/>
        </w:numPr>
        <w:ind w:left="720" w:hanging="360"/>
      </w:pPr>
      <w:r w:rsidDel="00000000" w:rsidR="00000000" w:rsidRPr="00000000">
        <w:rPr>
          <w:rFonts w:ascii="Roboto Mono" w:cs="Roboto Mono" w:eastAsia="Roboto Mono" w:hAnsi="Roboto Mono"/>
          <w:color w:val="188038"/>
          <w:rtl w:val="0"/>
        </w:rPr>
        <w:t>nombre_rol</w:t>
      </w:r>
      <w:r w:rsidDel="00000000" w:rsidR="00000000" w:rsidRPr="00000000">
        <w:rPr>
          <w:rtl w:val="0"/>
        </w:rPr>
        <w:t xml:space="preserve"> (VARCHAR)</w:t>
      </w:r>
    </w:p>
    <w:p w:rsidR="00000000" w:rsidDel="00000000" w:rsidP="00000000" w:rsidRDefault="00000000" w:rsidRPr="00000000" w14:paraId="0000001D">
      <w:pPr>
        <w:numPr>
          <w:ilvl w:val="0"/>
          <w:numId w:val="1"/>
        </w:numPr>
        <w:ind w:left="720" w:hanging="360"/>
      </w:pPr>
      <w:r w:rsidDel="00000000" w:rsidR="00000000" w:rsidRPr="00000000">
        <w:rPr>
          <w:rFonts w:ascii="Roboto Mono" w:cs="Roboto Mono" w:eastAsia="Roboto Mono" w:hAnsi="Roboto Mono"/>
          <w:color w:val="188038"/>
          <w:rtl w:val="0"/>
        </w:rPr>
        <w:t>descripcion</w:t>
      </w:r>
      <w:r w:rsidDel="00000000" w:rsidR="00000000" w:rsidRPr="00000000">
        <w:rPr>
          <w:rtl w:val="0"/>
        </w:rPr>
        <w:t xml:space="preserve"> (VARCHAR)</w:t>
      </w:r>
    </w:p>
    <w:p w:rsidR="00000000" w:rsidDel="00000000" w:rsidP="00000000" w:rsidRDefault="00000000" w:rsidRPr="00000000" w14:paraId="0000001A">
      <w:pPr>
        <w:pStyle w:val="Heading3"/>
        <w:rPr/>
      </w:pPr>
      <w:bookmarkStart w:colFirst="0" w:colLast="0" w:name="_wawr0cjgewhl" w:id="5"/>
      <w:bookmarkEnd w:id="5"/>
      <w:r w:rsidDel="00000000" w:rsidR="00000000" w:rsidRPr="00000000">
        <w:rPr>
          <w:b w:val="1"/>
          <w:bCs w:val="1"/>
          <w:rtl w:val="0"/>
        </w:rPr>
        <w:t xml:space="preserve">Entidad 7: Usuarios</w:t>
      </w:r>
    </w:p>
    <w:p w:rsidR="00000000" w:rsidDel="00000000" w:rsidP="00000000" w:rsidRDefault="00000000" w:rsidRPr="00000000" w14:paraId="0000001B">
      <w:pPr>
        <w:rPr/>
      </w:pPr>
      <w:r w:rsidDel="00000000" w:rsidR="00000000" w:rsidRPr="00000000">
        <w:rPr>
          <w:rtl w:val="0"/>
        </w:rPr>
        <w:t xml:space="preserve">Registra a los usuarios autorizados, vinculados a su cuenta del Active Directory y a un rol. Permite que la Bitácora_Trazabilidad identifique al responsable de cada acción mediante una llave foránea.</w:t>
      </w:r>
    </w:p>
    <w:p w:rsidR="00000000" w:rsidDel="00000000" w:rsidP="00000000" w:rsidRDefault="00000000" w:rsidRPr="00000000" w14:paraId="0000001D">
      <w:pPr>
        <w:numPr>
          <w:ilvl w:val="0"/>
          <w:numId w:val="1"/>
        </w:numPr>
        <w:ind w:left="720" w:hanging="360"/>
      </w:pPr>
      <w:r w:rsidDel="00000000" w:rsidR="00000000" w:rsidRPr="00000000">
        <w:rPr>
          <w:rFonts w:ascii="Roboto Mono" w:cs="Roboto Mono" w:eastAsia="Roboto Mono" w:hAnsi="Roboto Mono"/>
          <w:color w:val="188038"/>
          <w:rtl w:val="0"/>
        </w:rPr>
        <w:t>id_usuario</w:t>
      </w:r>
      <w:r w:rsidDel="00000000" w:rsidR="00000000" w:rsidRPr="00000000">
        <w:rPr>
          <w:rtl w:val="0"/>
        </w:rPr>
        <w:t xml:space="preserve"> (PK, INT)</w:t>
      </w:r>
    </w:p>
    <w:p w:rsidR="00000000" w:rsidDel="00000000" w:rsidP="00000000" w:rsidRDefault="00000000" w:rsidRPr="00000000" w14:paraId="0000001D">
      <w:pPr>
        <w:numPr>
          <w:ilvl w:val="0"/>
          <w:numId w:val="1"/>
        </w:numPr>
        <w:ind w:left="720" w:hanging="360"/>
      </w:pPr>
      <w:r w:rsidDel="00000000" w:rsidR="00000000" w:rsidRPr="00000000">
        <w:rPr>
          <w:rFonts w:ascii="Roboto Mono" w:cs="Roboto Mono" w:eastAsia="Roboto Mono" w:hAnsi="Roboto Mono"/>
          <w:color w:val="188038"/>
          <w:rtl w:val="0"/>
        </w:rPr>
        <w:t>id_rol</w:t>
      </w:r>
      <w:r w:rsidDel="00000000" w:rsidR="00000000" w:rsidRPr="00000000">
        <w:rPr>
          <w:rtl w:val="0"/>
        </w:rPr>
        <w:t xml:space="preserve"> (FK, INT)</w:t>
      </w:r>
    </w:p>
    <w:p w:rsidR="00000000" w:rsidDel="00000000" w:rsidP="00000000" w:rsidRDefault="00000000" w:rsidRPr="00000000" w14:paraId="0000001D">
      <w:pPr>
        <w:numPr>
          <w:ilvl w:val="0"/>
          <w:numId w:val="1"/>
        </w:numPr>
        <w:ind w:left="720" w:hanging="360"/>
      </w:pPr>
      <w:r w:rsidDel="00000000" w:rsidR="00000000" w:rsidRPr="00000000">
        <w:rPr>
          <w:rFonts w:ascii="Roboto Mono" w:cs="Roboto Mono" w:eastAsia="Roboto Mono" w:hAnsi="Roboto Mono"/>
          <w:color w:val="188038"/>
          <w:rtl w:val="0"/>
        </w:rPr>
        <w:t>usuario_ad</w:t>
      </w:r>
      <w:r w:rsidDel="00000000" w:rsidR="00000000" w:rsidRPr="00000000">
        <w:rPr>
          <w:rtl w:val="0"/>
        </w:rPr>
        <w:t xml:space="preserve"> (VARCHAR)</w:t>
      </w:r>
    </w:p>
    <w:p w:rsidR="00000000" w:rsidDel="00000000" w:rsidP="00000000" w:rsidRDefault="00000000" w:rsidRPr="00000000" w14:paraId="0000001D">
      <w:pPr>
        <w:numPr>
          <w:ilvl w:val="0"/>
          <w:numId w:val="1"/>
        </w:numPr>
        <w:ind w:left="720" w:hanging="360"/>
      </w:pPr>
      <w:r w:rsidDel="00000000" w:rsidR="00000000" w:rsidRPr="00000000">
        <w:rPr>
          <w:rFonts w:ascii="Roboto Mono" w:cs="Roboto Mono" w:eastAsia="Roboto Mono" w:hAnsi="Roboto Mono"/>
          <w:color w:val="188038"/>
          <w:rtl w:val="0"/>
        </w:rPr>
        <w:t>nombre_completo</w:t>
      </w:r>
      <w:r w:rsidDel="00000000" w:rsidR="00000000" w:rsidRPr="00000000">
        <w:rPr>
          <w:rtl w:val="0"/>
        </w:rPr>
        <w:t xml:space="preserve"> (VARCHAR)</w:t>
      </w:r>
    </w:p>
    <w:p w:rsidR="00000000" w:rsidDel="00000000" w:rsidP="00000000" w:rsidRDefault="00000000" w:rsidRPr="00000000" w14:paraId="0000001D">
      <w:pPr>
        <w:numPr>
          <w:ilvl w:val="0"/>
          <w:numId w:val="1"/>
        </w:numPr>
        <w:ind w:left="720" w:hanging="360"/>
      </w:pPr>
      <w:r w:rsidDel="00000000" w:rsidR="00000000" w:rsidRPr="00000000">
        <w:rPr>
          <w:rFonts w:ascii="Roboto Mono" w:cs="Roboto Mono" w:eastAsia="Roboto Mono" w:hAnsi="Roboto Mono"/>
          <w:color w:val="188038"/>
          <w:rtl w:val="0"/>
        </w:rPr>
        <w:t>activo</w:t>
      </w:r>
      <w:r w:rsidDel="00000000" w:rsidR="00000000" w:rsidRPr="00000000">
        <w:rPr>
          <w:rtl w:val="0"/>
        </w:rPr>
        <w:t xml:space="preserve"> (BOOLEAN)</w:t>
      </w:r>
    </w:p>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4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7">
      <w:pPr>
        <w:pStyle w:val="Heading2"/>
        <w:rPr/>
      </w:pPr>
      <w:bookmarkStart w:colFirst="0" w:colLast="0" w:name="_2xiv90uqc6o0" w:id="10"/>
      <w:bookmarkEnd w:id="10"/>
      <w:r w:rsidDel="00000000" w:rsidR="00000000" w:rsidRPr="00000000">
        <w:rPr>
          <w:rtl w:val="0"/>
        </w:rPr>
        <w:t xml:space="preserve">4. Diseño del Proceso ETL</w:t>
      </w:r>
    </w:p>
    <w:p w:rsidR="00000000" w:rsidDel="00000000" w:rsidP="00000000" w:rsidRDefault="00000000" w:rsidRPr="00000000" w14:paraId="00000048">
      <w:pPr>
        <w:rPr/>
      </w:pPr>
      <w:r w:rsidDel="00000000" w:rsidR="00000000" w:rsidRPr="00000000">
        <w:rPr>
          <w:rtl w:val="0"/>
        </w:rPr>
        <w:t xml:space="preserve">El pipeline ETL se divide en tres fases principales operadas por los scripts del sistema:</w:t>
      </w:r>
    </w:p>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4A">
      <w:pPr>
        <w:numPr>
          <w:ilvl w:val="0"/>
          <w:numId w:val="3"/>
        </w:numPr>
        <w:ind w:left="720" w:hanging="360"/>
      </w:pPr>
      <w:r w:rsidDel="00000000" w:rsidR="00000000" w:rsidRPr="00000000">
        <w:rPr>
          <w:b w:val="1"/>
          <w:bCs w:val="1"/>
          <w:rtl w:val="0"/>
        </w:rPr>
        <w:t xml:space="preserve">Extract (Extracción):</w:t>
      </w:r>
      <w:r w:rsidDel="00000000" w:rsidR="00000000" w:rsidRPr="00000000">
        <w:rPr>
          <w:rtl w:val="0"/>
        </w:rPr>
        <w:t xml:space="preserve"> Lectura automatizada de ficheros estructurados (CSV, Excel, TXT) provenientes de la TGR.</w:t>
      </w:r>
    </w:p>
    <w:p w:rsidR="00000000" w:rsidDel="00000000" w:rsidP="00000000" w:rsidRDefault="00000000" w:rsidRPr="00000000" w14:paraId="0000004B">
      <w:pPr>
        <w:numPr>
          <w:ilvl w:val="0"/>
          <w:numId w:val="3"/>
        </w:numPr>
        <w:ind w:left="720" w:hanging="360"/>
      </w:pPr>
      <w:r w:rsidDel="00000000" w:rsidR="00000000" w:rsidRPr="00000000">
        <w:rPr>
          <w:b w:val="1"/>
          <w:bCs w:val="1"/>
          <w:rtl w:val="0"/>
        </w:rPr>
        <w:t xml:space="preserve">Transform (Transformación y Validación):</w:t>
      </w:r>
      <w:r w:rsidDel="00000000" w:rsidR="00000000" w:rsidRPr="00000000">
        <w:rPr>
          <w:rtl w:val="0"/>
        </w:rPr>
      </w:r>
    </w:p>
    <w:p w:rsidR="00000000" w:rsidDel="00000000" w:rsidP="00000000" w:rsidRDefault="00000000" w:rsidRPr="00000000" w14:paraId="0000004C">
      <w:pPr>
        <w:numPr>
          <w:ilvl w:val="1"/>
          <w:numId w:val="3"/>
        </w:numPr>
        <w:ind w:left="1440" w:hanging="360"/>
      </w:pPr>
      <w:r w:rsidDel="00000000" w:rsidR="00000000" w:rsidRPr="00000000">
        <w:rPr>
          <w:rtl w:val="0"/>
        </w:rPr>
        <w:t xml:space="preserve">Normalización de formatos de fecha y montos.</w:t>
      </w:r>
    </w:p>
    <w:p w:rsidR="00000000" w:rsidDel="00000000" w:rsidP="00000000" w:rsidRDefault="00000000" w:rsidRPr="00000000" w14:paraId="0000004D">
      <w:pPr>
        <w:numPr>
          <w:ilvl w:val="1"/>
          <w:numId w:val="3"/>
        </w:numPr>
        <w:ind w:left="1440" w:hanging="360"/>
      </w:pPr>
      <w:r w:rsidDel="00000000" w:rsidR="00000000" w:rsidRPr="00000000">
        <w:rPr>
          <w:rtl w:val="0"/>
        </w:rPr>
        <w:t xml:space="preserve">Validación algorítmica de RUT (Módulo 11).</w:t>
      </w:r>
    </w:p>
    <w:p w:rsidR="00000000" w:rsidDel="00000000" w:rsidP="00000000" w:rsidRDefault="00000000" w:rsidRPr="00000000" w14:paraId="0000004E">
      <w:pPr>
        <w:numPr>
          <w:ilvl w:val="1"/>
          <w:numId w:val="3"/>
        </w:numPr>
        <w:ind w:left="1440" w:hanging="360"/>
      </w:pPr>
      <w:r w:rsidDel="00000000" w:rsidR="00000000" w:rsidRPr="00000000">
        <w:rPr>
          <w:rtl w:val="0"/>
        </w:rPr>
        <w:t xml:space="preserve">Control de duplicados comparando llaves únicas (</w:t>
      </w:r>
      <w:r w:rsidDel="00000000" w:rsidR="00000000" w:rsidRPr="00000000">
        <w:rPr>
          <w:rFonts w:ascii="Roboto Mono" w:cs="Roboto Mono" w:eastAsia="Roboto Mono" w:hAnsi="Roboto Mono"/>
          <w:color w:val="188038"/>
          <w:rtl w:val="0"/>
        </w:rPr>
        <w:t xml:space="preserve">id_transaccion + rut + monto</w:t>
      </w:r>
      <w:r w:rsidDel="00000000" w:rsidR="00000000" w:rsidRPr="00000000">
        <w:rPr>
          <w:rtl w:val="0"/>
        </w:rPr>
        <w:t xml:space="preserve">).</w:t>
      </w:r>
    </w:p>
    <w:p w:rsidR="00000000" w:rsidDel="00000000" w:rsidP="00000000" w:rsidRDefault="00000000" w:rsidRPr="00000000" w14:paraId="0000004F">
      <w:pPr>
        <w:numPr>
          <w:ilvl w:val="1"/>
          <w:numId w:val="3"/>
        </w:numPr>
        <w:ind w:left="1440" w:hanging="360"/>
      </w:pPr>
      <w:r w:rsidDel="00000000" w:rsidR="00000000" w:rsidRPr="00000000">
        <w:rPr>
          <w:rtl w:val="0"/>
        </w:rPr>
        <w:t>Filtrado de campos obligatorios faltantes.</w:t>
      </w:r>
    </w:p>
    <w:p w:rsidR="00000000" w:rsidDel="00000000" w:rsidP="00000000" w:rsidRDefault="00000000" w:rsidRPr="00000000" w14:paraId="00000050">
      <w:pPr>
        <w:numPr>
          <w:ilvl w:val="0"/>
          <w:numId w:val="3"/>
        </w:numPr>
        <w:ind w:left="720" w:hanging="360"/>
      </w:pPr>
      <w:r w:rsidDel="00000000" w:rsidR="00000000" w:rsidRPr="00000000">
        <w:rPr>
          <w:b w:val="1"/>
          <w:bCs w:val="1"/>
          <w:rtl w:val="0"/>
        </w:rPr>
        <w:t xml:space="preserve">Load (Carga):</w:t>
      </w:r>
      <w:r w:rsidDel="00000000" w:rsidR="00000000" w:rsidRPr="00000000">
        <w:rPr>
          <w:rtl w:val="0"/>
        </w:rPr>
        <w:t xml:space="preserve"> Almacenamiento estructurado en las tablas transaccionales de la base de datos relacional y activación automática del motor de matching con Banco Genérico.</w:t>
      </w:r>
    </w:p>
    <w:p w:rsidR="00000000" w:rsidDel="00000000" w:rsidP="00000000" w:rsidRDefault="00000000" w:rsidRPr="00000000" w14:paraId="0000001A">
      <w:pPr>
        <w:pStyle w:val="Heading3"/>
        <w:rPr/>
      </w:pPr>
      <w:bookmarkStart w:colFirst="0" w:colLast="0" w:name="_wawr0cjgewhl" w:id="5"/>
      <w:bookmarkEnd w:id="5"/>
      <w:r w:rsidDel="00000000" w:rsidR="00000000" w:rsidRPr="00000000">
        <w:rPr>
          <w:b w:val="1"/>
          <w:bCs w:val="1"/>
          <w:rtl w:val="0"/>
        </w:rPr>
        <w:t xml:space="preserve">4.1 Diagrama de Actividad del Proceso ETL</w:t>
      </w:r>
    </w:p>
    <w:p w:rsidR="00000000" w:rsidDel="00000000" w:rsidP="00000000" w:rsidRDefault="00000000" w:rsidRPr="00000000" w14:paraId="0000001B">
      <w:pPr>
        <w:rPr/>
      </w:pPr>
      <w:r w:rsidDel="00000000" w:rsidR="00000000" w:rsidRPr="00000000">
        <w:rPr>
          <w:rtl w:val="0"/>
        </w:rPr>
        <w:t xml:space="preserve">El diagrama de actividad detalla el flujo del pipeline ETL, las decisiones de validación asociadas a cada regla de negocio (RN01 a RN04) y el destino de los registros según el resultado de cada validación.</w:t>
      </w:r>
    </w:p>
    <w:p>
      <w:pPr>
        <w:jc w:val="center"/>
      </w:pPr>
      <w:r>
        <w:drawing>
          <wp:inline>
            <wp:extent cx="4572000" cy="5858673"/>
            <wp:docPr id="4" name="Picture 4"/>
            <wp:cNvGraphicFramePr>
              <a:graphicFrameLocks noChangeAspect="1"/>
            </wp:cNvGraphicFramePr>
            <a:graphic>
              <a:graphicData uri="http://schemas.openxmlformats.org/drawingml/2006/picture">
                <pic:pic>
                  <pic:nvPicPr>
                    <pic:cNvPr id="0" name="06_actividad_etl.png"/>
                    <pic:cNvPicPr/>
                  </pic:nvPicPr>
                  <pic:blipFill>
                    <a:blip r:embed="rId9"/>
                    <a:stretch>
                      <a:fillRect/>
                    </a:stretch>
                  </pic:blipFill>
                  <pic:spPr>
                    <a:xfrm>
                      <a:off x="0" y="0"/>
                      <a:ext cx="4572000" cy="5858673"/>
                    </a:xfrm>
                    <a:prstGeom prst="rect"/>
                  </pic:spPr>
                </pic:pic>
              </a:graphicData>
            </a:graphic>
          </wp:inline>
        </w:drawing>
      </w:r>
    </w:p>
    <w:p>
      <w:pPr>
        <w:jc w:val="center"/>
      </w:pPr>
      <w:r>
        <w:rPr>
          <w:i/>
          <w:color w:val="555F6B"/>
          <w:sz w:val="18"/>
        </w:rPr>
        <w:t>Figura 4: Diagrama de actividad del proceso ETL.</w:t>
      </w:r>
    </w:p>
    <w:p w:rsidR="00000000" w:rsidDel="00000000" w:rsidP="00000000" w:rsidRDefault="00000000" w:rsidRPr="00000000" w14:paraId="0000001A">
      <w:pPr>
        <w:pStyle w:val="Heading3"/>
        <w:rPr/>
      </w:pPr>
      <w:bookmarkStart w:colFirst="0" w:colLast="0" w:name="_wawr0cjgewhl" w:id="5"/>
      <w:bookmarkEnd w:id="5"/>
      <w:r w:rsidDel="00000000" w:rsidR="00000000" w:rsidRPr="00000000">
        <w:rPr>
          <w:b w:val="1"/>
          <w:bCs w:val="1"/>
          <w:rtl w:val="0"/>
        </w:rPr>
        <w:t xml:space="preserve">4.2 Diagrama de Secuencia: Carga y Procesamiento de Archivo TGR</w:t>
      </w:r>
    </w:p>
    <w:p w:rsidR="00000000" w:rsidDel="00000000" w:rsidP="00000000" w:rsidRDefault="00000000" w:rsidRPr="00000000" w14:paraId="0000001B">
      <w:pPr>
        <w:rPr/>
      </w:pPr>
      <w:r w:rsidDel="00000000" w:rsidR="00000000" w:rsidRPr="00000000">
        <w:rPr>
          <w:rtl w:val="0"/>
        </w:rPr>
        <w:t xml:space="preserve">El diagrama de secuencia muestra la interacción entre los componentes desde que el Analista carga un archivo hasta que recibe el resumen del lote procesado, incluyendo el flujo alternativo de rechazo por formato (casos de uso CU02, CU03 y CU04).</w:t>
      </w:r>
    </w:p>
    <w:p>
      <w:pPr>
        <w:jc w:val="center"/>
      </w:pPr>
      <w:r>
        <w:drawing>
          <wp:inline>
            <wp:extent cx="5715000" cy="3963825"/>
            <wp:docPr id="5" name="Picture 5"/>
            <wp:cNvGraphicFramePr>
              <a:graphicFrameLocks noChangeAspect="1"/>
            </wp:cNvGraphicFramePr>
            <a:graphic>
              <a:graphicData uri="http://schemas.openxmlformats.org/drawingml/2006/picture">
                <pic:pic>
                  <pic:nvPicPr>
                    <pic:cNvPr id="0" name="05_secuencia_carga.png"/>
                    <pic:cNvPicPr/>
                  </pic:nvPicPr>
                  <pic:blipFill>
                    <a:blip r:embed="rId10"/>
                    <a:stretch>
                      <a:fillRect/>
                    </a:stretch>
                  </pic:blipFill>
                  <pic:spPr>
                    <a:xfrm>
                      <a:off x="0" y="0"/>
                      <a:ext cx="5715000" cy="3963825"/>
                    </a:xfrm>
                    <a:prstGeom prst="rect"/>
                  </pic:spPr>
                </pic:pic>
              </a:graphicData>
            </a:graphic>
          </wp:inline>
        </w:drawing>
      </w:r>
    </w:p>
    <w:p>
      <w:pPr>
        <w:jc w:val="center"/>
      </w:pPr>
      <w:r>
        <w:rPr>
          <w:i/>
          <w:color w:val="555F6B"/>
          <w:sz w:val="18"/>
        </w:rPr>
        <w:t>Figura 5: Diagrama de secuencia de carga y procesamiento de archivo TGR.</w:t>
      </w:r>
    </w:p>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5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3">
      <w:pPr>
        <w:pStyle w:val="Heading2"/>
        <w:rPr/>
      </w:pPr>
      <w:bookmarkStart w:colFirst="0" w:colLast="0" w:name="_eye417eppxz8" w:id="11"/>
      <w:bookmarkEnd w:id="11"/>
      <w:r w:rsidDel="00000000" w:rsidR="00000000" w:rsidRPr="00000000">
        <w:rPr>
          <w:rtl w:val="0"/>
        </w:rPr>
        <w:t xml:space="preserve">5. Responsabilidades del Diseño de Datos y Arquitectura</w:t>
      </w:r>
    </w:p>
    <w:p w:rsidR="00000000" w:rsidDel="00000000" w:rsidP="00000000" w:rsidRDefault="00000000" w:rsidRPr="00000000" w14:paraId="00000054">
      <w:pPr>
        <w:numPr>
          <w:ilvl w:val="0"/>
          <w:numId w:val="2"/>
        </w:numPr>
        <w:ind w:left="720" w:hanging="360"/>
      </w:pPr>
      <w:r w:rsidDel="00000000" w:rsidR="00000000" w:rsidRPr="00000000">
        <w:rPr>
          <w:b w:val="1"/>
          <w:bCs w:val="1"/>
          <w:rtl w:val="0"/>
        </w:rPr>
        <w:t xml:space="preserve">Tomas Catalán Madariaga:</w:t>
      </w:r>
      <w:r w:rsidDel="00000000" w:rsidR="00000000" w:rsidRPr="00000000">
        <w:rPr>
          <w:rtl w:val="0"/>
        </w:rPr>
        <w:t xml:space="preserve"> Modelamiento de la base de datos relacional y diseño estructural del pipeline ETL.</w:t>
      </w:r>
    </w:p>
    <w:p w:rsidR="00000000" w:rsidDel="00000000" w:rsidP="00000000" w:rsidRDefault="00000000" w:rsidRPr="00000000" w14:paraId="00000055">
      <w:pPr>
        <w:numPr>
          <w:ilvl w:val="0"/>
          <w:numId w:val="2"/>
        </w:numPr>
        <w:ind w:left="720" w:hanging="360"/>
      </w:pPr>
      <w:r w:rsidDel="00000000" w:rsidR="00000000" w:rsidRPr="00000000">
        <w:rPr>
          <w:b w:val="1"/>
          <w:bCs w:val="1"/>
          <w:rtl w:val="0"/>
        </w:rPr>
        <w:t xml:space="preserve">David Muñoz Bravo:</w:t>
      </w:r>
      <w:r w:rsidDel="00000000" w:rsidR="00000000" w:rsidRPr="00000000">
        <w:rPr>
          <w:rtl w:val="0"/>
        </w:rPr>
        <w:t xml:space="preserve"> Integración del modelo de datos con las reglas de negocio y lógica de backend.</w:t>
      </w:r>
    </w:p>
    <w:p w:rsidR="00000000" w:rsidDel="00000000" w:rsidP="00000000" w:rsidRDefault="00000000" w:rsidRPr="00000000" w14:paraId="00000056">
      <w:pPr>
        <w:numPr>
          <w:ilvl w:val="0"/>
          <w:numId w:val="2"/>
        </w:numPr>
        <w:ind w:left="720" w:hanging="360"/>
      </w:pPr>
      <w:r w:rsidDel="00000000" w:rsidR="00000000" w:rsidRPr="00000000">
        <w:rPr>
          <w:b w:val="1"/>
          <w:bCs w:val="1"/>
          <w:rtl w:val="0"/>
        </w:rPr>
        <w:t xml:space="preserve">Héctor Sanhueza Castro:</w:t>
      </w:r>
      <w:r w:rsidDel="00000000" w:rsidR="00000000" w:rsidRPr="00000000">
        <w:rPr>
          <w:rtl w:val="0"/>
        </w:rPr>
        <w:t xml:space="preserve"> Estructuración de esquemas para el almacenamiento de resultados del componente de IA y validaciones.</w:t>
      </w:r>
    </w:p>
    <w:p w:rsidR="00000000" w:rsidDel="00000000" w:rsidP="00000000" w:rsidRDefault="00000000" w:rsidRPr="00000000" w14:paraId="00000057">
      <w:pPr>
        <w:numPr>
          <w:ilvl w:val="0"/>
          <w:numId w:val="2"/>
        </w:numPr>
        <w:ind w:left="720" w:hanging="360"/>
      </w:pPr>
      <w:r w:rsidDel="00000000" w:rsidR="00000000" w:rsidRPr="00000000">
        <w:rPr>
          <w:b w:val="1"/>
          <w:bCs w:val="1"/>
          <w:rtl w:val="0"/>
        </w:rPr>
        <w:t xml:space="preserve">María Trinidad Gaete Mella:</w:t>
      </w:r>
      <w:r w:rsidDel="00000000" w:rsidR="00000000" w:rsidRPr="00000000">
        <w:rPr>
          <w:rtl w:val="0"/>
        </w:rPr>
        <w:t xml:space="preserve"> Validación del modelo de datos frente a la ERS y requerimientos institucionales.</w:t>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image" Target="media/image3.png"/><Relationship Id="rId9" Type="http://schemas.openxmlformats.org/officeDocument/2006/relationships/image" Target="media/image4.png"/><Relationship Id="rId10" Type="http://schemas.openxmlformats.org/officeDocument/2006/relationships/image" Target="media/image5.png"/></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