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fh2r2sgknuw" w:id="0"/>
      <w:bookmarkEnd w:id="0"/>
      <w:r w:rsidDel="00000000" w:rsidR="00000000" w:rsidRPr="00000000">
        <w:rPr>
          <w:rtl w:val="0"/>
        </w:rPr>
        <w:t xml:space="preserve">Mockups y Diseño de Interfaces de Sistemas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f4l98utrnuz" w:id="1"/>
      <w:bookmarkEnd w:id="1"/>
      <w:r w:rsidDel="00000000" w:rsidR="00000000" w:rsidRPr="00000000">
        <w:rPr>
          <w:rtl w:val="0"/>
        </w:rPr>
        <w:t xml:space="preserve">Proyecto: TTDH Automation (Banco Genérico)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wjc6bhvhouj" w:id="2"/>
      <w:bookmarkEnd w:id="2"/>
      <w:r w:rsidDel="00000000" w:rsidR="00000000" w:rsidRPr="00000000">
        <w:rPr>
          <w:rtl w:val="0"/>
        </w:rPr>
        <w:t xml:space="preserve">1. Introducción y Propósito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presente documento define el diseño visual conceptual y la estructura de los prototipos de interfaz de usuario (</w:t>
      </w:r>
      <w:r w:rsidDel="00000000" w:rsidR="00000000" w:rsidRPr="00000000">
        <w:rPr>
          <w:b w:val="1"/>
          <w:bCs w:val="1"/>
          <w:rtl w:val="0"/>
        </w:rPr>
        <w:t xml:space="preserve">Mockups</w:t>
      </w:r>
      <w:r w:rsidDel="00000000" w:rsidR="00000000" w:rsidRPr="00000000">
        <w:rPr>
          <w:rtl w:val="0"/>
        </w:rPr>
        <w:t xml:space="preserve">) para la plataforma </w:t>
      </w:r>
      <w:r w:rsidDel="00000000" w:rsidR="00000000" w:rsidRPr="00000000">
        <w:rPr>
          <w:b w:val="1"/>
          <w:bCs w:val="1"/>
          <w:rtl w:val="0"/>
        </w:rPr>
        <w:t xml:space="preserve">TTDH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 acuerdo con la planificación técnica del proyecto (Fase 1 - Análisis y Diseño), el diseño de interfaces está bajo la responsabilidad directa de </w:t>
      </w:r>
      <w:r w:rsidDel="00000000" w:rsidR="00000000" w:rsidRPr="00000000">
        <w:rPr>
          <w:b w:val="1"/>
          <w:bCs w:val="1"/>
          <w:rtl w:val="0"/>
        </w:rPr>
        <w:t xml:space="preserve">David Muñoz Bravo</w:t>
      </w:r>
      <w:r w:rsidDel="00000000" w:rsidR="00000000" w:rsidRPr="00000000">
        <w:rPr>
          <w:rtl w:val="0"/>
        </w:rPr>
        <w:t>, asegurando que las pantallas cumplan con los requerimientos funcionales establecidos (RF01 al RF11) y faciliten la interacción de los analistas operativos y administradores de Banco Genérico con los flujos de la Tesorería General de la República (TGR).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h9lij22fp5e" w:id="3"/>
      <w:bookmarkEnd w:id="3"/>
      <w:r w:rsidDel="00000000" w:rsidR="00000000" w:rsidRPr="00000000">
        <w:rPr>
          <w:rtl w:val="0"/>
        </w:rPr>
        <w:t xml:space="preserve">2. Estructura de Navegación y Vistas Principales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interfaz web de la plataforma se estructurará mediante un panel de control central (</w:t>
      </w:r>
      <w:r w:rsidDel="00000000" w:rsidR="00000000" w:rsidRPr="00000000">
        <w:rPr>
          <w:i w:val="1"/>
          <w:iCs w:val="1"/>
          <w:rtl w:val="0"/>
        </w:rPr>
        <w:t xml:space="preserve">Dashboard Layout</w:t>
      </w:r>
      <w:r w:rsidDel="00000000" w:rsidR="00000000" w:rsidRPr="00000000">
        <w:rPr>
          <w:rtl w:val="0"/>
        </w:rPr>
        <w:t xml:space="preserve">) que incluirá una barra de navegación lateral con acceso a los siguientes módulos: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Módulo de Ingesta y Carga de Documentos (Soporte RF01, RF02 y RF12)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Dashboard de Monitoreo en Tiempo Real (Soporte RF06)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Bandeja de Excepciones y Validación (Soporte RF03, RF05 y RF12)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Módulo de Reportes e Insights de IA (Soporte RF07, RF08 y RF11)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63517qmzwmb" w:id="4"/>
      <w:bookmarkEnd w:id="4"/>
      <w:r w:rsidDel="00000000" w:rsidR="00000000" w:rsidRPr="00000000">
        <w:rPr>
          <w:rtl w:val="0"/>
        </w:rPr>
        <w:t xml:space="preserve">3. Especificación Visual de los Mockups (Wireframes Conceptuales)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Los mockups fueron elaborados como prototipos de fidelidad media en HTML/CSS, utilizando datos ficticios. Todas las vistas comparten una barra de navegación lateral con los módulos de la plataforma y un encabezado con el título de la pantalla.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1wiv0bjudn" w:id="5"/>
      <w:bookmarkEnd w:id="5"/>
      <w:r w:rsidDel="00000000" w:rsidR="00000000" w:rsidRPr="00000000">
        <w:rPr>
          <w:b w:val="1"/>
          <w:bCs w:val="1"/>
          <w:rtl w:val="0"/>
        </w:rPr>
        <w:t>Vista 1: Pantalla de Ingesta y Carga de Documentos TGR (RF01, RF02, RF12)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Propósito:</w:t>
      </w:r>
      <w:r w:rsidDel="00000000" w:rsidR="00000000" w:rsidRPr="00000000">
        <w:rPr>
          <w:rtl w:val="0"/>
        </w:rPr>
        <w:t xml:space="preserve"> Permitir al usuario subir los documentos de deudores enviados por la TGR (XLSX, XLS, CSV, TXT, PDF, JPG y PNG) y supervisar la recepción automática desde la casilla de correo institucional y el directorio SFTP.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Visual de la Interfaz: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>Encabezado:</w:t>
      </w:r>
      <w:r w:rsidDel="00000000" w:rsidR="00000000" w:rsidRPr="00000000">
        <w:rPr>
          <w:rtl w:val="0"/>
        </w:rPr>
        <w:t xml:space="preserve"> Título "Gestión de Ingesta de Documentos TGR" y selector de periodo o fecha tributaria.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>Zona de Carga (Drag &amp; Drop):</w:t>
      </w:r>
      <w:r w:rsidDel="00000000" w:rsidR="00000000" w:rsidRPr="00000000">
        <w:rPr>
          <w:rtl w:val="0"/>
        </w:rPr>
        <w:t xml:space="preserve"> Un recuadro central con el texto: "Arrastre y suelte su documento TGR aquí, o haga clic para examinar (Formatos permitidos: .xlsx, .xls, .csv, .txt, .pdf, .jpg, .png)", indicando que los PDF escaneados y las fotografías se convierten automáticamente con OCR / IA.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>Panel de Recepción Automática:</w:t>
      </w:r>
      <w:r w:rsidDel="00000000" w:rsidR="00000000" w:rsidRPr="00000000">
        <w:rPr>
          <w:rtl w:val="0"/>
        </w:rPr>
        <w:t xml:space="preserve"> Estado de la casilla de correo institucional y del directorio SFTP, hora de la última lectura, adjuntos recibidos en el día y botones "Leer correo ahora" y "Forzar lectura SFTP".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Tabla de Lotes Recientes:</w:t>
      </w:r>
      <w:r w:rsidDel="00000000" w:rsidR="00000000" w:rsidRPr="00000000">
        <w:rPr>
          <w:rtl w:val="0"/>
        </w:rPr>
        <w:t xml:space="preserve"> Un listado inferior que muestra el historial de cargas del día: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>Columnas:</w:t>
      </w:r>
      <w:r w:rsidDel="00000000" w:rsidR="00000000" w:rsidRPr="00000000">
        <w:rPr>
          <w:rtl w:val="0"/>
        </w:rPr>
        <w:t xml:space="preserve"> ID Lote | Nombre de Archivo | Origen (Correo, SFTP, Web) | Fecha de Recepción | Registros Totales | Confianza OCR | Estado (Procesado, Normalizado, Revisión de Extracción, Error de Formato, Pendiente).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>Acciones:</w:t>
      </w:r>
      <w:r w:rsidDel="00000000" w:rsidR="00000000" w:rsidRPr="00000000">
        <w:rPr>
          <w:rtl w:val="0"/>
        </w:rPr>
        <w:t xml:space="preserve"> Botón de "Ver Detalle", "Reintentar Lote" o "Revisar" (para los documentos en Revisión de Extracción).</w:t>
      </w:r>
    </w:p>
    <w:p>
      <w:pPr>
        <w:jc w:val="center"/>
      </w:pPr>
      <w:r>
        <w:drawing>
          <wp:inline>
            <wp:extent cx="5715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inges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1: Mockup de la pantalla de Ingesta y Carga de Documentos TGR.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ijy66mbkqn5f" w:id="6"/>
      <w:bookmarkEnd w:id="6"/>
      <w:r w:rsidDel="00000000" w:rsidR="00000000" w:rsidRPr="00000000">
        <w:rPr>
          <w:b w:val="1"/>
          <w:bCs w:val="1"/>
          <w:rtl w:val="0"/>
        </w:rPr>
        <w:t>Vista 2: Panel de Control y Monitoreo (Dashboard - RF06)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Mostrar los indicadores clave de desempeño (KPIs) y el resumen general del proceso de conciliación.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Visual de la Interfaz: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Tarjetas de Resumen Superior (KPI Cards):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Total Registros Procesados</w:t>
      </w:r>
      <w:r w:rsidDel="00000000" w:rsidR="00000000" w:rsidRPr="00000000">
        <w:rPr>
          <w:rtl w:val="0"/>
        </w:rPr>
        <w:t xml:space="preserve"> (Ej: 145,200)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Registros Conciliados con Éxito</w:t>
      </w:r>
      <w:r w:rsidDel="00000000" w:rsidR="00000000" w:rsidRPr="00000000">
        <w:rPr>
          <w:rtl w:val="0"/>
        </w:rPr>
        <w:t xml:space="preserve"> (Ej: 94.5%)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Rechazos por Banco</w:t>
      </w:r>
      <w:r w:rsidDel="00000000" w:rsidR="00000000" w:rsidRPr="00000000">
        <w:rPr>
          <w:rtl w:val="0"/>
        </w:rPr>
        <w:t xml:space="preserve"> (Ej: 3.2%)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Excepciones Pendientes</w:t>
      </w:r>
      <w:r w:rsidDel="00000000" w:rsidR="00000000" w:rsidRPr="00000000">
        <w:rPr>
          <w:rtl w:val="0"/>
        </w:rPr>
        <w:t xml:space="preserve"> (Ej: 2.3%)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Gráficos Analíticos: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Gráfico de Torta (Pie Chart):</w:t>
      </w:r>
      <w:r w:rsidDel="00000000" w:rsidR="00000000" w:rsidRPr="00000000">
        <w:rPr>
          <w:rtl w:val="0"/>
        </w:rPr>
        <w:t xml:space="preserve"> Distribución de estados de conciliación (</w:t>
      </w:r>
      <w:r w:rsidDel="00000000" w:rsidR="00000000" w:rsidRPr="00000000">
        <w:rPr>
          <w:i w:val="1"/>
          <w:iCs w:val="1"/>
          <w:rtl w:val="0"/>
        </w:rPr>
        <w:t xml:space="preserve">Conciliado, Rechazado Banco, Error RUT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Gráfico de Barras:</w:t>
      </w:r>
      <w:r w:rsidDel="00000000" w:rsidR="00000000" w:rsidRPr="00000000">
        <w:rPr>
          <w:rtl w:val="0"/>
        </w:rPr>
        <w:t xml:space="preserve"> Volumen de transacciones procesadas por día de la semana.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Panel de Alertas del Sistema:</w:t>
      </w:r>
      <w:r w:rsidDel="00000000" w:rsidR="00000000" w:rsidRPr="00000000">
        <w:rPr>
          <w:rtl w:val="0"/>
        </w:rPr>
        <w:t xml:space="preserve"> Avisos automáticos sobre anomalías detectadas por el sistema o fallas en lotes recientes.</w:t>
      </w:r>
    </w:p>
    <w:p>
      <w:pPr>
        <w:jc w:val="center"/>
      </w:pPr>
      <w:r>
        <w:drawing>
          <wp:inline>
            <wp:extent cx="5715000" cy="2341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4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2: Mockup del Panel de Control y Monitoreo.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ynw4zsgst8tg" w:id="7"/>
      <w:bookmarkEnd w:id="7"/>
      <w:r w:rsidDel="00000000" w:rsidR="00000000" w:rsidRPr="00000000">
        <w:rPr>
          <w:b w:val="1"/>
          <w:bCs w:val="1"/>
          <w:rtl w:val="0"/>
        </w:rPr>
        <w:t>Vista 3: Bandeja de Excepciones y Reglas de Negocio (RF03, RF05, RF12)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Propósito:</w:t>
      </w:r>
      <w:r w:rsidDel="00000000" w:rsidR="00000000" w:rsidRPr="00000000">
        <w:rPr>
          <w:rtl w:val="0"/>
        </w:rPr>
        <w:t xml:space="preserve"> Gestionar los registros que no pasaron las validaciones automáticas (RUT inválido, duplicados, campos incompletos) y los extraídos por OCR/IA con baja confianza (Revisión de Extracción, RN05).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Visual de la Interfaz: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>Barra de Filtros:</w:t>
      </w:r>
      <w:r w:rsidDel="00000000" w:rsidR="00000000" w:rsidRPr="00000000">
        <w:rPr>
          <w:rtl w:val="0"/>
        </w:rPr>
        <w:t xml:space="preserve"> Selector por tipo de error (Error RUT Módulo 11, Duplicado, Campo Vacío, Rechazado por Banco, Revisión de Extracción) y barra de búsqueda por RUT de deudor.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Tabla de Detalle de Excepciones: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Columnas:</w:t>
      </w:r>
      <w:r w:rsidDel="00000000" w:rsidR="00000000" w:rsidRPr="00000000">
        <w:rPr>
          <w:rtl w:val="0"/>
        </w:rPr>
        <w:t xml:space="preserve"> ID Transacción | RUT Deudor | Folio Deuda | Monto | Tipo de Error | Estado de Revisión (</w:t>
      </w:r>
      <w:r w:rsidDel="00000000" w:rsidR="00000000" w:rsidRPr="00000000">
        <w:rPr>
          <w:i w:val="1"/>
          <w:iCs w:val="1"/>
          <w:rtl w:val="0"/>
        </w:rPr>
        <w:t xml:space="preserve">Pendiente / Resuelto Manual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Acciones:</w:t>
      </w:r>
      <w:r w:rsidDel="00000000" w:rsidR="00000000" w:rsidRPr="00000000">
        <w:rPr>
          <w:rtl w:val="0"/>
        </w:rPr>
        <w:t xml:space="preserve"> Botón "Revisar Detalle" y opción para marcar como "Regularizado".</w:t>
      </w:r>
    </w:p>
    <w:p>
      <w:pPr>
        <w:jc w:val="center"/>
      </w:pPr>
      <w:r>
        <w:drawing>
          <wp:inline>
            <wp:extent cx="5715000" cy="269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excepcio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3: Mockup de la Bandeja de Excepciones y Reglas de Negocio.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awcl32w9jdly" w:id="8"/>
      <w:bookmarkEnd w:id="8"/>
      <w:r w:rsidDel="00000000" w:rsidR="00000000" w:rsidRPr="00000000">
        <w:rPr>
          <w:b w:val="1"/>
          <w:bCs w:val="1"/>
          <w:rtl w:val="0"/>
        </w:rPr>
        <w:t>Vista 4: Módulo de Reportes e Insights de Inteligencia Artificial (RF07, RF08, RF11)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Exponer los informes parametrizables y las sugerencias automatizadas generadas por el modelo de IA.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Visual de la Interfaz: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Sección de Filtros de Reporte:</w:t>
      </w:r>
      <w:r w:rsidDel="00000000" w:rsidR="00000000" w:rsidRPr="00000000">
        <w:rPr>
          <w:rtl w:val="0"/>
        </w:rPr>
        <w:t xml:space="preserve"> Rango de fechas, tipo de cuenta y sucursales de Banco Genérico. Botones de exportación rápida: </w:t>
      </w:r>
      <w:r w:rsidDel="00000000" w:rsidR="00000000" w:rsidRPr="00000000">
        <w:rPr>
          <w:i w:val="1"/>
          <w:iCs w:val="1"/>
          <w:rtl w:val="0"/>
        </w:rPr>
        <w:t xml:space="preserve">"Exportar a Excel"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"Exportar a PDF"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Panel de Insights de Inteligencia Artificial: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Un bloque destacado con recomendaciones del modelo de IA (Ej: </w:t>
      </w:r>
      <w:r w:rsidDel="00000000" w:rsidR="00000000" w:rsidRPr="00000000">
        <w:rPr>
          <w:i w:val="1"/>
          <w:iCs w:val="1"/>
          <w:rtl w:val="0"/>
        </w:rPr>
        <w:t xml:space="preserve">"Patrón anómalo detectado en rechazos de la Región Metropolitana: Se sugiere validar formato de cuentas corrientes en lote #402"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Botón de "Aplicar Sugerencia de Validación".</w:t>
      </w:r>
    </w:p>
    <w:p>
      <w:pPr>
        <w:jc w:val="center"/>
      </w:pPr>
      <w:r>
        <w:drawing>
          <wp:inline>
            <wp:extent cx="5715000" cy="3077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reportes_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7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4: Mockup del Módulo de Reportes e Insights de IA.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y1q9postemzp" w:id="9"/>
      <w:bookmarkEnd w:id="9"/>
      <w:r w:rsidDel="00000000" w:rsidR="00000000" w:rsidRPr="00000000">
        <w:rPr>
          <w:rtl w:val="0"/>
        </w:rPr>
        <w:t xml:space="preserve">4. Responsable del Diseño de Interfaces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Diseñador Responsable:</w:t>
      </w:r>
      <w:r w:rsidDel="00000000" w:rsidR="00000000" w:rsidRPr="00000000">
        <w:rPr>
          <w:rtl w:val="0"/>
        </w:rPr>
        <w:t xml:space="preserve"> David Muñoz Bravo (Desarrollo Backend / Interfaces).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Usabilidad:</w:t>
      </w:r>
      <w:r w:rsidDel="00000000" w:rsidR="00000000" w:rsidRPr="00000000">
        <w:rPr>
          <w:rtl w:val="0"/>
        </w:rPr>
        <w:t xml:space="preserve"> María Trinidad Gaete Mella (Gestión y Requerimientos) y equipo completo de STARTAB.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